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E666" w14:textId="2BD81063" w:rsidR="00263E9C" w:rsidRPr="00E95875" w:rsidRDefault="00E95875" w:rsidP="00E95875">
      <w:pPr>
        <w:jc w:val="center"/>
        <w:rPr>
          <w:rFonts w:ascii="Arial" w:hAnsi="Arial" w:cs="Arial"/>
          <w:b/>
          <w:bCs/>
          <w:sz w:val="24"/>
          <w:szCs w:val="24"/>
        </w:rPr>
      </w:pPr>
      <w:r w:rsidRPr="00E95875">
        <w:rPr>
          <w:rFonts w:ascii="Arial" w:hAnsi="Arial" w:cs="Arial"/>
          <w:b/>
          <w:bCs/>
          <w:sz w:val="24"/>
          <w:szCs w:val="24"/>
        </w:rPr>
        <w:t>New York State Bar Association</w:t>
      </w:r>
    </w:p>
    <w:p w14:paraId="1AF96821" w14:textId="214EADB5" w:rsidR="00E95875" w:rsidRPr="00E95875" w:rsidRDefault="00E95875" w:rsidP="00E95875">
      <w:pPr>
        <w:jc w:val="center"/>
        <w:rPr>
          <w:rFonts w:ascii="Arial" w:hAnsi="Arial" w:cs="Arial"/>
          <w:b/>
          <w:bCs/>
          <w:sz w:val="24"/>
          <w:szCs w:val="24"/>
        </w:rPr>
      </w:pPr>
      <w:r w:rsidRPr="00E95875">
        <w:rPr>
          <w:rFonts w:ascii="Arial" w:hAnsi="Arial" w:cs="Arial"/>
          <w:b/>
          <w:bCs/>
          <w:sz w:val="24"/>
          <w:szCs w:val="24"/>
        </w:rPr>
        <w:t>Presidential Summit</w:t>
      </w:r>
    </w:p>
    <w:p w14:paraId="0A7085A3" w14:textId="65284A06" w:rsidR="00E95875" w:rsidRDefault="00E95875" w:rsidP="00E95875">
      <w:pPr>
        <w:jc w:val="center"/>
        <w:rPr>
          <w:rFonts w:ascii="Arial" w:hAnsi="Arial" w:cs="Arial"/>
          <w:b/>
          <w:bCs/>
          <w:sz w:val="24"/>
          <w:szCs w:val="24"/>
        </w:rPr>
      </w:pPr>
      <w:r w:rsidRPr="00E95875">
        <w:rPr>
          <w:rFonts w:ascii="Arial" w:hAnsi="Arial" w:cs="Arial"/>
          <w:b/>
          <w:bCs/>
          <w:sz w:val="24"/>
          <w:szCs w:val="24"/>
        </w:rPr>
        <w:t>Thursday, January 20, 2022</w:t>
      </w:r>
    </w:p>
    <w:p w14:paraId="55ACBF51" w14:textId="64A3B6F8" w:rsidR="0058504D" w:rsidRPr="00E95875" w:rsidRDefault="0058504D" w:rsidP="00E95875">
      <w:pPr>
        <w:jc w:val="center"/>
        <w:rPr>
          <w:rFonts w:ascii="Arial" w:hAnsi="Arial" w:cs="Arial"/>
          <w:b/>
          <w:bCs/>
          <w:sz w:val="24"/>
          <w:szCs w:val="24"/>
        </w:rPr>
      </w:pPr>
      <w:r>
        <w:rPr>
          <w:rFonts w:ascii="Arial" w:hAnsi="Arial" w:cs="Arial"/>
          <w:b/>
          <w:bCs/>
          <w:sz w:val="24"/>
          <w:szCs w:val="24"/>
        </w:rPr>
        <w:t>2:00 – 5:00 p.m.</w:t>
      </w:r>
      <w:r>
        <w:rPr>
          <w:rFonts w:ascii="Arial" w:hAnsi="Arial" w:cs="Arial"/>
          <w:b/>
          <w:bCs/>
          <w:sz w:val="24"/>
          <w:szCs w:val="24"/>
        </w:rPr>
        <w:br/>
      </w:r>
      <w:r>
        <w:rPr>
          <w:rFonts w:ascii="Arial" w:hAnsi="Arial" w:cs="Arial"/>
          <w:b/>
          <w:bCs/>
          <w:sz w:val="24"/>
          <w:szCs w:val="24"/>
        </w:rPr>
        <w:br/>
        <w:t>3.0 MCLE Credits: 1.5 Ethics; 1.5 Diversity, Inclusion, and Elimination of Bias</w:t>
      </w:r>
    </w:p>
    <w:p w14:paraId="60A49D6F" w14:textId="5B0EE1A3" w:rsidR="00E95875" w:rsidRDefault="00E95875">
      <w:pPr>
        <w:rPr>
          <w:rFonts w:ascii="Arial" w:hAnsi="Arial" w:cs="Arial"/>
          <w:sz w:val="24"/>
          <w:szCs w:val="24"/>
        </w:rPr>
      </w:pPr>
    </w:p>
    <w:p w14:paraId="64F30A45" w14:textId="77777777" w:rsidR="00EE66BC" w:rsidRPr="00E95875" w:rsidRDefault="00EE66BC">
      <w:pPr>
        <w:rPr>
          <w:rFonts w:ascii="Arial" w:hAnsi="Arial" w:cs="Arial"/>
          <w:sz w:val="24"/>
          <w:szCs w:val="24"/>
        </w:rPr>
      </w:pPr>
    </w:p>
    <w:p w14:paraId="234967BB" w14:textId="66375D58" w:rsidR="00AD6B6B" w:rsidRDefault="00E95875" w:rsidP="00E95875">
      <w:pPr>
        <w:jc w:val="both"/>
        <w:rPr>
          <w:rFonts w:ascii="Arial" w:hAnsi="Arial" w:cs="Arial"/>
          <w:sz w:val="24"/>
          <w:szCs w:val="24"/>
        </w:rPr>
      </w:pPr>
      <w:r w:rsidRPr="00E95875">
        <w:rPr>
          <w:rFonts w:ascii="Arial" w:hAnsi="Arial" w:cs="Arial"/>
          <w:sz w:val="24"/>
          <w:szCs w:val="24"/>
        </w:rPr>
        <w:t xml:space="preserve">The twin crises of the coronavirus pandemic and police brutality brought social justice to the forefront of the national debate. This was long overdue, but true equality cannot be realized until all vulnerable populations are protected and supported under the law. </w:t>
      </w:r>
      <w:r>
        <w:rPr>
          <w:rFonts w:ascii="Arial" w:hAnsi="Arial" w:cs="Arial"/>
          <w:sz w:val="24"/>
          <w:szCs w:val="24"/>
        </w:rPr>
        <w:t xml:space="preserve">The Presidential Summit is the marquee event of the New York State Bar Association’s (“NYSBA”) Annual Meeting, and the 2022 Summit, under the leadership of NYSBA President T. Andrew Brown, will focus on two of the leading social justice and civil rights matters of the day: a reevaluation of the #MeToo Movement, and the intersection of transgender rights and sports.  </w:t>
      </w:r>
    </w:p>
    <w:p w14:paraId="7504EE87" w14:textId="77777777" w:rsidR="00AD6B6B" w:rsidRDefault="00AD6B6B" w:rsidP="00E95875">
      <w:pPr>
        <w:jc w:val="both"/>
        <w:rPr>
          <w:rFonts w:ascii="Arial" w:hAnsi="Arial" w:cs="Arial"/>
          <w:sz w:val="24"/>
          <w:szCs w:val="24"/>
        </w:rPr>
      </w:pPr>
    </w:p>
    <w:p w14:paraId="180A60BB" w14:textId="1CD01DFA" w:rsidR="00E95875" w:rsidRDefault="0058504D" w:rsidP="00E95875">
      <w:pPr>
        <w:jc w:val="both"/>
        <w:rPr>
          <w:rFonts w:ascii="Arial" w:hAnsi="Arial" w:cs="Arial"/>
          <w:sz w:val="24"/>
          <w:szCs w:val="24"/>
        </w:rPr>
      </w:pPr>
      <w:r w:rsidRPr="0058504D">
        <w:rPr>
          <w:rFonts w:ascii="Arial" w:hAnsi="Arial" w:cs="Arial"/>
          <w:b/>
          <w:bCs/>
          <w:sz w:val="24"/>
          <w:szCs w:val="24"/>
        </w:rPr>
        <w:t>Welcome and Introduction of Attorney General James</w:t>
      </w:r>
      <w:r>
        <w:rPr>
          <w:rFonts w:ascii="Arial" w:hAnsi="Arial" w:cs="Arial"/>
          <w:sz w:val="24"/>
          <w:szCs w:val="24"/>
        </w:rPr>
        <w:tab/>
        <w:t>2:00</w:t>
      </w:r>
      <w:r w:rsidR="00B47C10">
        <w:rPr>
          <w:rFonts w:ascii="Arial" w:hAnsi="Arial" w:cs="Arial"/>
          <w:sz w:val="24"/>
          <w:szCs w:val="24"/>
        </w:rPr>
        <w:t xml:space="preserve"> p.m.</w:t>
      </w:r>
      <w:r>
        <w:rPr>
          <w:rFonts w:ascii="Arial" w:hAnsi="Arial" w:cs="Arial"/>
          <w:sz w:val="24"/>
          <w:szCs w:val="24"/>
        </w:rPr>
        <w:t xml:space="preserve"> – 2:10 p.m.</w:t>
      </w:r>
    </w:p>
    <w:p w14:paraId="054B0862" w14:textId="593FB105" w:rsidR="0058504D" w:rsidRDefault="0058504D" w:rsidP="00AD6B6B">
      <w:pPr>
        <w:rPr>
          <w:rFonts w:ascii="Arial" w:hAnsi="Arial" w:cs="Arial"/>
          <w:sz w:val="24"/>
          <w:szCs w:val="24"/>
        </w:rPr>
      </w:pPr>
      <w:r>
        <w:rPr>
          <w:rFonts w:ascii="Arial" w:hAnsi="Arial" w:cs="Arial"/>
          <w:sz w:val="24"/>
          <w:szCs w:val="24"/>
        </w:rPr>
        <w:t xml:space="preserve">T. Andrew Brown, </w:t>
      </w:r>
      <w:r w:rsidR="00AD6B6B">
        <w:rPr>
          <w:rFonts w:ascii="Arial" w:hAnsi="Arial" w:cs="Arial"/>
          <w:sz w:val="24"/>
          <w:szCs w:val="24"/>
        </w:rPr>
        <w:t>Esq.</w:t>
      </w:r>
      <w:r w:rsidR="00AD6B6B">
        <w:rPr>
          <w:rFonts w:ascii="Arial" w:hAnsi="Arial" w:cs="Arial"/>
          <w:sz w:val="24"/>
          <w:szCs w:val="24"/>
        </w:rPr>
        <w:br/>
        <w:t xml:space="preserve">President, </w:t>
      </w:r>
      <w:r>
        <w:rPr>
          <w:rFonts w:ascii="Arial" w:hAnsi="Arial" w:cs="Arial"/>
          <w:sz w:val="24"/>
          <w:szCs w:val="24"/>
        </w:rPr>
        <w:t xml:space="preserve">New York State Bar Association </w:t>
      </w:r>
      <w:r w:rsidR="00AD6B6B">
        <w:rPr>
          <w:rFonts w:ascii="Arial" w:hAnsi="Arial" w:cs="Arial"/>
          <w:sz w:val="24"/>
          <w:szCs w:val="24"/>
        </w:rPr>
        <w:br/>
      </w:r>
    </w:p>
    <w:p w14:paraId="095AF1E2" w14:textId="0CDB5D16" w:rsidR="0058504D" w:rsidRDefault="0058504D" w:rsidP="00E95875">
      <w:pPr>
        <w:jc w:val="both"/>
        <w:rPr>
          <w:rFonts w:ascii="Arial" w:hAnsi="Arial" w:cs="Arial"/>
          <w:sz w:val="24"/>
          <w:szCs w:val="24"/>
        </w:rPr>
      </w:pPr>
      <w:r w:rsidRPr="0058504D">
        <w:rPr>
          <w:rFonts w:ascii="Arial" w:hAnsi="Arial" w:cs="Arial"/>
          <w:b/>
          <w:bCs/>
          <w:sz w:val="24"/>
          <w:szCs w:val="24"/>
        </w:rPr>
        <w:t>Keynote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2:10 </w:t>
      </w:r>
      <w:r w:rsidR="00B47C10">
        <w:rPr>
          <w:rFonts w:ascii="Arial" w:hAnsi="Arial" w:cs="Arial"/>
          <w:sz w:val="24"/>
          <w:szCs w:val="24"/>
        </w:rPr>
        <w:t xml:space="preserve">p.m. </w:t>
      </w:r>
      <w:r>
        <w:rPr>
          <w:rFonts w:ascii="Arial" w:hAnsi="Arial" w:cs="Arial"/>
          <w:sz w:val="24"/>
          <w:szCs w:val="24"/>
        </w:rPr>
        <w:t>– 2:20 p.m.</w:t>
      </w:r>
    </w:p>
    <w:p w14:paraId="531E813D" w14:textId="7B76EFF1" w:rsidR="00E95875" w:rsidRDefault="0058504D" w:rsidP="00AD6B6B">
      <w:pPr>
        <w:rPr>
          <w:rFonts w:ascii="Arial" w:hAnsi="Arial" w:cs="Arial"/>
          <w:sz w:val="24"/>
          <w:szCs w:val="24"/>
        </w:rPr>
      </w:pPr>
      <w:r>
        <w:rPr>
          <w:rFonts w:ascii="Arial" w:hAnsi="Arial" w:cs="Arial"/>
          <w:sz w:val="24"/>
          <w:szCs w:val="24"/>
        </w:rPr>
        <w:t>Hon. Letitia James</w:t>
      </w:r>
      <w:r w:rsidR="00AD6B6B">
        <w:rPr>
          <w:rFonts w:ascii="Arial" w:hAnsi="Arial" w:cs="Arial"/>
          <w:sz w:val="24"/>
          <w:szCs w:val="24"/>
        </w:rPr>
        <w:br/>
      </w:r>
      <w:r>
        <w:rPr>
          <w:rFonts w:ascii="Arial" w:hAnsi="Arial" w:cs="Arial"/>
          <w:sz w:val="24"/>
          <w:szCs w:val="24"/>
        </w:rPr>
        <w:t>Attorney General of New York</w:t>
      </w:r>
      <w:r w:rsidR="00AD6B6B">
        <w:rPr>
          <w:rFonts w:ascii="Arial" w:hAnsi="Arial" w:cs="Arial"/>
          <w:sz w:val="24"/>
          <w:szCs w:val="24"/>
        </w:rPr>
        <w:br/>
      </w:r>
    </w:p>
    <w:p w14:paraId="3C395EB2" w14:textId="12BC1EBD" w:rsidR="00D95155" w:rsidRPr="00D95155" w:rsidRDefault="0058504D" w:rsidP="00E95875">
      <w:pPr>
        <w:jc w:val="both"/>
        <w:rPr>
          <w:rFonts w:ascii="Arial" w:hAnsi="Arial" w:cs="Arial"/>
          <w:color w:val="000000"/>
          <w:sz w:val="24"/>
          <w:szCs w:val="24"/>
        </w:rPr>
      </w:pPr>
      <w:r w:rsidRPr="00D95155">
        <w:rPr>
          <w:rFonts w:ascii="Arial" w:hAnsi="Arial" w:cs="Arial"/>
          <w:b/>
          <w:bCs/>
          <w:sz w:val="24"/>
          <w:szCs w:val="24"/>
        </w:rPr>
        <w:t>Panel One</w:t>
      </w:r>
      <w:r>
        <w:rPr>
          <w:rFonts w:ascii="Arial" w:hAnsi="Arial" w:cs="Arial"/>
          <w:sz w:val="24"/>
          <w:szCs w:val="24"/>
        </w:rPr>
        <w:t xml:space="preserve"> </w:t>
      </w:r>
      <w:r w:rsidRPr="00842434">
        <w:rPr>
          <w:rFonts w:ascii="Arial" w:hAnsi="Arial" w:cs="Arial"/>
          <w:b/>
          <w:bCs/>
          <w:sz w:val="24"/>
          <w:szCs w:val="24"/>
        </w:rPr>
        <w:t>–</w:t>
      </w:r>
      <w:r>
        <w:rPr>
          <w:rFonts w:ascii="Arial" w:hAnsi="Arial" w:cs="Arial"/>
          <w:sz w:val="24"/>
          <w:szCs w:val="24"/>
        </w:rPr>
        <w:t xml:space="preserve"> </w:t>
      </w:r>
      <w:r w:rsidR="00D95155" w:rsidRPr="00E95875">
        <w:rPr>
          <w:rFonts w:ascii="Arial" w:hAnsi="Arial" w:cs="Arial"/>
          <w:b/>
          <w:bCs/>
          <w:color w:val="000000"/>
          <w:sz w:val="24"/>
          <w:szCs w:val="24"/>
        </w:rPr>
        <w:t>A Reassessment Of #MeToo</w:t>
      </w:r>
      <w:r w:rsidR="00595887">
        <w:rPr>
          <w:rFonts w:ascii="Arial" w:hAnsi="Arial" w:cs="Arial"/>
          <w:b/>
          <w:bCs/>
          <w:color w:val="000000"/>
          <w:sz w:val="24"/>
          <w:szCs w:val="24"/>
        </w:rPr>
        <w:t>:</w:t>
      </w:r>
      <w:r w:rsidR="00D95155" w:rsidRPr="00E95875">
        <w:rPr>
          <w:rFonts w:ascii="Arial" w:hAnsi="Arial" w:cs="Arial"/>
          <w:b/>
          <w:bCs/>
          <w:color w:val="000000"/>
          <w:sz w:val="24"/>
          <w:szCs w:val="24"/>
        </w:rPr>
        <w:t xml:space="preserve"> At A Critical Juncture </w:t>
      </w:r>
      <w:r w:rsidR="00F04E7A" w:rsidRPr="00E95875">
        <w:rPr>
          <w:rFonts w:ascii="Arial" w:hAnsi="Arial" w:cs="Arial"/>
          <w:b/>
          <w:bCs/>
          <w:color w:val="000000"/>
          <w:sz w:val="24"/>
          <w:szCs w:val="24"/>
        </w:rPr>
        <w:t>in</w:t>
      </w:r>
      <w:r w:rsidR="00842434">
        <w:rPr>
          <w:rFonts w:ascii="Arial" w:hAnsi="Arial" w:cs="Arial"/>
          <w:b/>
          <w:bCs/>
          <w:color w:val="000000"/>
          <w:sz w:val="24"/>
          <w:szCs w:val="24"/>
        </w:rPr>
        <w:t xml:space="preserve"> </w:t>
      </w:r>
      <w:r w:rsidR="00D95155" w:rsidRPr="00E95875">
        <w:rPr>
          <w:rFonts w:ascii="Arial" w:hAnsi="Arial" w:cs="Arial"/>
          <w:b/>
          <w:bCs/>
          <w:color w:val="000000"/>
          <w:sz w:val="24"/>
          <w:szCs w:val="24"/>
        </w:rPr>
        <w:t xml:space="preserve">State &amp; National History, Where Do </w:t>
      </w:r>
      <w:r w:rsidR="00D95155">
        <w:rPr>
          <w:rFonts w:ascii="Arial" w:hAnsi="Arial" w:cs="Arial"/>
          <w:b/>
          <w:bCs/>
          <w:color w:val="000000"/>
          <w:sz w:val="24"/>
          <w:szCs w:val="24"/>
        </w:rPr>
        <w:t>We</w:t>
      </w:r>
      <w:r w:rsidR="00D95155" w:rsidRPr="00E95875">
        <w:rPr>
          <w:rFonts w:ascii="Arial" w:hAnsi="Arial" w:cs="Arial"/>
          <w:b/>
          <w:bCs/>
          <w:color w:val="000000"/>
          <w:sz w:val="24"/>
          <w:szCs w:val="24"/>
        </w:rPr>
        <w:t xml:space="preserve"> Truly Stand? </w:t>
      </w:r>
    </w:p>
    <w:p w14:paraId="17AAA403" w14:textId="4D381A60" w:rsidR="0058504D" w:rsidRDefault="0058504D" w:rsidP="004C4810">
      <w:pPr>
        <w:tabs>
          <w:tab w:val="left" w:pos="720"/>
          <w:tab w:val="left" w:pos="1440"/>
          <w:tab w:val="left" w:pos="2160"/>
          <w:tab w:val="left" w:pos="2880"/>
          <w:tab w:val="left" w:pos="3600"/>
          <w:tab w:val="left" w:pos="4320"/>
          <w:tab w:val="left" w:pos="5040"/>
          <w:tab w:val="left" w:pos="5760"/>
          <w:tab w:val="left" w:pos="6480"/>
          <w:tab w:val="left" w:pos="7200"/>
          <w:tab w:val="left" w:pos="8085"/>
        </w:tabs>
        <w:jc w:val="both"/>
        <w:rPr>
          <w:rFonts w:ascii="Arial" w:hAnsi="Arial" w:cs="Arial"/>
          <w:sz w:val="24"/>
          <w:szCs w:val="24"/>
        </w:rPr>
      </w:pPr>
      <w:r>
        <w:rPr>
          <w:rFonts w:ascii="Arial" w:hAnsi="Arial" w:cs="Arial"/>
          <w:sz w:val="24"/>
          <w:szCs w:val="24"/>
        </w:rPr>
        <w:t>1.5 MCLE Credits in Ethics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7E53">
        <w:rPr>
          <w:rFonts w:ascii="Arial" w:hAnsi="Arial" w:cs="Arial"/>
          <w:sz w:val="24"/>
          <w:szCs w:val="24"/>
        </w:rPr>
        <w:tab/>
      </w:r>
      <w:r>
        <w:rPr>
          <w:rFonts w:ascii="Arial" w:hAnsi="Arial" w:cs="Arial"/>
          <w:sz w:val="24"/>
          <w:szCs w:val="24"/>
        </w:rPr>
        <w:t>2:20</w:t>
      </w:r>
      <w:r w:rsidR="00B47C10">
        <w:rPr>
          <w:rFonts w:ascii="Arial" w:hAnsi="Arial" w:cs="Arial"/>
          <w:sz w:val="24"/>
          <w:szCs w:val="24"/>
        </w:rPr>
        <w:t xml:space="preserve"> p.m.</w:t>
      </w:r>
      <w:r>
        <w:rPr>
          <w:rFonts w:ascii="Arial" w:hAnsi="Arial" w:cs="Arial"/>
          <w:sz w:val="24"/>
          <w:szCs w:val="24"/>
        </w:rPr>
        <w:t xml:space="preserve"> – 3:35 p.m.</w:t>
      </w:r>
      <w:r w:rsidR="004C4810">
        <w:rPr>
          <w:rFonts w:ascii="Arial" w:hAnsi="Arial" w:cs="Arial"/>
          <w:sz w:val="24"/>
          <w:szCs w:val="24"/>
        </w:rPr>
        <w:tab/>
      </w:r>
    </w:p>
    <w:p w14:paraId="083485A4" w14:textId="77777777" w:rsidR="004C4810" w:rsidRDefault="004C4810" w:rsidP="004C4810">
      <w:pPr>
        <w:tabs>
          <w:tab w:val="left" w:pos="720"/>
          <w:tab w:val="left" w:pos="1440"/>
          <w:tab w:val="left" w:pos="2160"/>
          <w:tab w:val="left" w:pos="2880"/>
          <w:tab w:val="left" w:pos="3600"/>
          <w:tab w:val="left" w:pos="4320"/>
          <w:tab w:val="left" w:pos="5040"/>
          <w:tab w:val="left" w:pos="5760"/>
          <w:tab w:val="left" w:pos="6480"/>
          <w:tab w:val="left" w:pos="7200"/>
          <w:tab w:val="left" w:pos="8085"/>
        </w:tabs>
        <w:jc w:val="both"/>
        <w:rPr>
          <w:rFonts w:ascii="Arial" w:hAnsi="Arial" w:cs="Arial"/>
          <w:sz w:val="24"/>
          <w:szCs w:val="24"/>
        </w:rPr>
      </w:pPr>
      <w:r>
        <w:rPr>
          <w:rFonts w:ascii="Arial" w:hAnsi="Arial" w:cs="Arial"/>
          <w:sz w:val="24"/>
          <w:szCs w:val="24"/>
        </w:rPr>
        <w:t>Moderator:</w:t>
      </w:r>
      <w:r>
        <w:rPr>
          <w:rFonts w:ascii="Arial" w:hAnsi="Arial" w:cs="Arial"/>
          <w:sz w:val="24"/>
          <w:szCs w:val="24"/>
        </w:rPr>
        <w:tab/>
      </w:r>
    </w:p>
    <w:p w14:paraId="371410DE" w14:textId="43A01B17" w:rsidR="004C4810" w:rsidRDefault="004C4810" w:rsidP="00AD6B6B">
      <w:pPr>
        <w:tabs>
          <w:tab w:val="left" w:pos="720"/>
          <w:tab w:val="left" w:pos="1440"/>
          <w:tab w:val="left" w:pos="2160"/>
          <w:tab w:val="left" w:pos="2880"/>
          <w:tab w:val="left" w:pos="3600"/>
          <w:tab w:val="left" w:pos="4320"/>
          <w:tab w:val="left" w:pos="5040"/>
          <w:tab w:val="left" w:pos="5760"/>
          <w:tab w:val="left" w:pos="6480"/>
          <w:tab w:val="left" w:pos="7200"/>
          <w:tab w:val="left" w:pos="8085"/>
        </w:tabs>
        <w:rPr>
          <w:rFonts w:ascii="Arial" w:hAnsi="Arial" w:cs="Arial"/>
          <w:sz w:val="24"/>
          <w:szCs w:val="24"/>
        </w:rPr>
      </w:pPr>
      <w:r>
        <w:rPr>
          <w:rFonts w:ascii="Arial" w:hAnsi="Arial" w:cs="Arial"/>
          <w:sz w:val="24"/>
          <w:szCs w:val="24"/>
        </w:rPr>
        <w:t xml:space="preserve">Susan L. Harper, Esq. </w:t>
      </w:r>
      <w:r w:rsidR="00AD6B6B">
        <w:rPr>
          <w:rFonts w:ascii="Arial" w:hAnsi="Arial" w:cs="Arial"/>
          <w:sz w:val="24"/>
          <w:szCs w:val="24"/>
        </w:rPr>
        <w:br/>
      </w:r>
      <w:r>
        <w:rPr>
          <w:rFonts w:ascii="Arial" w:hAnsi="Arial" w:cs="Arial"/>
          <w:sz w:val="24"/>
          <w:szCs w:val="24"/>
        </w:rPr>
        <w:t>Bates Group LLC</w:t>
      </w:r>
    </w:p>
    <w:p w14:paraId="32055A88" w14:textId="4FC74866" w:rsidR="000C4FDF" w:rsidRDefault="004C4810" w:rsidP="004C4810">
      <w:pPr>
        <w:tabs>
          <w:tab w:val="left" w:pos="720"/>
          <w:tab w:val="left" w:pos="1440"/>
          <w:tab w:val="left" w:pos="2160"/>
          <w:tab w:val="left" w:pos="2880"/>
          <w:tab w:val="left" w:pos="3600"/>
          <w:tab w:val="left" w:pos="4320"/>
          <w:tab w:val="left" w:pos="5040"/>
          <w:tab w:val="left" w:pos="5760"/>
          <w:tab w:val="left" w:pos="6480"/>
          <w:tab w:val="left" w:pos="7200"/>
          <w:tab w:val="left" w:pos="8085"/>
        </w:tabs>
        <w:jc w:val="both"/>
        <w:rPr>
          <w:rFonts w:ascii="Arial" w:hAnsi="Arial" w:cs="Arial"/>
          <w:sz w:val="24"/>
          <w:szCs w:val="24"/>
        </w:rPr>
      </w:pPr>
      <w:r>
        <w:rPr>
          <w:rFonts w:ascii="Arial" w:hAnsi="Arial" w:cs="Arial"/>
          <w:sz w:val="24"/>
          <w:szCs w:val="24"/>
        </w:rPr>
        <w:t>Panelists:</w:t>
      </w:r>
    </w:p>
    <w:p w14:paraId="738E66B2" w14:textId="76502269" w:rsidR="000C4FDF" w:rsidRDefault="000C4FDF" w:rsidP="000C4FDF">
      <w:pPr>
        <w:tabs>
          <w:tab w:val="left" w:pos="720"/>
          <w:tab w:val="left" w:pos="1440"/>
          <w:tab w:val="left" w:pos="2160"/>
          <w:tab w:val="left" w:pos="2880"/>
          <w:tab w:val="left" w:pos="3600"/>
          <w:tab w:val="left" w:pos="4320"/>
          <w:tab w:val="left" w:pos="5040"/>
          <w:tab w:val="left" w:pos="5760"/>
          <w:tab w:val="left" w:pos="6480"/>
          <w:tab w:val="left" w:pos="7200"/>
          <w:tab w:val="left" w:pos="8085"/>
        </w:tabs>
        <w:rPr>
          <w:rFonts w:ascii="Arial" w:hAnsi="Arial" w:cs="Arial"/>
          <w:sz w:val="24"/>
          <w:szCs w:val="24"/>
        </w:rPr>
      </w:pPr>
      <w:r>
        <w:rPr>
          <w:rFonts w:ascii="Arial" w:hAnsi="Arial" w:cs="Arial"/>
          <w:sz w:val="24"/>
          <w:szCs w:val="24"/>
        </w:rPr>
        <w:t>Kathryn Barcroft, Esq.</w:t>
      </w:r>
      <w:r>
        <w:rPr>
          <w:rFonts w:ascii="Arial" w:hAnsi="Arial" w:cs="Arial"/>
          <w:sz w:val="24"/>
          <w:szCs w:val="24"/>
        </w:rPr>
        <w:br/>
        <w:t>Solomon Law Firm, PLLC</w:t>
      </w:r>
    </w:p>
    <w:p w14:paraId="23ED8044" w14:textId="487BCB26" w:rsidR="000468E6" w:rsidRDefault="000468E6" w:rsidP="000C4FDF">
      <w:pPr>
        <w:tabs>
          <w:tab w:val="left" w:pos="720"/>
          <w:tab w:val="left" w:pos="1440"/>
          <w:tab w:val="left" w:pos="2160"/>
          <w:tab w:val="left" w:pos="2880"/>
          <w:tab w:val="left" w:pos="3600"/>
          <w:tab w:val="left" w:pos="4320"/>
          <w:tab w:val="left" w:pos="5040"/>
          <w:tab w:val="left" w:pos="5760"/>
          <w:tab w:val="left" w:pos="6480"/>
          <w:tab w:val="left" w:pos="7200"/>
          <w:tab w:val="left" w:pos="8085"/>
        </w:tabs>
        <w:rPr>
          <w:rFonts w:ascii="Arial" w:hAnsi="Arial" w:cs="Arial"/>
          <w:sz w:val="24"/>
          <w:szCs w:val="24"/>
        </w:rPr>
      </w:pPr>
      <w:r>
        <w:rPr>
          <w:rFonts w:ascii="Arial" w:hAnsi="Arial" w:cs="Arial"/>
          <w:sz w:val="24"/>
          <w:szCs w:val="24"/>
        </w:rPr>
        <w:lastRenderedPageBreak/>
        <w:t>Carrie Goldberg, Esq.</w:t>
      </w:r>
      <w:r>
        <w:rPr>
          <w:rFonts w:ascii="Arial" w:hAnsi="Arial" w:cs="Arial"/>
          <w:sz w:val="24"/>
          <w:szCs w:val="24"/>
        </w:rPr>
        <w:br/>
        <w:t>C.A. Goldberg, PLLC</w:t>
      </w:r>
    </w:p>
    <w:p w14:paraId="21AF85A4" w14:textId="6C606794" w:rsidR="000C4FDF" w:rsidRDefault="000C4FDF" w:rsidP="000C4FDF">
      <w:pPr>
        <w:tabs>
          <w:tab w:val="left" w:pos="720"/>
          <w:tab w:val="left" w:pos="1440"/>
          <w:tab w:val="left" w:pos="2160"/>
          <w:tab w:val="left" w:pos="2880"/>
          <w:tab w:val="left" w:pos="3600"/>
          <w:tab w:val="left" w:pos="4320"/>
          <w:tab w:val="left" w:pos="5040"/>
          <w:tab w:val="left" w:pos="5760"/>
          <w:tab w:val="left" w:pos="6480"/>
          <w:tab w:val="left" w:pos="7200"/>
          <w:tab w:val="left" w:pos="8085"/>
        </w:tabs>
        <w:rPr>
          <w:rFonts w:ascii="Arial" w:hAnsi="Arial" w:cs="Arial"/>
          <w:sz w:val="24"/>
          <w:szCs w:val="24"/>
        </w:rPr>
      </w:pPr>
      <w:r>
        <w:rPr>
          <w:rFonts w:ascii="Arial" w:hAnsi="Arial" w:cs="Arial"/>
          <w:sz w:val="24"/>
          <w:szCs w:val="24"/>
        </w:rPr>
        <w:t>Taa R. Grays, Esq</w:t>
      </w:r>
      <w:r>
        <w:rPr>
          <w:rFonts w:ascii="Arial" w:hAnsi="Arial" w:cs="Arial"/>
          <w:sz w:val="24"/>
          <w:szCs w:val="24"/>
        </w:rPr>
        <w:br/>
        <w:t>MetLife, Inc.</w:t>
      </w:r>
    </w:p>
    <w:p w14:paraId="497289AF" w14:textId="4F800304" w:rsidR="000A6C36" w:rsidRPr="00E95875" w:rsidRDefault="000A6C36" w:rsidP="000C4FDF">
      <w:pPr>
        <w:tabs>
          <w:tab w:val="left" w:pos="720"/>
          <w:tab w:val="left" w:pos="1440"/>
          <w:tab w:val="left" w:pos="2160"/>
          <w:tab w:val="left" w:pos="2880"/>
          <w:tab w:val="left" w:pos="3600"/>
          <w:tab w:val="left" w:pos="4320"/>
          <w:tab w:val="left" w:pos="5040"/>
          <w:tab w:val="left" w:pos="5760"/>
          <w:tab w:val="left" w:pos="6480"/>
          <w:tab w:val="left" w:pos="7200"/>
          <w:tab w:val="left" w:pos="8085"/>
        </w:tabs>
        <w:rPr>
          <w:rFonts w:ascii="Arial" w:hAnsi="Arial" w:cs="Arial"/>
          <w:sz w:val="24"/>
          <w:szCs w:val="24"/>
        </w:rPr>
      </w:pPr>
      <w:r>
        <w:rPr>
          <w:rFonts w:ascii="Arial" w:hAnsi="Arial" w:cs="Arial"/>
          <w:sz w:val="24"/>
          <w:szCs w:val="24"/>
        </w:rPr>
        <w:t>Debra S. Katz, Esq.</w:t>
      </w:r>
      <w:r>
        <w:rPr>
          <w:rFonts w:ascii="Arial" w:hAnsi="Arial" w:cs="Arial"/>
          <w:sz w:val="24"/>
          <w:szCs w:val="24"/>
        </w:rPr>
        <w:br/>
        <w:t>Katz, Marshall &amp; Banks</w:t>
      </w:r>
    </w:p>
    <w:p w14:paraId="3C0C5A78" w14:textId="7EB4B0F2" w:rsidR="00E95875" w:rsidRDefault="00E95875" w:rsidP="00E95875">
      <w:pPr>
        <w:jc w:val="both"/>
        <w:rPr>
          <w:rFonts w:ascii="Arial" w:hAnsi="Arial" w:cs="Arial"/>
          <w:color w:val="000000"/>
          <w:sz w:val="24"/>
          <w:szCs w:val="24"/>
        </w:rPr>
      </w:pPr>
      <w:r w:rsidRPr="00E95875">
        <w:rPr>
          <w:rFonts w:ascii="Arial" w:hAnsi="Arial" w:cs="Arial"/>
          <w:color w:val="000000"/>
          <w:sz w:val="24"/>
          <w:szCs w:val="24"/>
        </w:rPr>
        <w:t xml:space="preserve">Among the topics of the 2019 New York State Bar Association (NYSBA) Presidential Summit was a review of how the #MeToo movement was spurring much-needed reforms to sexual harassment laws, as women across the nation spoke out in greater numbers about their harrowing and degrading experiences at all levels of the professional world. Three years later, America has its first woman vice president and New York has its first woman governor, who ascended as a result of her male predecessor’s sexual harassment scandal. A 2018 New York Times </w:t>
      </w:r>
      <w:hyperlink r:id="rId4" w:tgtFrame="_blank" w:history="1">
        <w:r w:rsidRPr="00E95875">
          <w:rPr>
            <w:rStyle w:val="Hyperlink"/>
            <w:rFonts w:ascii="Arial" w:hAnsi="Arial" w:cs="Arial"/>
            <w:sz w:val="24"/>
            <w:szCs w:val="24"/>
          </w:rPr>
          <w:t>report found</w:t>
        </w:r>
      </w:hyperlink>
      <w:r w:rsidRPr="00E95875">
        <w:rPr>
          <w:rFonts w:ascii="Arial" w:hAnsi="Arial" w:cs="Arial"/>
          <w:color w:val="000000"/>
          <w:sz w:val="24"/>
          <w:szCs w:val="24"/>
        </w:rPr>
        <w:t xml:space="preserve"> at least 201 prominent male business leaders lost their jobs after the fall of disgraced Hollywood mogul Harvey Weinstein broke open the #MeToo floodgates, but less than half of their replacements were women. This panel will re-examine whether changes to the law have, in fact, been successful in protecting and advancing women in the workplace and whether the movement itself needs a reset</w:t>
      </w:r>
      <w:r>
        <w:rPr>
          <w:rFonts w:ascii="Arial" w:hAnsi="Arial" w:cs="Arial"/>
          <w:color w:val="000000"/>
          <w:sz w:val="24"/>
          <w:szCs w:val="24"/>
        </w:rPr>
        <w:t>, including a review of the impact of the #MeToo movement on communities of color.</w:t>
      </w:r>
    </w:p>
    <w:p w14:paraId="23F603C0" w14:textId="1CDFFCAB" w:rsidR="00D95155" w:rsidRPr="00D95155" w:rsidRDefault="00AD6B6B" w:rsidP="00E95875">
      <w:pPr>
        <w:jc w:val="both"/>
        <w:rPr>
          <w:rFonts w:ascii="Arial" w:hAnsi="Arial" w:cs="Arial"/>
          <w:b/>
          <w:bCs/>
          <w:sz w:val="24"/>
          <w:szCs w:val="24"/>
        </w:rPr>
      </w:pPr>
      <w:r>
        <w:rPr>
          <w:rFonts w:ascii="Arial" w:hAnsi="Arial" w:cs="Arial"/>
          <w:b/>
          <w:bCs/>
          <w:color w:val="000000"/>
          <w:sz w:val="24"/>
          <w:szCs w:val="24"/>
        </w:rPr>
        <w:br/>
      </w:r>
      <w:r w:rsidR="00D95155" w:rsidRPr="00D95155">
        <w:rPr>
          <w:rFonts w:ascii="Arial" w:hAnsi="Arial" w:cs="Arial"/>
          <w:b/>
          <w:bCs/>
          <w:color w:val="000000"/>
          <w:sz w:val="24"/>
          <w:szCs w:val="24"/>
        </w:rPr>
        <w:t xml:space="preserve">Panel Two – </w:t>
      </w:r>
      <w:r w:rsidR="00D95155" w:rsidRPr="00E95875">
        <w:rPr>
          <w:rFonts w:ascii="Arial" w:hAnsi="Arial" w:cs="Arial"/>
          <w:b/>
          <w:bCs/>
          <w:sz w:val="24"/>
          <w:szCs w:val="24"/>
        </w:rPr>
        <w:t>Transgender Rights</w:t>
      </w:r>
      <w:r w:rsidR="00D95155">
        <w:rPr>
          <w:rFonts w:ascii="Arial" w:hAnsi="Arial" w:cs="Arial"/>
          <w:b/>
          <w:bCs/>
          <w:sz w:val="24"/>
          <w:szCs w:val="24"/>
        </w:rPr>
        <w:t xml:space="preserve"> and Sports</w:t>
      </w:r>
      <w:r w:rsidR="00D95155" w:rsidRPr="00E95875">
        <w:rPr>
          <w:rFonts w:ascii="Arial" w:hAnsi="Arial" w:cs="Arial"/>
          <w:b/>
          <w:bCs/>
          <w:sz w:val="24"/>
          <w:szCs w:val="24"/>
        </w:rPr>
        <w:t xml:space="preserve">: Civil Rights Now and Into the Future </w:t>
      </w:r>
    </w:p>
    <w:p w14:paraId="56D422D1" w14:textId="16DD57D6" w:rsidR="00D95155" w:rsidRDefault="00D95155" w:rsidP="00E95875">
      <w:pPr>
        <w:jc w:val="both"/>
        <w:rPr>
          <w:rFonts w:ascii="Arial" w:hAnsi="Arial" w:cs="Arial"/>
          <w:color w:val="000000"/>
          <w:sz w:val="24"/>
          <w:szCs w:val="24"/>
        </w:rPr>
      </w:pPr>
      <w:r>
        <w:rPr>
          <w:rFonts w:ascii="Arial" w:hAnsi="Arial" w:cs="Arial"/>
          <w:color w:val="000000"/>
          <w:sz w:val="24"/>
          <w:szCs w:val="24"/>
        </w:rPr>
        <w:t>1.5 MCLE Credits in Diversity, Inclusion and Elimination of Bias</w:t>
      </w:r>
      <w:r w:rsidR="00B47C10">
        <w:rPr>
          <w:rFonts w:ascii="Arial" w:hAnsi="Arial" w:cs="Arial"/>
          <w:color w:val="000000"/>
          <w:sz w:val="24"/>
          <w:szCs w:val="24"/>
        </w:rPr>
        <w:t xml:space="preserve">     </w:t>
      </w:r>
      <w:r>
        <w:rPr>
          <w:rFonts w:ascii="Arial" w:hAnsi="Arial" w:cs="Arial"/>
          <w:color w:val="000000"/>
          <w:sz w:val="24"/>
          <w:szCs w:val="24"/>
        </w:rPr>
        <w:t>3:35</w:t>
      </w:r>
      <w:r w:rsidR="00B47C10">
        <w:rPr>
          <w:rFonts w:ascii="Arial" w:hAnsi="Arial" w:cs="Arial"/>
          <w:color w:val="000000"/>
          <w:sz w:val="24"/>
          <w:szCs w:val="24"/>
        </w:rPr>
        <w:t xml:space="preserve"> p.m. </w:t>
      </w:r>
      <w:r>
        <w:rPr>
          <w:rFonts w:ascii="Arial" w:hAnsi="Arial" w:cs="Arial"/>
          <w:color w:val="000000"/>
          <w:sz w:val="24"/>
          <w:szCs w:val="24"/>
        </w:rPr>
        <w:t>– 4:50 p.m.</w:t>
      </w:r>
    </w:p>
    <w:p w14:paraId="7B02D5F2" w14:textId="12FB9B43" w:rsidR="004C4810" w:rsidRDefault="004C4810" w:rsidP="00E95875">
      <w:pPr>
        <w:jc w:val="both"/>
        <w:rPr>
          <w:rFonts w:ascii="Arial" w:hAnsi="Arial" w:cs="Arial"/>
          <w:color w:val="000000"/>
          <w:sz w:val="24"/>
          <w:szCs w:val="24"/>
        </w:rPr>
      </w:pPr>
      <w:r>
        <w:rPr>
          <w:rFonts w:ascii="Arial" w:hAnsi="Arial" w:cs="Arial"/>
          <w:color w:val="000000"/>
          <w:sz w:val="24"/>
          <w:szCs w:val="24"/>
        </w:rPr>
        <w:t>Moderator:</w:t>
      </w:r>
    </w:p>
    <w:p w14:paraId="48E8EBB5" w14:textId="463FDE8F" w:rsidR="00AD6B6B" w:rsidRDefault="00AD6B6B" w:rsidP="00AD6B6B">
      <w:pPr>
        <w:rPr>
          <w:rFonts w:ascii="Arial" w:hAnsi="Arial" w:cs="Arial"/>
          <w:color w:val="000000"/>
          <w:sz w:val="24"/>
          <w:szCs w:val="24"/>
        </w:rPr>
      </w:pPr>
      <w:r>
        <w:rPr>
          <w:rFonts w:ascii="Arial" w:hAnsi="Arial" w:cs="Arial"/>
          <w:color w:val="000000"/>
          <w:sz w:val="24"/>
          <w:szCs w:val="24"/>
        </w:rPr>
        <w:t>Jacqueline J. Drohan, Esq.</w:t>
      </w:r>
      <w:r>
        <w:rPr>
          <w:rFonts w:ascii="Arial" w:hAnsi="Arial" w:cs="Arial"/>
          <w:color w:val="000000"/>
          <w:sz w:val="24"/>
          <w:szCs w:val="24"/>
        </w:rPr>
        <w:br/>
        <w:t>D</w:t>
      </w:r>
      <w:r w:rsidR="004B7377">
        <w:rPr>
          <w:rFonts w:ascii="Arial" w:hAnsi="Arial" w:cs="Arial"/>
          <w:color w:val="000000"/>
          <w:sz w:val="24"/>
          <w:szCs w:val="24"/>
        </w:rPr>
        <w:t>ro</w:t>
      </w:r>
      <w:r>
        <w:rPr>
          <w:rFonts w:ascii="Arial" w:hAnsi="Arial" w:cs="Arial"/>
          <w:color w:val="000000"/>
          <w:sz w:val="24"/>
          <w:szCs w:val="24"/>
        </w:rPr>
        <w:t>han Lee LLP</w:t>
      </w:r>
    </w:p>
    <w:p w14:paraId="5F4AF728" w14:textId="79DED2C2" w:rsidR="00AD6B6B" w:rsidRDefault="00AD6B6B" w:rsidP="00AD6B6B">
      <w:pPr>
        <w:rPr>
          <w:rFonts w:ascii="Arial" w:hAnsi="Arial" w:cs="Arial"/>
          <w:color w:val="000000"/>
          <w:sz w:val="24"/>
          <w:szCs w:val="24"/>
        </w:rPr>
      </w:pPr>
      <w:r>
        <w:rPr>
          <w:rFonts w:ascii="Arial" w:hAnsi="Arial" w:cs="Arial"/>
          <w:color w:val="000000"/>
          <w:sz w:val="24"/>
          <w:szCs w:val="24"/>
        </w:rPr>
        <w:t>Panelists:</w:t>
      </w:r>
    </w:p>
    <w:p w14:paraId="4FD7B70C" w14:textId="6B951189" w:rsidR="00AD6B6B" w:rsidRDefault="00AD6B6B" w:rsidP="00AD6B6B">
      <w:pPr>
        <w:rPr>
          <w:rFonts w:ascii="Arial" w:hAnsi="Arial" w:cs="Arial"/>
          <w:color w:val="000000"/>
          <w:sz w:val="24"/>
          <w:szCs w:val="24"/>
        </w:rPr>
      </w:pPr>
      <w:r>
        <w:rPr>
          <w:rFonts w:ascii="Arial" w:hAnsi="Arial" w:cs="Arial"/>
          <w:color w:val="000000"/>
          <w:sz w:val="24"/>
          <w:szCs w:val="24"/>
        </w:rPr>
        <w:t>Prof. Erin Buzuvis</w:t>
      </w:r>
      <w:r>
        <w:rPr>
          <w:rFonts w:ascii="Arial" w:hAnsi="Arial" w:cs="Arial"/>
          <w:color w:val="000000"/>
          <w:sz w:val="24"/>
          <w:szCs w:val="24"/>
        </w:rPr>
        <w:br/>
        <w:t>Western New England School of Law</w:t>
      </w:r>
    </w:p>
    <w:p w14:paraId="26B0DD31" w14:textId="2038FD4D" w:rsidR="00AD6B6B" w:rsidRDefault="00AD6B6B" w:rsidP="00AD6B6B">
      <w:pPr>
        <w:rPr>
          <w:rFonts w:ascii="Arial" w:hAnsi="Arial" w:cs="Arial"/>
          <w:color w:val="000000"/>
          <w:sz w:val="24"/>
          <w:szCs w:val="24"/>
        </w:rPr>
      </w:pPr>
      <w:r>
        <w:rPr>
          <w:rFonts w:ascii="Arial" w:hAnsi="Arial" w:cs="Arial"/>
          <w:color w:val="000000"/>
          <w:sz w:val="24"/>
          <w:szCs w:val="24"/>
        </w:rPr>
        <w:t>Sasha Buchert, Esq.</w:t>
      </w:r>
      <w:r>
        <w:rPr>
          <w:rFonts w:ascii="Arial" w:hAnsi="Arial" w:cs="Arial"/>
          <w:color w:val="000000"/>
          <w:sz w:val="24"/>
          <w:szCs w:val="24"/>
        </w:rPr>
        <w:br/>
        <w:t>Lambda Legal</w:t>
      </w:r>
    </w:p>
    <w:p w14:paraId="77DA61A0" w14:textId="0D23F121" w:rsidR="00AD6B6B" w:rsidRDefault="00AD6B6B" w:rsidP="00AD6B6B">
      <w:pPr>
        <w:rPr>
          <w:rFonts w:ascii="Arial" w:hAnsi="Arial" w:cs="Arial"/>
          <w:color w:val="000000"/>
          <w:sz w:val="24"/>
          <w:szCs w:val="24"/>
        </w:rPr>
      </w:pPr>
      <w:r>
        <w:rPr>
          <w:rFonts w:ascii="Arial" w:hAnsi="Arial" w:cs="Arial"/>
          <w:color w:val="000000"/>
          <w:sz w:val="24"/>
          <w:szCs w:val="24"/>
        </w:rPr>
        <w:t>Jennifer L. Levi, Esq.</w:t>
      </w:r>
      <w:r>
        <w:rPr>
          <w:rFonts w:ascii="Arial" w:hAnsi="Arial" w:cs="Arial"/>
          <w:color w:val="000000"/>
          <w:sz w:val="24"/>
          <w:szCs w:val="24"/>
        </w:rPr>
        <w:br/>
        <w:t>GLAD</w:t>
      </w:r>
    </w:p>
    <w:p w14:paraId="49FECCD1" w14:textId="256A9614" w:rsidR="00AD6B6B" w:rsidRPr="00E95875" w:rsidRDefault="00B5001A" w:rsidP="00AD6B6B">
      <w:pPr>
        <w:rPr>
          <w:rFonts w:ascii="Arial" w:hAnsi="Arial" w:cs="Arial"/>
          <w:color w:val="000000"/>
          <w:sz w:val="24"/>
          <w:szCs w:val="24"/>
        </w:rPr>
      </w:pPr>
      <w:r>
        <w:rPr>
          <w:rFonts w:ascii="Arial" w:hAnsi="Arial" w:cs="Arial"/>
          <w:color w:val="000000"/>
          <w:sz w:val="24"/>
          <w:szCs w:val="24"/>
        </w:rPr>
        <w:t xml:space="preserve">Dr. </w:t>
      </w:r>
      <w:r w:rsidR="00AD6B6B">
        <w:rPr>
          <w:rFonts w:ascii="Arial" w:hAnsi="Arial" w:cs="Arial"/>
          <w:color w:val="000000"/>
          <w:sz w:val="24"/>
          <w:szCs w:val="24"/>
        </w:rPr>
        <w:t>Emma Forbes-Jones, P</w:t>
      </w:r>
      <w:r w:rsidR="008D626C">
        <w:rPr>
          <w:rFonts w:ascii="Arial" w:hAnsi="Arial" w:cs="Arial"/>
          <w:color w:val="000000"/>
          <w:sz w:val="24"/>
          <w:szCs w:val="24"/>
        </w:rPr>
        <w:t>h</w:t>
      </w:r>
      <w:r w:rsidR="00AD6B6B">
        <w:rPr>
          <w:rFonts w:ascii="Arial" w:hAnsi="Arial" w:cs="Arial"/>
          <w:color w:val="000000"/>
          <w:sz w:val="24"/>
          <w:szCs w:val="24"/>
        </w:rPr>
        <w:t>D</w:t>
      </w:r>
      <w:r w:rsidR="00AD6B6B">
        <w:rPr>
          <w:rFonts w:ascii="Arial" w:hAnsi="Arial" w:cs="Arial"/>
          <w:color w:val="000000"/>
          <w:sz w:val="24"/>
          <w:szCs w:val="24"/>
        </w:rPr>
        <w:br/>
        <w:t>Clinical Psychologist</w:t>
      </w:r>
    </w:p>
    <w:p w14:paraId="498E9ABA" w14:textId="24AEBCCB" w:rsidR="00E95875" w:rsidRPr="00E95875" w:rsidRDefault="00E95875" w:rsidP="00E95875">
      <w:pPr>
        <w:jc w:val="both"/>
        <w:rPr>
          <w:rFonts w:ascii="Arial" w:hAnsi="Arial" w:cs="Arial"/>
          <w:sz w:val="24"/>
          <w:szCs w:val="24"/>
        </w:rPr>
      </w:pPr>
      <w:r w:rsidRPr="00E95875">
        <w:rPr>
          <w:rFonts w:ascii="Arial" w:hAnsi="Arial" w:cs="Arial"/>
          <w:sz w:val="24"/>
          <w:szCs w:val="24"/>
        </w:rPr>
        <w:t>The fight for trans</w:t>
      </w:r>
      <w:r>
        <w:rPr>
          <w:rFonts w:ascii="Arial" w:hAnsi="Arial" w:cs="Arial"/>
          <w:sz w:val="24"/>
          <w:szCs w:val="24"/>
        </w:rPr>
        <w:t>gender</w:t>
      </w:r>
      <w:r w:rsidRPr="00E95875">
        <w:rPr>
          <w:rFonts w:ascii="Arial" w:hAnsi="Arial" w:cs="Arial"/>
          <w:sz w:val="24"/>
          <w:szCs w:val="24"/>
        </w:rPr>
        <w:t xml:space="preserve"> rights is arguably the newest front in the modern civil rights debate. And yet, instead of widespread efforts to extend legal safeguards for the trans </w:t>
      </w:r>
      <w:r w:rsidRPr="00E95875">
        <w:rPr>
          <w:rFonts w:ascii="Arial" w:hAnsi="Arial" w:cs="Arial"/>
          <w:sz w:val="24"/>
          <w:szCs w:val="24"/>
        </w:rPr>
        <w:lastRenderedPageBreak/>
        <w:t xml:space="preserve">community, many states across the nation are headed in the opposite direction – especially when it comes to youth sports. </w:t>
      </w:r>
      <w:r>
        <w:rPr>
          <w:rFonts w:ascii="Arial" w:hAnsi="Arial" w:cs="Arial"/>
          <w:sz w:val="24"/>
          <w:szCs w:val="24"/>
        </w:rPr>
        <w:t>An</w:t>
      </w:r>
      <w:r w:rsidRPr="00E95875">
        <w:rPr>
          <w:rFonts w:ascii="Arial" w:hAnsi="Arial" w:cs="Arial"/>
          <w:sz w:val="24"/>
          <w:szCs w:val="24"/>
        </w:rPr>
        <w:t xml:space="preserve"> unprecedented number of bills have been introduced over the past two years to ban or severely limit transgender youth from participating in school sports. These measures primarily target K-12 students, and many are now before state, district and U.S. appellate</w:t>
      </w:r>
      <w:r>
        <w:rPr>
          <w:rFonts w:ascii="Arial" w:hAnsi="Arial" w:cs="Arial"/>
          <w:sz w:val="24"/>
          <w:szCs w:val="24"/>
        </w:rPr>
        <w:t xml:space="preserve"> courts.</w:t>
      </w:r>
    </w:p>
    <w:p w14:paraId="70888986" w14:textId="2D13AC7B" w:rsidR="00E95875" w:rsidRPr="00E95875" w:rsidRDefault="00E95875" w:rsidP="00E95875">
      <w:pPr>
        <w:jc w:val="both"/>
        <w:rPr>
          <w:rFonts w:ascii="Arial" w:hAnsi="Arial" w:cs="Arial"/>
          <w:sz w:val="24"/>
          <w:szCs w:val="24"/>
        </w:rPr>
      </w:pPr>
      <w:r w:rsidRPr="00E95875">
        <w:rPr>
          <w:rFonts w:ascii="Arial" w:hAnsi="Arial" w:cs="Arial"/>
          <w:color w:val="000000"/>
          <w:sz w:val="24"/>
          <w:szCs w:val="24"/>
          <w:shd w:val="clear" w:color="auto" w:fill="FFFFFF"/>
        </w:rPr>
        <w:t>New York, along with l</w:t>
      </w:r>
      <w:r w:rsidRPr="00E95875">
        <w:rPr>
          <w:rFonts w:ascii="Arial" w:hAnsi="Arial" w:cs="Arial"/>
          <w:sz w:val="24"/>
          <w:szCs w:val="24"/>
        </w:rPr>
        <w:t>ocal school districts and athletic associations in many states, have policies that seek to protect the civil rights of transgender person</w:t>
      </w:r>
      <w:r>
        <w:rPr>
          <w:rFonts w:ascii="Arial" w:hAnsi="Arial" w:cs="Arial"/>
          <w:sz w:val="24"/>
          <w:szCs w:val="24"/>
        </w:rPr>
        <w:t>s</w:t>
      </w:r>
      <w:r w:rsidRPr="00E95875">
        <w:rPr>
          <w:rFonts w:ascii="Arial" w:hAnsi="Arial" w:cs="Arial"/>
          <w:sz w:val="24"/>
          <w:szCs w:val="24"/>
        </w:rPr>
        <w:t xml:space="preserve"> </w:t>
      </w:r>
      <w:r>
        <w:rPr>
          <w:rFonts w:ascii="Arial" w:hAnsi="Arial" w:cs="Arial"/>
          <w:sz w:val="24"/>
          <w:szCs w:val="24"/>
        </w:rPr>
        <w:t>–</w:t>
      </w:r>
      <w:r w:rsidRPr="00E95875">
        <w:rPr>
          <w:rFonts w:ascii="Arial" w:hAnsi="Arial" w:cs="Arial"/>
          <w:sz w:val="24"/>
          <w:szCs w:val="24"/>
        </w:rPr>
        <w:t xml:space="preserve"> especially children </w:t>
      </w:r>
      <w:r>
        <w:rPr>
          <w:rFonts w:ascii="Arial" w:hAnsi="Arial" w:cs="Arial"/>
          <w:sz w:val="24"/>
          <w:szCs w:val="24"/>
        </w:rPr>
        <w:t>–</w:t>
      </w:r>
      <w:r w:rsidRPr="00E95875">
        <w:rPr>
          <w:rFonts w:ascii="Arial" w:hAnsi="Arial" w:cs="Arial"/>
          <w:sz w:val="24"/>
          <w:szCs w:val="24"/>
        </w:rPr>
        <w:t xml:space="preserve"> while also ensuring a level playing field for all athletes. However, positions that may be taken by higher courts at the federal level could potentially limit or reverse these important safeguards altogether.</w:t>
      </w:r>
      <w:r>
        <w:rPr>
          <w:rFonts w:ascii="Arial" w:hAnsi="Arial" w:cs="Arial"/>
          <w:sz w:val="24"/>
          <w:szCs w:val="24"/>
        </w:rPr>
        <w:t xml:space="preserve"> This panel will</w:t>
      </w:r>
      <w:r w:rsidRPr="00E95875">
        <w:rPr>
          <w:rFonts w:ascii="Arial" w:hAnsi="Arial" w:cs="Arial"/>
          <w:color w:val="000000"/>
          <w:sz w:val="24"/>
          <w:szCs w:val="24"/>
          <w:shd w:val="clear" w:color="auto" w:fill="FFFFFF"/>
        </w:rPr>
        <w:t xml:space="preserve"> provide education and the opportunity for mutually respectful, objective, fact-based dialogue on the constitutional, scientific, and social justice implications of these laws. In addition, the panel will address broader issues surrounding the competitive impact of existing guidelines intended to afford inclusion of athletes with Differences of Sexual Development (“</w:t>
      </w:r>
      <w:r w:rsidR="00693A20">
        <w:rPr>
          <w:rFonts w:ascii="Arial" w:hAnsi="Arial" w:cs="Arial"/>
          <w:color w:val="000000"/>
          <w:sz w:val="24"/>
          <w:szCs w:val="24"/>
          <w:shd w:val="clear" w:color="auto" w:fill="FFFFFF"/>
        </w:rPr>
        <w:t>DSD</w:t>
      </w:r>
      <w:r w:rsidRPr="00E95875">
        <w:rPr>
          <w:rFonts w:ascii="Arial" w:hAnsi="Arial" w:cs="Arial"/>
          <w:color w:val="000000"/>
          <w:sz w:val="24"/>
          <w:szCs w:val="24"/>
          <w:shd w:val="clear" w:color="auto" w:fill="FFFFFF"/>
        </w:rPr>
        <w:t xml:space="preserve">”) at the collegiate, Olympic, and other elite levels while ensuring fair competition. </w:t>
      </w:r>
    </w:p>
    <w:p w14:paraId="615F2DAB" w14:textId="5FCBD3C3" w:rsidR="00E95875" w:rsidRDefault="00E95875" w:rsidP="00E95875">
      <w:pPr>
        <w:jc w:val="both"/>
      </w:pPr>
    </w:p>
    <w:p w14:paraId="56895E47" w14:textId="10506916" w:rsidR="00B47C10" w:rsidRDefault="00B47C10" w:rsidP="00B47C10">
      <w:pPr>
        <w:jc w:val="both"/>
        <w:rPr>
          <w:rFonts w:ascii="Arial" w:hAnsi="Arial" w:cs="Arial"/>
          <w:sz w:val="24"/>
          <w:szCs w:val="24"/>
        </w:rPr>
      </w:pPr>
      <w:r>
        <w:rPr>
          <w:rFonts w:ascii="Arial" w:hAnsi="Arial" w:cs="Arial"/>
          <w:b/>
          <w:bCs/>
          <w:sz w:val="24"/>
          <w:szCs w:val="24"/>
        </w:rPr>
        <w:t>Closing Remarks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sidR="00FE3645">
        <w:rPr>
          <w:rFonts w:ascii="Arial" w:hAnsi="Arial" w:cs="Arial"/>
          <w:sz w:val="24"/>
          <w:szCs w:val="24"/>
        </w:rPr>
        <w:t>4</w:t>
      </w:r>
      <w:r>
        <w:rPr>
          <w:rFonts w:ascii="Arial" w:hAnsi="Arial" w:cs="Arial"/>
          <w:sz w:val="24"/>
          <w:szCs w:val="24"/>
        </w:rPr>
        <w:t>:50 p.m. – 5:00 p.m.</w:t>
      </w:r>
    </w:p>
    <w:p w14:paraId="6EF2BC35" w14:textId="77777777" w:rsidR="00B47C10" w:rsidRDefault="00B47C10" w:rsidP="00B47C10">
      <w:pPr>
        <w:rPr>
          <w:rFonts w:ascii="Arial" w:hAnsi="Arial" w:cs="Arial"/>
          <w:sz w:val="24"/>
          <w:szCs w:val="24"/>
        </w:rPr>
      </w:pPr>
      <w:r>
        <w:rPr>
          <w:rFonts w:ascii="Arial" w:hAnsi="Arial" w:cs="Arial"/>
          <w:sz w:val="24"/>
          <w:szCs w:val="24"/>
        </w:rPr>
        <w:t>T. Andrew Brown, Esq.</w:t>
      </w:r>
      <w:r>
        <w:rPr>
          <w:rFonts w:ascii="Arial" w:hAnsi="Arial" w:cs="Arial"/>
          <w:sz w:val="24"/>
          <w:szCs w:val="24"/>
        </w:rPr>
        <w:br/>
        <w:t xml:space="preserve">President, New York State Bar Association </w:t>
      </w:r>
      <w:r>
        <w:rPr>
          <w:rFonts w:ascii="Arial" w:hAnsi="Arial" w:cs="Arial"/>
          <w:sz w:val="24"/>
          <w:szCs w:val="24"/>
        </w:rPr>
        <w:br/>
      </w:r>
    </w:p>
    <w:p w14:paraId="2987B722" w14:textId="77777777" w:rsidR="00B47C10" w:rsidRDefault="00B47C10" w:rsidP="00E95875">
      <w:pPr>
        <w:jc w:val="both"/>
      </w:pPr>
    </w:p>
    <w:sectPr w:rsidR="00B4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E79"/>
    <w:rsid w:val="000468E6"/>
    <w:rsid w:val="000A6C36"/>
    <w:rsid w:val="000C4FDF"/>
    <w:rsid w:val="001E4786"/>
    <w:rsid w:val="00263E9C"/>
    <w:rsid w:val="004B7377"/>
    <w:rsid w:val="004C4810"/>
    <w:rsid w:val="0058504D"/>
    <w:rsid w:val="00595887"/>
    <w:rsid w:val="00693A20"/>
    <w:rsid w:val="007931E9"/>
    <w:rsid w:val="00842434"/>
    <w:rsid w:val="00865AC4"/>
    <w:rsid w:val="008D626C"/>
    <w:rsid w:val="00943DD9"/>
    <w:rsid w:val="00962356"/>
    <w:rsid w:val="00AD6B6B"/>
    <w:rsid w:val="00B47C10"/>
    <w:rsid w:val="00B5001A"/>
    <w:rsid w:val="00BF53C2"/>
    <w:rsid w:val="00C72F32"/>
    <w:rsid w:val="00CD293C"/>
    <w:rsid w:val="00D95155"/>
    <w:rsid w:val="00E95875"/>
    <w:rsid w:val="00EE66BC"/>
    <w:rsid w:val="00F04E7A"/>
    <w:rsid w:val="00FC7E53"/>
    <w:rsid w:val="00FE3645"/>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A0E2"/>
  <w15:chartTrackingRefBased/>
  <w15:docId w15:val="{893D7767-1594-432A-8727-BBB40F63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5875"/>
    <w:rPr>
      <w:i/>
      <w:iCs/>
    </w:rPr>
  </w:style>
  <w:style w:type="character" w:styleId="Hyperlink">
    <w:name w:val="Hyperlink"/>
    <w:basedOn w:val="DefaultParagraphFont"/>
    <w:uiPriority w:val="99"/>
    <w:semiHidden/>
    <w:unhideWhenUsed/>
    <w:rsid w:val="00E95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www.nytimes.com%2Finteractive%2F2018%2F10%2F23%2Fus%2Fmetoo-replacements.html&amp;data=04%7C01%7CTRICHARDS%40NYSBA.ORG%7C5954a3c37e3f4d78a72508d9a8492cc0%7Ca865c650f59a418680e8ca03133ad958%7C0%7C0%7C637725854505196546%7CUnknown%7CTWFpbGZsb3d8eyJWIjoiMC4wLjAwMDAiLCJQIjoiV2luMzIiLCJBTiI6Ik1haWwiLCJXVCI6Mn0%3D%7C3000&amp;sdata=FT2WiEnSlIiZvyBDfiNx0kUeGhTm%2FByEFFV7omiAqQ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Thomas</dc:creator>
  <cp:keywords/>
  <dc:description/>
  <cp:lastModifiedBy>Richards, Thomas</cp:lastModifiedBy>
  <cp:revision>7</cp:revision>
  <dcterms:created xsi:type="dcterms:W3CDTF">2021-12-14T15:56:00Z</dcterms:created>
  <dcterms:modified xsi:type="dcterms:W3CDTF">2021-12-20T14:19:00Z</dcterms:modified>
</cp:coreProperties>
</file>