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E29E4" w14:textId="77777777" w:rsidR="0009338B" w:rsidRPr="00A85C0B" w:rsidRDefault="00784231">
      <w:pPr>
        <w:spacing w:line="100" w:lineRule="atLeast"/>
        <w:jc w:val="center"/>
        <w:rPr>
          <w:rFonts w:ascii="Baskerville" w:eastAsia="CG Times" w:hAnsi="Baskerville" w:cs="CG Times"/>
          <w:b/>
          <w:bCs/>
          <w:color w:val="000000"/>
          <w:sz w:val="32"/>
          <w:szCs w:val="32"/>
          <w:u w:val="single"/>
        </w:rPr>
      </w:pPr>
      <w:bookmarkStart w:id="0" w:name="_Hlk99972396"/>
      <w:r w:rsidRPr="00A85C0B">
        <w:rPr>
          <w:rFonts w:ascii="Baskerville" w:eastAsia="CG Times" w:hAnsi="Baskerville" w:cs="CG Times"/>
          <w:b/>
          <w:bCs/>
          <w:color w:val="000000"/>
          <w:sz w:val="32"/>
          <w:szCs w:val="32"/>
          <w:u w:val="single"/>
        </w:rPr>
        <w:t>M E M O R A N D U M</w:t>
      </w:r>
    </w:p>
    <w:p w14:paraId="15A9D570" w14:textId="77777777" w:rsidR="0009338B" w:rsidRPr="00A85C0B" w:rsidRDefault="0009338B">
      <w:pPr>
        <w:spacing w:line="100" w:lineRule="atLeast"/>
        <w:jc w:val="center"/>
        <w:rPr>
          <w:rFonts w:ascii="Baskerville" w:eastAsia="CG Times" w:hAnsi="Baskerville" w:cs="CG Times"/>
          <w:bCs/>
          <w:color w:val="000000"/>
          <w:sz w:val="26"/>
          <w:szCs w:val="26"/>
        </w:rPr>
      </w:pPr>
    </w:p>
    <w:p w14:paraId="563F2883" w14:textId="6381944C" w:rsidR="00894DE1" w:rsidRDefault="00784231" w:rsidP="00894DE1">
      <w:pPr>
        <w:spacing w:line="100" w:lineRule="atLeast"/>
        <w:jc w:val="center"/>
        <w:rPr>
          <w:rFonts w:ascii="Baskerville" w:eastAsia="CG Times" w:hAnsi="Baskerville" w:cs="CG Times"/>
          <w:bCs/>
          <w:color w:val="000000"/>
          <w:sz w:val="26"/>
          <w:szCs w:val="26"/>
        </w:rPr>
      </w:pPr>
      <w:r w:rsidRPr="00A85C0B">
        <w:rPr>
          <w:rFonts w:ascii="Baskerville" w:eastAsia="CG Times" w:hAnsi="Baskerville" w:cs="CG Times"/>
          <w:bCs/>
          <w:color w:val="000000"/>
          <w:sz w:val="26"/>
          <w:szCs w:val="26"/>
        </w:rPr>
        <w:t xml:space="preserve">April 27, 2022 </w:t>
      </w:r>
    </w:p>
    <w:p w14:paraId="7D23063E" w14:textId="77777777" w:rsidR="00894DE1" w:rsidRDefault="00894DE1" w:rsidP="00894DE1">
      <w:pPr>
        <w:spacing w:line="100" w:lineRule="atLeast"/>
        <w:jc w:val="center"/>
        <w:rPr>
          <w:rFonts w:ascii="Baskerville" w:eastAsia="CG Times" w:hAnsi="Baskerville" w:cs="CG Times"/>
          <w:b/>
          <w:bCs/>
          <w:i/>
          <w:color w:val="FF0000"/>
          <w:sz w:val="36"/>
          <w:szCs w:val="26"/>
        </w:rPr>
      </w:pPr>
    </w:p>
    <w:p w14:paraId="424CBAAD" w14:textId="3942E45A" w:rsidR="0009338B" w:rsidRPr="00A85C0B" w:rsidRDefault="00784231">
      <w:pPr>
        <w:spacing w:line="100" w:lineRule="atLeast"/>
        <w:jc w:val="both"/>
        <w:rPr>
          <w:rFonts w:ascii="Baskerville" w:eastAsia="CG Times" w:hAnsi="Baskerville" w:cs="CG Times"/>
          <w:b/>
          <w:bCs/>
          <w:color w:val="000000"/>
        </w:rPr>
      </w:pPr>
      <w:r w:rsidRPr="00A85C0B">
        <w:rPr>
          <w:rFonts w:ascii="Baskerville" w:eastAsia="CG Times" w:hAnsi="Baskerville" w:cs="CG Times"/>
          <w:b/>
          <w:bCs/>
          <w:color w:val="000000"/>
        </w:rPr>
        <w:t>TO:</w:t>
      </w:r>
      <w:r w:rsidRPr="00A85C0B">
        <w:rPr>
          <w:rFonts w:ascii="Baskerville" w:eastAsia="CG Times" w:hAnsi="Baskerville" w:cs="CG Times"/>
          <w:b/>
          <w:bCs/>
          <w:color w:val="000000"/>
        </w:rPr>
        <w:tab/>
      </w:r>
      <w:r w:rsidRPr="00A85C0B">
        <w:rPr>
          <w:rFonts w:ascii="Baskerville" w:eastAsia="CG Times" w:hAnsi="Baskerville" w:cs="CG Times"/>
          <w:b/>
          <w:bCs/>
          <w:color w:val="000000"/>
        </w:rPr>
        <w:tab/>
        <w:t xml:space="preserve">Executive Committee and House of Delegates </w:t>
      </w:r>
    </w:p>
    <w:p w14:paraId="14A24B94" w14:textId="77777777" w:rsidR="0009338B" w:rsidRPr="00A85C0B" w:rsidRDefault="0009338B">
      <w:pPr>
        <w:spacing w:line="100" w:lineRule="atLeast"/>
        <w:jc w:val="both"/>
        <w:rPr>
          <w:rFonts w:ascii="Baskerville" w:eastAsia="CG Times" w:hAnsi="Baskerville" w:cs="CG Times"/>
          <w:b/>
          <w:bCs/>
          <w:color w:val="000000"/>
        </w:rPr>
      </w:pPr>
    </w:p>
    <w:p w14:paraId="313A203E" w14:textId="2A4FDBB2" w:rsidR="0009338B" w:rsidRPr="00A85C0B" w:rsidRDefault="00784231">
      <w:pPr>
        <w:spacing w:line="100" w:lineRule="atLeast"/>
        <w:jc w:val="both"/>
        <w:rPr>
          <w:rFonts w:ascii="Baskerville" w:eastAsia="CG Times" w:hAnsi="Baskerville" w:cs="CG Times"/>
          <w:b/>
          <w:bCs/>
          <w:color w:val="000000"/>
        </w:rPr>
      </w:pPr>
      <w:r w:rsidRPr="00A85C0B">
        <w:rPr>
          <w:rFonts w:ascii="Baskerville" w:eastAsia="CG Times" w:hAnsi="Baskerville" w:cs="CG Times"/>
          <w:b/>
          <w:bCs/>
          <w:color w:val="000000"/>
        </w:rPr>
        <w:t>FROM:</w:t>
      </w:r>
      <w:r w:rsidRPr="00A85C0B">
        <w:rPr>
          <w:rFonts w:ascii="Baskerville" w:eastAsia="CG Times" w:hAnsi="Baskerville" w:cs="CG Times"/>
          <w:b/>
          <w:bCs/>
          <w:color w:val="000000"/>
        </w:rPr>
        <w:tab/>
        <w:t>Committee on Standards of Attorney Conduct (“COSAC”)</w:t>
      </w:r>
    </w:p>
    <w:p w14:paraId="1DF3BC33" w14:textId="77777777" w:rsidR="0009338B" w:rsidRPr="00A85C0B" w:rsidRDefault="0009338B">
      <w:pPr>
        <w:spacing w:line="100" w:lineRule="atLeast"/>
        <w:jc w:val="both"/>
        <w:rPr>
          <w:rFonts w:ascii="Baskerville" w:eastAsia="CG Times" w:hAnsi="Baskerville" w:cs="CG Times"/>
          <w:color w:val="000000"/>
        </w:rPr>
      </w:pPr>
    </w:p>
    <w:p w14:paraId="2A87A38E" w14:textId="77777777" w:rsidR="0009338B" w:rsidRPr="00A85C0B" w:rsidRDefault="00784231">
      <w:pPr>
        <w:spacing w:line="100" w:lineRule="atLeast"/>
        <w:jc w:val="both"/>
        <w:rPr>
          <w:rFonts w:ascii="Baskerville" w:eastAsia="CG Times" w:hAnsi="Baskerville" w:cs="CG Times"/>
          <w:b/>
          <w:bCs/>
          <w:color w:val="000000"/>
        </w:rPr>
      </w:pPr>
      <w:r w:rsidRPr="00A85C0B">
        <w:rPr>
          <w:rFonts w:ascii="Baskerville" w:eastAsia="CG Times" w:hAnsi="Baskerville" w:cs="CG Times"/>
          <w:b/>
          <w:bCs/>
          <w:color w:val="000000"/>
        </w:rPr>
        <w:t>SUBJECT:</w:t>
      </w:r>
      <w:r w:rsidRPr="00A85C0B">
        <w:rPr>
          <w:rFonts w:ascii="Baskerville" w:eastAsia="CG Times" w:hAnsi="Baskerville" w:cs="CG Times"/>
          <w:b/>
          <w:bCs/>
          <w:color w:val="000000"/>
        </w:rPr>
        <w:tab/>
        <w:t xml:space="preserve">Proposed New Comments to Rules 1.4 and 5.6 Regarding </w:t>
      </w:r>
    </w:p>
    <w:p w14:paraId="309A4CD0" w14:textId="77777777" w:rsidR="0009338B" w:rsidRPr="00A85C0B" w:rsidRDefault="00784231">
      <w:pPr>
        <w:spacing w:line="100" w:lineRule="atLeast"/>
        <w:ind w:left="720" w:firstLine="720"/>
        <w:jc w:val="both"/>
        <w:rPr>
          <w:rFonts w:ascii="Baskerville" w:eastAsia="CG Times" w:hAnsi="Baskerville" w:cs="CG Times"/>
          <w:b/>
          <w:bCs/>
          <w:color w:val="000000"/>
        </w:rPr>
      </w:pPr>
      <w:r w:rsidRPr="00A85C0B">
        <w:rPr>
          <w:rFonts w:ascii="Baskerville" w:eastAsia="CG Times" w:hAnsi="Baskerville" w:cs="CG Times"/>
          <w:b/>
          <w:bCs/>
          <w:color w:val="000000"/>
        </w:rPr>
        <w:t xml:space="preserve">Departing Lawyers </w:t>
      </w:r>
    </w:p>
    <w:p w14:paraId="2A819351" w14:textId="77777777" w:rsidR="0009338B" w:rsidRPr="00A85C0B" w:rsidRDefault="0009338B">
      <w:pPr>
        <w:pBdr>
          <w:bottom w:val="double" w:sz="6" w:space="1" w:color="auto"/>
        </w:pBdr>
        <w:spacing w:line="100" w:lineRule="atLeast"/>
        <w:jc w:val="both"/>
        <w:rPr>
          <w:rFonts w:ascii="Baskerville" w:eastAsia="CG Times" w:hAnsi="Baskerville" w:cs="CG Times"/>
          <w:b/>
          <w:bCs/>
          <w:color w:val="000000"/>
        </w:rPr>
      </w:pPr>
    </w:p>
    <w:p w14:paraId="47FD5667" w14:textId="77777777" w:rsidR="0009338B" w:rsidRPr="00A85C0B" w:rsidRDefault="0009338B">
      <w:pPr>
        <w:spacing w:line="100" w:lineRule="atLeast"/>
        <w:jc w:val="both"/>
        <w:rPr>
          <w:rFonts w:ascii="Baskerville" w:eastAsia="CG Times" w:hAnsi="Baskerville" w:cs="CG Times"/>
          <w:b/>
          <w:bCs/>
          <w:color w:val="000000"/>
        </w:rPr>
      </w:pPr>
    </w:p>
    <w:p w14:paraId="5CE88E4C" w14:textId="7F5809E6" w:rsidR="0009338B" w:rsidRPr="00A85C0B" w:rsidRDefault="00784231">
      <w:pPr>
        <w:jc w:val="both"/>
        <w:rPr>
          <w:rFonts w:ascii="Baskerville" w:hAnsi="Baskerville"/>
        </w:rPr>
      </w:pPr>
      <w:r w:rsidRPr="00A85C0B">
        <w:rPr>
          <w:rFonts w:ascii="Baskerville" w:hAnsi="Baskerville"/>
        </w:rPr>
        <w:t xml:space="preserve">As part of COSAC’s comprehensive review of the New York Rules of Professional Conduct, COSAC is proposing new Comments to Rules 1.4 and 5.6 (set out below).  These new Comments provide guidance to departing lawyers and law firms regarding their obligations to notify clients when a lawyer with primary or substantial responsibility for specific matters or clients intends to leave </w:t>
      </w:r>
      <w:r w:rsidR="00A85C0B" w:rsidRPr="00A85C0B">
        <w:rPr>
          <w:rFonts w:ascii="Baskerville" w:hAnsi="Baskerville"/>
        </w:rPr>
        <w:t>a</w:t>
      </w:r>
      <w:r w:rsidRPr="00A85C0B">
        <w:rPr>
          <w:rFonts w:ascii="Baskerville" w:hAnsi="Baskerville"/>
        </w:rPr>
        <w:t xml:space="preserve"> law firm to join a different firm.  </w:t>
      </w:r>
    </w:p>
    <w:p w14:paraId="60A7F47D" w14:textId="77777777" w:rsidR="0009338B" w:rsidRPr="00A85C0B" w:rsidRDefault="0009338B">
      <w:pPr>
        <w:jc w:val="both"/>
        <w:rPr>
          <w:rFonts w:ascii="Baskerville" w:hAnsi="Baskerville"/>
        </w:rPr>
      </w:pPr>
    </w:p>
    <w:p w14:paraId="265B5B6B" w14:textId="3F4F66C6" w:rsidR="0009338B" w:rsidRPr="00A85C0B" w:rsidRDefault="00784231">
      <w:pPr>
        <w:jc w:val="both"/>
        <w:rPr>
          <w:rFonts w:ascii="Baskerville" w:hAnsi="Baskerville"/>
        </w:rPr>
      </w:pPr>
      <w:r w:rsidRPr="00A85C0B">
        <w:rPr>
          <w:rFonts w:ascii="Baskerville" w:hAnsi="Baskerville"/>
        </w:rPr>
        <w:t>By way of background, in July 2021 COSAC proposed a new Rule 5.9 (entitled “Procedures for Lawyers Leaving Law Firms and Procedures for Dissolving Law Firms”).  That proposal</w:t>
      </w:r>
      <w:r w:rsidR="00C52467" w:rsidRPr="00A85C0B">
        <w:rPr>
          <w:rFonts w:ascii="Baskerville" w:hAnsi="Baskerville"/>
        </w:rPr>
        <w:t xml:space="preserve"> generally would have</w:t>
      </w:r>
      <w:r w:rsidRPr="00A85C0B">
        <w:rPr>
          <w:rFonts w:ascii="Baskerville" w:hAnsi="Baskerville"/>
        </w:rPr>
        <w:t xml:space="preserve"> prohibited both the departing lawyer and the law firm from unilaterally notifying the firm’s clients until the departing lawyer and the firm had engaged in bona fide negotiations to craft a joint notice regarding the departing lawyer’s anticipated departure.  Public comments on proposed Rule 5.9, especially the requirement to try to negotiate a joint notice by the departing lawyer and the law firm, were mixed.  For example, a comment from the NYSBA Committee on Legal Aid (“COLA”) urged COSAC to exempt not-for-profit, institutional provider, and pro bono programs.  </w:t>
      </w:r>
    </w:p>
    <w:p w14:paraId="19CEE2F4" w14:textId="77777777" w:rsidR="0009338B" w:rsidRPr="00A85C0B" w:rsidRDefault="0009338B">
      <w:pPr>
        <w:jc w:val="both"/>
        <w:rPr>
          <w:rFonts w:ascii="Baskerville" w:hAnsi="Baskerville"/>
        </w:rPr>
      </w:pPr>
    </w:p>
    <w:p w14:paraId="30E55E44" w14:textId="6F80A993" w:rsidR="0009338B" w:rsidRPr="00A85C0B" w:rsidRDefault="00784231">
      <w:pPr>
        <w:jc w:val="both"/>
        <w:rPr>
          <w:rFonts w:ascii="Baskerville" w:hAnsi="Baskerville"/>
        </w:rPr>
      </w:pPr>
      <w:r w:rsidRPr="00A85C0B">
        <w:rPr>
          <w:rFonts w:ascii="Baskerville" w:hAnsi="Baskerville"/>
        </w:rPr>
        <w:t xml:space="preserve">In October 2021, COSAC presented a revised version of proposed Rule 5.9 to the House of Delegates for informational purposes only.  (Among other things, the revised proposal added an exemption for qualified legal assistance organizations, government law offices, and in-house legal departments.) The House of Delegates did not debate or vote on COSAC’s revised proposal for a new Rule 5.9, thus allowing more time for public reaction and internal COSAC debate.  </w:t>
      </w:r>
    </w:p>
    <w:p w14:paraId="6A5E364F" w14:textId="77777777" w:rsidR="0009338B" w:rsidRPr="00A85C0B" w:rsidRDefault="0009338B">
      <w:pPr>
        <w:ind w:firstLine="720"/>
        <w:jc w:val="both"/>
        <w:rPr>
          <w:rFonts w:ascii="Baskerville" w:hAnsi="Baskerville"/>
        </w:rPr>
      </w:pPr>
    </w:p>
    <w:p w14:paraId="3B566C36" w14:textId="77777777" w:rsidR="0009338B" w:rsidRPr="00A85C0B" w:rsidRDefault="00784231">
      <w:pPr>
        <w:jc w:val="both"/>
        <w:rPr>
          <w:rFonts w:ascii="Baskerville" w:hAnsi="Baskerville"/>
        </w:rPr>
      </w:pPr>
      <w:r w:rsidRPr="00A85C0B">
        <w:rPr>
          <w:rFonts w:ascii="Baskerville" w:hAnsi="Baskerville"/>
        </w:rPr>
        <w:t xml:space="preserve">On February 7, 2022, COSAC sent a further revised proposal for new Rule 5.9 to the Executive Committee and House of Delegates.  This proposal also met with mixed reviews.  </w:t>
      </w:r>
    </w:p>
    <w:p w14:paraId="7D822297" w14:textId="77777777" w:rsidR="0009338B" w:rsidRPr="00A85C0B" w:rsidRDefault="0009338B">
      <w:pPr>
        <w:jc w:val="both"/>
        <w:rPr>
          <w:rFonts w:ascii="Baskerville" w:hAnsi="Baskerville"/>
        </w:rPr>
      </w:pPr>
    </w:p>
    <w:p w14:paraId="0475E5EF" w14:textId="35F65155" w:rsidR="0009338B" w:rsidRPr="00A85C0B" w:rsidRDefault="00784231">
      <w:pPr>
        <w:jc w:val="both"/>
        <w:rPr>
          <w:rFonts w:ascii="Baskerville" w:eastAsia="Calibri" w:hAnsi="Baskerville"/>
          <w:szCs w:val="24"/>
        </w:rPr>
      </w:pPr>
      <w:r w:rsidRPr="00A85C0B">
        <w:rPr>
          <w:rFonts w:ascii="Baskerville" w:hAnsi="Baskerville"/>
        </w:rPr>
        <w:t xml:space="preserve">On the one hand, in March 2022 the NYSBA Committee on Professional Ethics submitted a lengthy memorandum opposing proposed Rule 5.9 or any further guidance in the black letter ethics rules (the disciplinary rules).  </w:t>
      </w:r>
      <w:r w:rsidRPr="00A85C0B">
        <w:rPr>
          <w:rFonts w:ascii="Baskerville" w:eastAsia="Calibri" w:hAnsi="Baskerville"/>
          <w:szCs w:val="24"/>
        </w:rPr>
        <w:t>The Ethics Committee summarized its views as follows (p. 1):</w:t>
      </w:r>
    </w:p>
    <w:p w14:paraId="3A02A4AB" w14:textId="77777777" w:rsidR="0009338B" w:rsidRPr="00A85C0B" w:rsidRDefault="0009338B">
      <w:pPr>
        <w:jc w:val="both"/>
        <w:rPr>
          <w:rFonts w:ascii="Baskerville" w:eastAsia="Calibri" w:hAnsi="Baskerville"/>
          <w:szCs w:val="24"/>
        </w:rPr>
      </w:pPr>
    </w:p>
    <w:p w14:paraId="1273F95C" w14:textId="6507913E" w:rsidR="0009338B" w:rsidRPr="00A85C0B" w:rsidRDefault="00784231">
      <w:pPr>
        <w:ind w:left="720" w:right="720"/>
        <w:jc w:val="both"/>
        <w:rPr>
          <w:rFonts w:ascii="Baskerville" w:eastAsia="Calibri" w:hAnsi="Baskerville"/>
          <w:szCs w:val="24"/>
        </w:rPr>
      </w:pPr>
      <w:r w:rsidRPr="00A85C0B">
        <w:rPr>
          <w:rFonts w:ascii="Baskerville" w:eastAsia="Calibri" w:hAnsi="Baskerville"/>
          <w:szCs w:val="24"/>
        </w:rPr>
        <w:t>[W]e … oppose adoption of the proposed Rule 5.9 because the proposal restricts the right of a “departing lawyer” … in an ongoing or dissolving law firm to communicate unilaterally with the departing lawyer’s current and former clients consistent with his or her existing ethical, fiduciary, and contractual duties.</w:t>
      </w:r>
    </w:p>
    <w:p w14:paraId="0631EB9C" w14:textId="77777777" w:rsidR="0009338B" w:rsidRPr="00A85C0B" w:rsidRDefault="0009338B">
      <w:pPr>
        <w:jc w:val="both"/>
        <w:rPr>
          <w:rFonts w:ascii="Baskerville" w:eastAsia="Calibri" w:hAnsi="Baskerville"/>
          <w:szCs w:val="24"/>
        </w:rPr>
      </w:pPr>
    </w:p>
    <w:p w14:paraId="44286117" w14:textId="6E5BD2B5" w:rsidR="0009338B" w:rsidRPr="00A85C0B" w:rsidRDefault="00784231">
      <w:pPr>
        <w:jc w:val="both"/>
        <w:rPr>
          <w:rFonts w:ascii="Baskerville" w:eastAsia="Calibri" w:hAnsi="Baskerville"/>
          <w:szCs w:val="24"/>
        </w:rPr>
      </w:pPr>
      <w:r w:rsidRPr="00A85C0B">
        <w:rPr>
          <w:rFonts w:ascii="Baskerville" w:eastAsia="Calibri" w:hAnsi="Baskerville"/>
          <w:szCs w:val="24"/>
        </w:rPr>
        <w:t>The Ethics Committee also said (p. 2) that if any further guidance was needed:</w:t>
      </w:r>
    </w:p>
    <w:p w14:paraId="5C2189A5" w14:textId="77777777" w:rsidR="0009338B" w:rsidRPr="00A85C0B" w:rsidRDefault="0009338B">
      <w:pPr>
        <w:jc w:val="both"/>
        <w:rPr>
          <w:rFonts w:ascii="Baskerville" w:eastAsia="Calibri" w:hAnsi="Baskerville"/>
          <w:szCs w:val="24"/>
        </w:rPr>
      </w:pPr>
    </w:p>
    <w:p w14:paraId="0DAA5410" w14:textId="17AE35BA" w:rsidR="0009338B" w:rsidRPr="00A85C0B" w:rsidRDefault="00784231">
      <w:pPr>
        <w:ind w:left="720" w:right="720"/>
        <w:jc w:val="both"/>
        <w:rPr>
          <w:rFonts w:ascii="Baskerville" w:eastAsia="Calibri" w:hAnsi="Baskerville"/>
          <w:szCs w:val="24"/>
        </w:rPr>
      </w:pPr>
      <w:r w:rsidRPr="00A85C0B">
        <w:rPr>
          <w:rFonts w:ascii="Baskerville" w:eastAsia="Calibri" w:hAnsi="Baskerville"/>
          <w:szCs w:val="24"/>
        </w:rPr>
        <w:t>Our preference is to incorporate elements of COSAC’s proposal in Comments accompanying existing Rules, thereby giving hortatory effect to principles COSAC advances without the unnecessary impact of a disciplinary rule ....</w:t>
      </w:r>
    </w:p>
    <w:p w14:paraId="5603DACB" w14:textId="77777777" w:rsidR="0009338B" w:rsidRPr="00A85C0B" w:rsidRDefault="0009338B">
      <w:pPr>
        <w:ind w:left="720" w:firstLine="720"/>
        <w:jc w:val="both"/>
        <w:rPr>
          <w:rFonts w:ascii="Baskerville" w:eastAsia="Calibri" w:hAnsi="Baskerville"/>
          <w:szCs w:val="24"/>
        </w:rPr>
      </w:pPr>
    </w:p>
    <w:p w14:paraId="6CED7ABB" w14:textId="0C2B3E73" w:rsidR="0009338B" w:rsidRPr="00A85C0B" w:rsidRDefault="00784231">
      <w:pPr>
        <w:jc w:val="both"/>
        <w:rPr>
          <w:rFonts w:ascii="Baskerville" w:eastAsia="Calibri" w:hAnsi="Baskerville"/>
          <w:szCs w:val="24"/>
        </w:rPr>
      </w:pPr>
      <w:r w:rsidRPr="00A85C0B">
        <w:rPr>
          <w:rFonts w:ascii="Baskerville" w:eastAsia="Calibri" w:hAnsi="Baskerville"/>
          <w:szCs w:val="24"/>
        </w:rPr>
        <w:t>The Ethics Committee then set out several proposed paragraphs of suggested Comments to existing Rule 1.4, which obligates lawyer</w:t>
      </w:r>
      <w:r w:rsidR="00FE45D2">
        <w:rPr>
          <w:rFonts w:ascii="Baskerville" w:eastAsia="Calibri" w:hAnsi="Baskerville"/>
          <w:szCs w:val="24"/>
        </w:rPr>
        <w:t>s and law firms</w:t>
      </w:r>
      <w:r w:rsidRPr="00A85C0B">
        <w:rPr>
          <w:rFonts w:ascii="Baskerville" w:eastAsia="Calibri" w:hAnsi="Baskerville"/>
          <w:szCs w:val="24"/>
        </w:rPr>
        <w:t xml:space="preserve"> to notify clients of “material developments” in a matter.</w:t>
      </w:r>
    </w:p>
    <w:p w14:paraId="6D8A41BB" w14:textId="77777777" w:rsidR="0009338B" w:rsidRPr="00A85C0B" w:rsidRDefault="0009338B">
      <w:pPr>
        <w:jc w:val="both"/>
        <w:rPr>
          <w:rFonts w:ascii="Baskerville" w:eastAsia="Calibri" w:hAnsi="Baskerville"/>
          <w:szCs w:val="24"/>
        </w:rPr>
      </w:pPr>
    </w:p>
    <w:p w14:paraId="6C088F0E" w14:textId="582F59F1" w:rsidR="0009338B" w:rsidRPr="00A85C0B" w:rsidRDefault="00784231">
      <w:pPr>
        <w:jc w:val="both"/>
        <w:rPr>
          <w:rFonts w:ascii="Baskerville" w:hAnsi="Baskerville"/>
        </w:rPr>
      </w:pPr>
      <w:r w:rsidRPr="00A85C0B">
        <w:rPr>
          <w:rFonts w:ascii="Baskerville" w:hAnsi="Baskerville"/>
        </w:rPr>
        <w:t>On the other hand, noted New York Law Journal columnist and professional responsibility lawyer Anthony Davis wrote a column taking issue with the Ethics Committee’s position and generally praising COSAC’s propos</w:t>
      </w:r>
      <w:r w:rsidR="00FE45D2">
        <w:rPr>
          <w:rFonts w:ascii="Baskerville" w:hAnsi="Baskerville"/>
        </w:rPr>
        <w:t>ed new Rule 5.9</w:t>
      </w:r>
      <w:r w:rsidRPr="00A85C0B">
        <w:rPr>
          <w:rFonts w:ascii="Baskerville" w:hAnsi="Baskerville"/>
        </w:rPr>
        <w:t>.  Mr. Davis said:</w:t>
      </w:r>
    </w:p>
    <w:p w14:paraId="1F64EA20" w14:textId="77777777" w:rsidR="0009338B" w:rsidRPr="00A85C0B" w:rsidRDefault="0009338B">
      <w:pPr>
        <w:jc w:val="both"/>
        <w:rPr>
          <w:rFonts w:ascii="Baskerville" w:hAnsi="Baskerville"/>
        </w:rPr>
      </w:pPr>
    </w:p>
    <w:p w14:paraId="7D767F99" w14:textId="3DF01608" w:rsidR="0009338B" w:rsidRPr="00A85C0B" w:rsidRDefault="00784231">
      <w:pPr>
        <w:ind w:left="720" w:right="720"/>
        <w:jc w:val="both"/>
        <w:rPr>
          <w:rFonts w:ascii="Baskerville" w:hAnsi="Baskerville"/>
        </w:rPr>
      </w:pPr>
      <w:r w:rsidRPr="00A85C0B">
        <w:rPr>
          <w:rFonts w:ascii="Baskerville" w:hAnsi="Baskerville"/>
        </w:rPr>
        <w:t xml:space="preserve">[T]he adoption of a rule … as proposed by COSAC would be worthwhile and beneficial for clients as well as individual lawyers, law firms and the </w:t>
      </w:r>
      <w:proofErr w:type="gramStart"/>
      <w:r w:rsidRPr="00A85C0B">
        <w:rPr>
          <w:rFonts w:ascii="Baskerville" w:hAnsi="Baskerville"/>
        </w:rPr>
        <w:t>profession as a whole</w:t>
      </w:r>
      <w:proofErr w:type="gramEnd"/>
      <w:r w:rsidRPr="00A85C0B">
        <w:rPr>
          <w:rFonts w:ascii="Baskerville" w:hAnsi="Baskerville"/>
        </w:rPr>
        <w:t xml:space="preserve">.  Importantly, … the proposed rule would protect clients’ interests by avoiding the all too frequent situation where they become “piggies in the middle” in the kinds of dispute which all too frequently arise between departing lawyers and their law firms, and which the proposed rule is intended and designed to eliminate. </w:t>
      </w:r>
    </w:p>
    <w:p w14:paraId="460A16B4" w14:textId="77777777" w:rsidR="0009338B" w:rsidRPr="00A85C0B" w:rsidRDefault="0009338B">
      <w:pPr>
        <w:jc w:val="both"/>
        <w:rPr>
          <w:rFonts w:ascii="Baskerville" w:hAnsi="Baskerville"/>
        </w:rPr>
      </w:pPr>
    </w:p>
    <w:p w14:paraId="0C15D6A1" w14:textId="77777777" w:rsidR="0009338B" w:rsidRPr="00A85C0B" w:rsidRDefault="00784231">
      <w:pPr>
        <w:jc w:val="both"/>
        <w:rPr>
          <w:rFonts w:ascii="Baskerville" w:hAnsi="Baskerville"/>
        </w:rPr>
      </w:pPr>
      <w:r w:rsidRPr="00A85C0B">
        <w:rPr>
          <w:rFonts w:ascii="Baskerville" w:hAnsi="Baskerville"/>
        </w:rPr>
        <w:t xml:space="preserve">Anthony E. Davis, </w:t>
      </w:r>
      <w:r w:rsidRPr="00894DE1">
        <w:rPr>
          <w:rFonts w:ascii="Baskerville" w:hAnsi="Baskerville"/>
          <w:i/>
          <w:iCs/>
        </w:rPr>
        <w:t>Proposed New Procedures for Lawyers Leaving Law Firms</w:t>
      </w:r>
      <w:r w:rsidRPr="00A85C0B">
        <w:rPr>
          <w:rFonts w:ascii="Baskerville" w:hAnsi="Baskerville"/>
        </w:rPr>
        <w:t xml:space="preserve"> (N.Y.L.J. April 5, 2022).</w:t>
      </w:r>
    </w:p>
    <w:p w14:paraId="3CD78CCB" w14:textId="77777777" w:rsidR="0009338B" w:rsidRPr="00A85C0B" w:rsidRDefault="0009338B">
      <w:pPr>
        <w:jc w:val="both"/>
        <w:rPr>
          <w:rFonts w:ascii="Baskerville" w:hAnsi="Baskerville"/>
        </w:rPr>
      </w:pPr>
    </w:p>
    <w:p w14:paraId="34412B54" w14:textId="51791B6E" w:rsidR="0009338B" w:rsidRPr="00A85C0B" w:rsidRDefault="00784231">
      <w:pPr>
        <w:jc w:val="both"/>
        <w:rPr>
          <w:rFonts w:ascii="Baskerville" w:hAnsi="Baskerville"/>
        </w:rPr>
      </w:pPr>
      <w:r w:rsidRPr="00A85C0B">
        <w:rPr>
          <w:rFonts w:ascii="Baskerville" w:hAnsi="Baskerville"/>
        </w:rPr>
        <w:t xml:space="preserve">After considering the substance and proposed language in the Ethics Committee’s memorandum, as well as the views of others, COSAC is proposing new Comments to Rule 1.4 </w:t>
      </w:r>
      <w:r w:rsidR="00FE45D2">
        <w:rPr>
          <w:rFonts w:ascii="Baskerville" w:hAnsi="Baskerville"/>
        </w:rPr>
        <w:t>as well as</w:t>
      </w:r>
      <w:r w:rsidRPr="00A85C0B">
        <w:rPr>
          <w:rFonts w:ascii="Baskerville" w:hAnsi="Baskerville"/>
        </w:rPr>
        <w:t xml:space="preserve"> amendments to the Comments to Rule 5.6 (which governs agreements that restrict a lawyer’s right to practice law after leaving a firm).  Unlike COSAC’s proposed black letter Rule 5.9, COSAC’s proposed Comments do not </w:t>
      </w:r>
      <w:r w:rsidR="00FE45D2">
        <w:rPr>
          <w:rFonts w:ascii="Baskerville" w:hAnsi="Baskerville"/>
        </w:rPr>
        <w:t xml:space="preserve">require </w:t>
      </w:r>
      <w:r w:rsidRPr="00A85C0B">
        <w:rPr>
          <w:rFonts w:ascii="Baskerville" w:hAnsi="Baskerville"/>
        </w:rPr>
        <w:t xml:space="preserve">the departing lawyer and the law firm attempt to negotiate a joint notice—but the proposed Comments </w:t>
      </w:r>
      <w:r w:rsidR="00FE45D2">
        <w:rPr>
          <w:rFonts w:ascii="Baskerville" w:hAnsi="Baskerville"/>
        </w:rPr>
        <w:t>expressly</w:t>
      </w:r>
      <w:r w:rsidRPr="00A85C0B">
        <w:rPr>
          <w:rFonts w:ascii="Baskerville" w:hAnsi="Baskerville"/>
        </w:rPr>
        <w:t xml:space="preserve"> note that joint notice is “preferable.”  </w:t>
      </w:r>
    </w:p>
    <w:p w14:paraId="4327F85A" w14:textId="77777777" w:rsidR="0009338B" w:rsidRPr="00A85C0B" w:rsidRDefault="0009338B">
      <w:pPr>
        <w:jc w:val="both"/>
        <w:rPr>
          <w:rFonts w:ascii="Baskerville" w:hAnsi="Baskerville"/>
        </w:rPr>
      </w:pPr>
    </w:p>
    <w:p w14:paraId="6F6F6F6E" w14:textId="18FF2F28" w:rsidR="0009338B" w:rsidRPr="00A85C0B" w:rsidRDefault="0074081C">
      <w:pPr>
        <w:jc w:val="both"/>
        <w:rPr>
          <w:rFonts w:ascii="Baskerville" w:hAnsi="Baskerville"/>
          <w:szCs w:val="24"/>
        </w:rPr>
      </w:pPr>
      <w:r>
        <w:rPr>
          <w:rFonts w:ascii="Baskerville" w:hAnsi="Baskerville"/>
        </w:rPr>
        <w:t xml:space="preserve">To gain a wider perspective, </w:t>
      </w:r>
      <w:r w:rsidR="00784231" w:rsidRPr="00A85C0B">
        <w:rPr>
          <w:rFonts w:ascii="Baskerville" w:hAnsi="Baskerville"/>
        </w:rPr>
        <w:t xml:space="preserve">COSAC solicited reactions from </w:t>
      </w:r>
      <w:proofErr w:type="gramStart"/>
      <w:r w:rsidR="00784231" w:rsidRPr="00A85C0B">
        <w:rPr>
          <w:rFonts w:ascii="Baskerville" w:hAnsi="Baskerville"/>
        </w:rPr>
        <w:t>a number of</w:t>
      </w:r>
      <w:proofErr w:type="gramEnd"/>
      <w:r w:rsidR="00784231" w:rsidRPr="00A85C0B">
        <w:rPr>
          <w:rFonts w:ascii="Baskerville" w:hAnsi="Baskerville"/>
        </w:rPr>
        <w:t xml:space="preserve"> people who had commented on COSAC’s earlier proposals for a new black letter Rule 5.9.  These reactions are mostly favorable, endorsing both the concept of putting the guidance in Comments (rather than a black letter Rule) and approving much of the language.  Here are some sample reactions from prominent lawyers who write about or represent departing lawyers or their firms:</w:t>
      </w:r>
    </w:p>
    <w:p w14:paraId="2112CDE4" w14:textId="77777777" w:rsidR="0009338B" w:rsidRPr="00A85C0B" w:rsidRDefault="0009338B">
      <w:pPr>
        <w:jc w:val="both"/>
        <w:rPr>
          <w:rFonts w:ascii="Baskerville" w:hAnsi="Baskerville"/>
          <w:szCs w:val="24"/>
        </w:rPr>
      </w:pPr>
    </w:p>
    <w:p w14:paraId="69717247" w14:textId="77777777" w:rsidR="0009338B" w:rsidRPr="00A85C0B" w:rsidRDefault="00784231" w:rsidP="00894DE1">
      <w:pPr>
        <w:keepNext/>
        <w:rPr>
          <w:rFonts w:ascii="Baskerville" w:hAnsi="Baskerville"/>
          <w:b/>
          <w:bCs/>
          <w:i/>
          <w:iCs/>
          <w:color w:val="000000" w:themeColor="text1"/>
          <w:szCs w:val="24"/>
          <w:u w:val="single"/>
        </w:rPr>
      </w:pPr>
      <w:r w:rsidRPr="00A85C0B">
        <w:rPr>
          <w:rFonts w:ascii="Baskerville" w:hAnsi="Baskerville"/>
          <w:b/>
          <w:bCs/>
          <w:i/>
          <w:iCs/>
          <w:color w:val="000000" w:themeColor="text1"/>
          <w:szCs w:val="24"/>
          <w:u w:val="single"/>
        </w:rPr>
        <w:t xml:space="preserve">Bob Hillman (author of </w:t>
      </w:r>
      <w:r w:rsidRPr="00A85C0B">
        <w:rPr>
          <w:rFonts w:ascii="Baskerville" w:hAnsi="Baskerville"/>
          <w:b/>
          <w:bCs/>
          <w:i/>
          <w:iCs/>
          <w:smallCaps/>
          <w:color w:val="000000" w:themeColor="text1"/>
          <w:szCs w:val="24"/>
          <w:u w:val="single"/>
        </w:rPr>
        <w:t>Hillman on Lawyer Mobility</w:t>
      </w:r>
      <w:r w:rsidRPr="00A85C0B">
        <w:rPr>
          <w:rFonts w:ascii="Baskerville" w:hAnsi="Baskerville"/>
          <w:b/>
          <w:bCs/>
          <w:i/>
          <w:iCs/>
          <w:color w:val="000000" w:themeColor="text1"/>
          <w:szCs w:val="24"/>
          <w:u w:val="single"/>
        </w:rPr>
        <w:t>)</w:t>
      </w:r>
    </w:p>
    <w:p w14:paraId="4039EE73" w14:textId="77777777" w:rsidR="0009338B" w:rsidRPr="00A85C0B" w:rsidRDefault="0009338B" w:rsidP="00894DE1">
      <w:pPr>
        <w:keepNext/>
        <w:rPr>
          <w:rFonts w:ascii="Baskerville" w:hAnsi="Baskerville"/>
          <w:i/>
          <w:iCs/>
          <w:color w:val="000000" w:themeColor="text1"/>
          <w:szCs w:val="24"/>
          <w:u w:val="single"/>
        </w:rPr>
      </w:pPr>
    </w:p>
    <w:p w14:paraId="097D97C2" w14:textId="77777777" w:rsidR="0009338B" w:rsidRPr="00A85C0B" w:rsidRDefault="00784231" w:rsidP="00894DE1">
      <w:pPr>
        <w:ind w:left="720" w:right="720"/>
        <w:jc w:val="both"/>
        <w:rPr>
          <w:rFonts w:ascii="Baskerville" w:hAnsi="Baskerville" w:cs="Calibri"/>
          <w:color w:val="000000"/>
          <w:szCs w:val="24"/>
        </w:rPr>
      </w:pPr>
      <w:r w:rsidRPr="00A85C0B">
        <w:rPr>
          <w:rFonts w:ascii="Baskerville" w:hAnsi="Baskerville" w:cs="Calibri"/>
          <w:color w:val="000000"/>
          <w:szCs w:val="24"/>
        </w:rPr>
        <w:t>The proposal is excellent and offers important guidance and clarity.  I have only one very minor suggestion.  “Notice” is used to describe both notice to clients and notice to firms.  You may want to describe the notice to firms as “departure notice,” although I doubt that anyone who gives this a careful read would be confused.</w:t>
      </w:r>
    </w:p>
    <w:p w14:paraId="3233A91F" w14:textId="77777777" w:rsidR="0009338B" w:rsidRPr="00A85C0B" w:rsidRDefault="0009338B">
      <w:pPr>
        <w:ind w:left="720"/>
        <w:rPr>
          <w:rFonts w:ascii="Baskerville" w:hAnsi="Baskerville" w:cs="Calibri"/>
          <w:color w:val="000000"/>
          <w:szCs w:val="24"/>
        </w:rPr>
      </w:pPr>
    </w:p>
    <w:p w14:paraId="02EBD438" w14:textId="77777777" w:rsidR="0009338B" w:rsidRPr="00A85C0B" w:rsidRDefault="00784231" w:rsidP="00894DE1">
      <w:pPr>
        <w:jc w:val="center"/>
        <w:rPr>
          <w:rFonts w:ascii="Baskerville" w:hAnsi="Baskerville" w:cs="Calibri"/>
          <w:color w:val="000000"/>
          <w:szCs w:val="24"/>
        </w:rPr>
      </w:pPr>
      <w:r w:rsidRPr="00A85C0B">
        <w:rPr>
          <w:rFonts w:ascii="Baskerville" w:hAnsi="Baskerville" w:cs="Calibri"/>
          <w:color w:val="000000"/>
          <w:szCs w:val="24"/>
        </w:rPr>
        <w:t>*</w:t>
      </w:r>
      <w:r w:rsidRPr="00A85C0B">
        <w:rPr>
          <w:rFonts w:ascii="Baskerville" w:hAnsi="Baskerville" w:cs="Calibri"/>
          <w:color w:val="000000"/>
          <w:szCs w:val="24"/>
        </w:rPr>
        <w:tab/>
        <w:t>*</w:t>
      </w:r>
      <w:r w:rsidRPr="00A85C0B">
        <w:rPr>
          <w:rFonts w:ascii="Baskerville" w:hAnsi="Baskerville" w:cs="Calibri"/>
          <w:color w:val="000000"/>
          <w:szCs w:val="24"/>
        </w:rPr>
        <w:tab/>
        <w:t>*</w:t>
      </w:r>
    </w:p>
    <w:p w14:paraId="2C392689" w14:textId="77777777" w:rsidR="0009338B" w:rsidRPr="00A85C0B" w:rsidRDefault="0009338B">
      <w:pPr>
        <w:ind w:left="720"/>
        <w:rPr>
          <w:rFonts w:ascii="Baskerville" w:hAnsi="Baskerville" w:cs="Calibri"/>
          <w:color w:val="000000"/>
          <w:szCs w:val="24"/>
        </w:rPr>
      </w:pPr>
    </w:p>
    <w:p w14:paraId="27882679" w14:textId="0C656BB6" w:rsidR="0009338B" w:rsidRPr="00A85C0B" w:rsidRDefault="00784231">
      <w:pPr>
        <w:ind w:left="720" w:right="720"/>
        <w:rPr>
          <w:rFonts w:ascii="Baskerville" w:hAnsi="Baskerville" w:cs="Calibri"/>
          <w:color w:val="000000"/>
          <w:szCs w:val="24"/>
        </w:rPr>
      </w:pPr>
      <w:r w:rsidRPr="00A85C0B">
        <w:rPr>
          <w:rFonts w:ascii="Baskerville" w:hAnsi="Baskerville" w:cs="Calibri"/>
          <w:color w:val="000000"/>
          <w:szCs w:val="24"/>
        </w:rPr>
        <w:t>Thanks for including me in this process.  Law reform in the right direction is a pleasure to watch.</w:t>
      </w:r>
    </w:p>
    <w:p w14:paraId="2D38AC20" w14:textId="77777777" w:rsidR="0009338B" w:rsidRPr="00A85C0B" w:rsidRDefault="0009338B">
      <w:pPr>
        <w:ind w:left="720"/>
        <w:rPr>
          <w:rFonts w:ascii="Baskerville" w:hAnsi="Baskerville" w:cs="Calibri"/>
          <w:color w:val="000000"/>
          <w:szCs w:val="24"/>
        </w:rPr>
      </w:pPr>
    </w:p>
    <w:p w14:paraId="5F087C5D" w14:textId="77777777" w:rsidR="0009338B" w:rsidRPr="00A85C0B" w:rsidRDefault="00784231">
      <w:pPr>
        <w:rPr>
          <w:rFonts w:ascii="Baskerville" w:hAnsi="Baskerville" w:cs="Calibri"/>
          <w:b/>
          <w:bCs/>
          <w:i/>
          <w:iCs/>
          <w:color w:val="000000" w:themeColor="text1"/>
          <w:szCs w:val="24"/>
          <w:u w:val="single"/>
        </w:rPr>
      </w:pPr>
      <w:r w:rsidRPr="00A85C0B">
        <w:rPr>
          <w:rFonts w:ascii="Baskerville" w:hAnsi="Baskerville"/>
          <w:b/>
          <w:bCs/>
          <w:i/>
          <w:iCs/>
          <w:color w:val="000000" w:themeColor="text1"/>
          <w:szCs w:val="24"/>
          <w:u w:val="single"/>
        </w:rPr>
        <w:t xml:space="preserve">Art </w:t>
      </w:r>
      <w:proofErr w:type="spellStart"/>
      <w:r w:rsidRPr="00A85C0B">
        <w:rPr>
          <w:rFonts w:ascii="Baskerville" w:hAnsi="Baskerville"/>
          <w:b/>
          <w:bCs/>
          <w:i/>
          <w:iCs/>
          <w:color w:val="000000" w:themeColor="text1"/>
          <w:szCs w:val="24"/>
          <w:u w:val="single"/>
        </w:rPr>
        <w:t>Ciampi</w:t>
      </w:r>
      <w:proofErr w:type="spellEnd"/>
      <w:r w:rsidRPr="00A85C0B">
        <w:rPr>
          <w:rFonts w:ascii="Baskerville" w:hAnsi="Baskerville"/>
          <w:b/>
          <w:bCs/>
          <w:i/>
          <w:iCs/>
          <w:color w:val="000000" w:themeColor="text1"/>
          <w:szCs w:val="24"/>
          <w:u w:val="single"/>
        </w:rPr>
        <w:t xml:space="preserve"> (</w:t>
      </w:r>
      <w:r w:rsidRPr="00A85C0B">
        <w:rPr>
          <w:rFonts w:ascii="Baskerville" w:hAnsi="Baskerville" w:cs="Calibri"/>
          <w:b/>
          <w:bCs/>
          <w:i/>
          <w:iCs/>
          <w:color w:val="000000" w:themeColor="text1"/>
          <w:szCs w:val="24"/>
          <w:u w:val="single"/>
        </w:rPr>
        <w:t xml:space="preserve">co-author of </w:t>
      </w:r>
      <w:r w:rsidRPr="00A85C0B">
        <w:rPr>
          <w:rFonts w:ascii="Baskerville" w:hAnsi="Baskerville" w:cs="Calibri"/>
          <w:b/>
          <w:bCs/>
          <w:i/>
          <w:iCs/>
          <w:smallCaps/>
          <w:color w:val="000000" w:themeColor="text1"/>
          <w:szCs w:val="24"/>
          <w:u w:val="single"/>
        </w:rPr>
        <w:t>Law Firm Partnership Agreements</w:t>
      </w:r>
      <w:r w:rsidRPr="00A85C0B">
        <w:rPr>
          <w:rFonts w:ascii="Baskerville" w:hAnsi="Baskerville" w:cs="Calibri"/>
          <w:b/>
          <w:bCs/>
          <w:i/>
          <w:iCs/>
          <w:color w:val="000000" w:themeColor="text1"/>
          <w:szCs w:val="24"/>
          <w:u w:val="single"/>
        </w:rPr>
        <w:t xml:space="preserve">) </w:t>
      </w:r>
      <w:r w:rsidRPr="00A85C0B">
        <w:rPr>
          <w:rFonts w:ascii="Baskerville" w:hAnsi="Baskerville"/>
          <w:b/>
          <w:bCs/>
          <w:i/>
          <w:iCs/>
          <w:color w:val="000000" w:themeColor="text1"/>
          <w:szCs w:val="24"/>
          <w:u w:val="single"/>
        </w:rPr>
        <w:t>and Maria Ciampi</w:t>
      </w:r>
    </w:p>
    <w:p w14:paraId="6397DBFE" w14:textId="77777777" w:rsidR="0009338B" w:rsidRPr="00A85C0B" w:rsidRDefault="0009338B">
      <w:pPr>
        <w:rPr>
          <w:rFonts w:ascii="Baskerville" w:hAnsi="Baskerville"/>
          <w:color w:val="000000" w:themeColor="text1"/>
        </w:rPr>
      </w:pPr>
    </w:p>
    <w:p w14:paraId="53DF81CE" w14:textId="5B5E2CF0" w:rsidR="0009338B" w:rsidRPr="00A85C0B" w:rsidRDefault="00784231" w:rsidP="00894DE1">
      <w:pPr>
        <w:ind w:left="720" w:right="720"/>
        <w:jc w:val="both"/>
        <w:rPr>
          <w:rFonts w:ascii="Baskerville" w:hAnsi="Baskerville"/>
          <w:color w:val="000000" w:themeColor="text1"/>
        </w:rPr>
      </w:pPr>
      <w:r w:rsidRPr="00A85C0B">
        <w:rPr>
          <w:rFonts w:ascii="Baskerville" w:hAnsi="Baskerville"/>
          <w:color w:val="000000" w:themeColor="text1"/>
        </w:rPr>
        <w:t>We’ve had a chance to review the Proposed New Comments to Rule 1.4.  We</w:t>
      </w:r>
      <w:r w:rsidRPr="00A85C0B">
        <w:rPr>
          <w:rFonts w:ascii="Baskerville" w:hAnsi="Baskerville"/>
          <w:color w:val="000000" w:themeColor="text1"/>
        </w:rPr>
        <w:br/>
        <w:t xml:space="preserve">feel that they are very well balanced, clear, </w:t>
      </w:r>
      <w:proofErr w:type="gramStart"/>
      <w:r w:rsidRPr="00A85C0B">
        <w:rPr>
          <w:rFonts w:ascii="Baskerville" w:hAnsi="Baskerville"/>
          <w:color w:val="000000" w:themeColor="text1"/>
        </w:rPr>
        <w:t>concise</w:t>
      </w:r>
      <w:proofErr w:type="gramEnd"/>
      <w:r w:rsidRPr="00A85C0B">
        <w:rPr>
          <w:rFonts w:ascii="Baskerville" w:hAnsi="Baskerville"/>
          <w:color w:val="000000" w:themeColor="text1"/>
        </w:rPr>
        <w:t xml:space="preserve"> and comprehensive.</w:t>
      </w:r>
    </w:p>
    <w:p w14:paraId="40839035" w14:textId="77777777" w:rsidR="0009338B" w:rsidRPr="00A85C0B" w:rsidRDefault="0009338B">
      <w:pPr>
        <w:rPr>
          <w:rFonts w:ascii="Baskerville" w:hAnsi="Baskerville" w:cs="Calibri"/>
          <w:color w:val="000000" w:themeColor="text1"/>
        </w:rPr>
      </w:pPr>
    </w:p>
    <w:p w14:paraId="124008F7" w14:textId="77777777" w:rsidR="0009338B" w:rsidRPr="00A85C0B" w:rsidRDefault="00784231">
      <w:pPr>
        <w:rPr>
          <w:rFonts w:ascii="Baskerville" w:hAnsi="Baskerville" w:cs="Calibri"/>
          <w:b/>
          <w:bCs/>
          <w:i/>
          <w:iCs/>
          <w:color w:val="000000" w:themeColor="text1"/>
          <w:u w:val="single"/>
        </w:rPr>
      </w:pPr>
      <w:r w:rsidRPr="00A85C0B">
        <w:rPr>
          <w:rFonts w:ascii="Baskerville" w:hAnsi="Baskerville" w:cs="Calibri"/>
          <w:b/>
          <w:bCs/>
          <w:i/>
          <w:iCs/>
          <w:color w:val="000000" w:themeColor="text1"/>
          <w:u w:val="single"/>
        </w:rPr>
        <w:t xml:space="preserve">Les Corwin (co-author of </w:t>
      </w:r>
      <w:r w:rsidRPr="00A85C0B">
        <w:rPr>
          <w:rFonts w:ascii="Baskerville" w:hAnsi="Baskerville" w:cs="Calibri"/>
          <w:b/>
          <w:bCs/>
          <w:i/>
          <w:iCs/>
          <w:smallCaps/>
          <w:color w:val="000000" w:themeColor="text1"/>
          <w:u w:val="single"/>
        </w:rPr>
        <w:t>Law Firm Partnership Agreements</w:t>
      </w:r>
      <w:r w:rsidRPr="00A85C0B">
        <w:rPr>
          <w:rFonts w:ascii="Baskerville" w:hAnsi="Baskerville" w:cs="Calibri"/>
          <w:b/>
          <w:bCs/>
          <w:i/>
          <w:iCs/>
          <w:color w:val="000000" w:themeColor="text1"/>
          <w:u w:val="single"/>
        </w:rPr>
        <w:t>)</w:t>
      </w:r>
    </w:p>
    <w:p w14:paraId="3DA498B0" w14:textId="77777777" w:rsidR="0009338B" w:rsidRPr="00A85C0B" w:rsidRDefault="0009338B">
      <w:pPr>
        <w:rPr>
          <w:rFonts w:ascii="Baskerville" w:hAnsi="Baskerville" w:cs="Calibri"/>
          <w:b/>
          <w:bCs/>
          <w:i/>
          <w:iCs/>
          <w:color w:val="000000" w:themeColor="text1"/>
          <w:u w:val="single"/>
        </w:rPr>
      </w:pPr>
    </w:p>
    <w:p w14:paraId="6E82712D" w14:textId="641CE3EB" w:rsidR="0009338B" w:rsidRPr="00A85C0B" w:rsidRDefault="00784231" w:rsidP="00894DE1">
      <w:pPr>
        <w:ind w:left="720" w:right="720"/>
        <w:jc w:val="both"/>
        <w:rPr>
          <w:rFonts w:ascii="Baskerville" w:hAnsi="Baskerville"/>
          <w:color w:val="000000" w:themeColor="text1"/>
        </w:rPr>
      </w:pPr>
      <w:r w:rsidRPr="00A85C0B">
        <w:rPr>
          <w:rFonts w:ascii="Baskerville" w:hAnsi="Baskerville"/>
          <w:color w:val="000000" w:themeColor="text1"/>
        </w:rPr>
        <w:t xml:space="preserve">Hi Roy, I have reviewed the proposed Comments to Rule 1.4. You and your Committee have done an excellent job and I fully endorse it.  … </w:t>
      </w:r>
    </w:p>
    <w:p w14:paraId="1D3CB200" w14:textId="77777777" w:rsidR="0009338B" w:rsidRPr="00A85C0B" w:rsidRDefault="00784231">
      <w:pPr>
        <w:jc w:val="both"/>
        <w:rPr>
          <w:rFonts w:ascii="Baskerville" w:hAnsi="Baskerville"/>
        </w:rPr>
      </w:pPr>
      <w:r w:rsidRPr="00A85C0B">
        <w:rPr>
          <w:rFonts w:ascii="Baskerville" w:hAnsi="Baskerville"/>
        </w:rPr>
        <w:t xml:space="preserve">  </w:t>
      </w:r>
    </w:p>
    <w:p w14:paraId="3C857E25" w14:textId="6A3B0F6F" w:rsidR="0009338B" w:rsidRPr="00A85C0B" w:rsidRDefault="00784231">
      <w:pPr>
        <w:jc w:val="both"/>
        <w:rPr>
          <w:rFonts w:ascii="Baskerville" w:hAnsi="Baskerville"/>
          <w:color w:val="000000" w:themeColor="text1"/>
        </w:rPr>
      </w:pPr>
      <w:r w:rsidRPr="00A85C0B">
        <w:rPr>
          <w:rFonts w:ascii="Baskerville" w:hAnsi="Baskerville"/>
        </w:rPr>
        <w:t>(</w:t>
      </w:r>
      <w:r w:rsidRPr="00A85C0B">
        <w:rPr>
          <w:rFonts w:ascii="Baskerville" w:hAnsi="Baskerville"/>
          <w:color w:val="000000" w:themeColor="text1"/>
        </w:rPr>
        <w:t xml:space="preserve">Mr. Corwin also suggested </w:t>
      </w:r>
      <w:r w:rsidR="0074081C">
        <w:rPr>
          <w:rFonts w:ascii="Baskerville" w:hAnsi="Baskerville"/>
          <w:color w:val="000000" w:themeColor="text1"/>
        </w:rPr>
        <w:t>three</w:t>
      </w:r>
      <w:r w:rsidR="00C52467" w:rsidRPr="00A85C0B">
        <w:rPr>
          <w:rFonts w:ascii="Baskerville" w:hAnsi="Baskerville"/>
          <w:color w:val="000000" w:themeColor="text1"/>
        </w:rPr>
        <w:t xml:space="preserve"> </w:t>
      </w:r>
      <w:r w:rsidRPr="00A85C0B">
        <w:rPr>
          <w:rFonts w:ascii="Baskerville" w:hAnsi="Baskerville"/>
          <w:color w:val="000000" w:themeColor="text1"/>
        </w:rPr>
        <w:t xml:space="preserve">minor edits </w:t>
      </w:r>
      <w:r w:rsidR="0074081C">
        <w:rPr>
          <w:rFonts w:ascii="Baskerville" w:hAnsi="Baskerville"/>
          <w:color w:val="000000" w:themeColor="text1"/>
        </w:rPr>
        <w:t>to</w:t>
      </w:r>
      <w:r w:rsidRPr="00A85C0B">
        <w:rPr>
          <w:rFonts w:ascii="Baskerville" w:hAnsi="Baskerville"/>
          <w:color w:val="000000" w:themeColor="text1"/>
        </w:rPr>
        <w:t xml:space="preserve"> COSAC’s proposals.) </w:t>
      </w:r>
    </w:p>
    <w:p w14:paraId="68452A9B" w14:textId="77777777" w:rsidR="0009338B" w:rsidRPr="00A85C0B" w:rsidRDefault="0009338B">
      <w:pPr>
        <w:jc w:val="both"/>
        <w:rPr>
          <w:rFonts w:ascii="Baskerville" w:hAnsi="Baskerville"/>
          <w:color w:val="000000" w:themeColor="text1"/>
        </w:rPr>
      </w:pPr>
    </w:p>
    <w:p w14:paraId="5FA0E17A" w14:textId="77777777" w:rsidR="0074081C" w:rsidRDefault="00784231">
      <w:pPr>
        <w:jc w:val="both"/>
        <w:rPr>
          <w:rFonts w:ascii="Baskerville" w:hAnsi="Baskerville"/>
        </w:rPr>
      </w:pPr>
      <w:r w:rsidRPr="00A85C0B">
        <w:rPr>
          <w:rFonts w:ascii="Baskerville" w:hAnsi="Baskerville"/>
        </w:rPr>
        <w:t xml:space="preserve">Attached to this report is a compendium of the reactions to COSAC’s earlier drafts of proposed Comments to Rule 1.4.  </w:t>
      </w:r>
    </w:p>
    <w:p w14:paraId="52E10B44" w14:textId="77777777" w:rsidR="0074081C" w:rsidRDefault="0074081C">
      <w:pPr>
        <w:jc w:val="both"/>
        <w:rPr>
          <w:rFonts w:ascii="Baskerville" w:hAnsi="Baskerville"/>
        </w:rPr>
      </w:pPr>
    </w:p>
    <w:p w14:paraId="40805BFE" w14:textId="39F6F9FC" w:rsidR="0009338B" w:rsidRPr="00A85C0B" w:rsidRDefault="00784231">
      <w:pPr>
        <w:jc w:val="both"/>
        <w:rPr>
          <w:rFonts w:ascii="Baskerville" w:hAnsi="Baskerville"/>
        </w:rPr>
      </w:pPr>
      <w:r w:rsidRPr="00A85C0B">
        <w:rPr>
          <w:rFonts w:ascii="Baskerville" w:hAnsi="Baskerville"/>
        </w:rPr>
        <w:t xml:space="preserve">At COSAC’s plenary meeting on April 13, 2022, which was attended by more than twenty COSAC members, COSAC discussed </w:t>
      </w:r>
      <w:proofErr w:type="gramStart"/>
      <w:r w:rsidRPr="00A85C0B">
        <w:rPr>
          <w:rFonts w:ascii="Baskerville" w:hAnsi="Baskerville"/>
        </w:rPr>
        <w:t>all of</w:t>
      </w:r>
      <w:proofErr w:type="gramEnd"/>
      <w:r w:rsidRPr="00A85C0B">
        <w:rPr>
          <w:rFonts w:ascii="Baskerville" w:hAnsi="Baskerville"/>
        </w:rPr>
        <w:t xml:space="preserve"> the reactions in the compendium and implemented many of the suggested changes.  COSAC’s final proposals, for action at the Association’s June 2022 quarterly meeting, are below.</w:t>
      </w:r>
    </w:p>
    <w:p w14:paraId="1755F764" w14:textId="77777777" w:rsidR="0009338B" w:rsidRPr="00A85C0B" w:rsidRDefault="0009338B">
      <w:pPr>
        <w:jc w:val="both"/>
        <w:rPr>
          <w:rFonts w:ascii="Baskerville" w:hAnsi="Baskerville"/>
        </w:rPr>
      </w:pPr>
    </w:p>
    <w:p w14:paraId="5800822E" w14:textId="1E7A1DED" w:rsidR="0009338B" w:rsidRDefault="00784231">
      <w:pPr>
        <w:pStyle w:val="FBodyMainDouble"/>
        <w:jc w:val="center"/>
        <w:rPr>
          <w:rFonts w:ascii="Baskerville" w:hAnsi="Baskerville"/>
          <w:b/>
          <w:sz w:val="36"/>
          <w:szCs w:val="36"/>
          <w:u w:val="single"/>
        </w:rPr>
      </w:pPr>
      <w:r w:rsidRPr="00A85C0B">
        <w:rPr>
          <w:rFonts w:ascii="Baskerville" w:hAnsi="Baskerville"/>
          <w:b/>
          <w:sz w:val="36"/>
          <w:szCs w:val="36"/>
          <w:u w:val="single"/>
        </w:rPr>
        <w:t>Proposed New Comments to Rule 1.4</w:t>
      </w:r>
    </w:p>
    <w:p w14:paraId="66A91570" w14:textId="77777777" w:rsidR="0081566A" w:rsidRDefault="0081566A" w:rsidP="0081566A">
      <w:pPr>
        <w:pStyle w:val="FBodyMainDouble"/>
        <w:spacing w:line="240" w:lineRule="auto"/>
        <w:ind w:firstLine="720"/>
        <w:jc w:val="both"/>
        <w:rPr>
          <w:rFonts w:ascii="Baskerville" w:hAnsi="Baskerville"/>
          <w:i/>
          <w:u w:val="single"/>
        </w:rPr>
      </w:pPr>
    </w:p>
    <w:p w14:paraId="2182FC27" w14:textId="6E8EEC33" w:rsidR="0074081C" w:rsidRDefault="0074081C" w:rsidP="0081566A">
      <w:pPr>
        <w:pStyle w:val="FBodyMainDouble"/>
        <w:spacing w:line="240" w:lineRule="auto"/>
        <w:ind w:firstLine="720"/>
        <w:jc w:val="both"/>
        <w:rPr>
          <w:rFonts w:ascii="Baskerville" w:hAnsi="Baskerville"/>
          <w:i/>
        </w:rPr>
      </w:pPr>
      <w:r>
        <w:rPr>
          <w:rFonts w:ascii="Baskerville" w:hAnsi="Baskerville"/>
          <w:i/>
          <w:u w:val="single"/>
        </w:rPr>
        <w:t xml:space="preserve">Note from </w:t>
      </w:r>
      <w:r w:rsidRPr="0074081C">
        <w:rPr>
          <w:rFonts w:ascii="Baskerville" w:hAnsi="Baskerville"/>
          <w:i/>
          <w:u w:val="single"/>
        </w:rPr>
        <w:t>COSAC</w:t>
      </w:r>
      <w:r>
        <w:rPr>
          <w:rFonts w:ascii="Baskerville" w:hAnsi="Baskerville"/>
          <w:i/>
        </w:rPr>
        <w:t xml:space="preserve">:  </w:t>
      </w:r>
      <w:r>
        <w:rPr>
          <w:rFonts w:ascii="Baskerville" w:hAnsi="Baskerville"/>
          <w:i/>
        </w:rPr>
        <w:t>All of the proposed Comments below are new</w:t>
      </w:r>
      <w:r w:rsidR="0081566A">
        <w:rPr>
          <w:rFonts w:ascii="Baskerville" w:hAnsi="Baskerville"/>
          <w:i/>
        </w:rPr>
        <w:t xml:space="preserve">.  To make them easier to read, </w:t>
      </w:r>
      <w:r>
        <w:rPr>
          <w:rFonts w:ascii="Baskerville" w:hAnsi="Baskerville"/>
          <w:i/>
        </w:rPr>
        <w:t>COSAC has</w:t>
      </w:r>
      <w:r w:rsidR="0081566A">
        <w:rPr>
          <w:rFonts w:ascii="Baskerville" w:hAnsi="Baskerville"/>
          <w:i/>
        </w:rPr>
        <w:t xml:space="preserve"> not underscored them.</w:t>
      </w:r>
    </w:p>
    <w:p w14:paraId="268F0A29" w14:textId="32166DE7" w:rsidR="0009338B" w:rsidRPr="00A85C0B" w:rsidRDefault="00784231">
      <w:pPr>
        <w:pStyle w:val="FBodyMainDouble"/>
        <w:jc w:val="both"/>
        <w:rPr>
          <w:rFonts w:ascii="Baskerville" w:hAnsi="Baskerville"/>
          <w:b/>
        </w:rPr>
      </w:pPr>
      <w:r w:rsidRPr="00A85C0B">
        <w:rPr>
          <w:rFonts w:ascii="Baskerville" w:hAnsi="Baskerville"/>
          <w:b/>
        </w:rPr>
        <w:t>Departing Lawyers</w:t>
      </w:r>
    </w:p>
    <w:p w14:paraId="58858C80" w14:textId="77777777" w:rsidR="0009338B" w:rsidRPr="00A85C0B" w:rsidRDefault="00784231">
      <w:pPr>
        <w:pStyle w:val="FBodyMainDouble"/>
        <w:ind w:firstLine="720"/>
        <w:jc w:val="both"/>
        <w:rPr>
          <w:rFonts w:ascii="Baskerville" w:hAnsi="Baskerville"/>
          <w:szCs w:val="24"/>
        </w:rPr>
      </w:pPr>
      <w:r w:rsidRPr="00A85C0B">
        <w:rPr>
          <w:rFonts w:ascii="Baskerville" w:hAnsi="Baskerville"/>
        </w:rPr>
        <w:t xml:space="preserve">[8] The duty to keep a client informed about “material developments” in a matter under paragraph (a)(1)(iii), and about the “status of the matter” under paragraph (a)(3), applies when a lawyer with primary or substantial responsibility for one or more </w:t>
      </w:r>
      <w:proofErr w:type="gramStart"/>
      <w:r w:rsidRPr="00A85C0B">
        <w:rPr>
          <w:rFonts w:ascii="Baskerville" w:hAnsi="Baskerville"/>
        </w:rPr>
        <w:t>particular matters</w:t>
      </w:r>
      <w:proofErr w:type="gramEnd"/>
      <w:r w:rsidRPr="00A85C0B">
        <w:rPr>
          <w:rFonts w:ascii="Baskerville" w:hAnsi="Baskerville"/>
        </w:rPr>
        <w:t xml:space="preserve"> or clients is leaving a law firm to join another law firm (a “departing lawyer”).  Thus, after a departing lawyer has informed a responsible member or members of the current firm of the decision to move to another firm, the departing lawyer must give prompt notice of that decision to any potentially affected clients of the current firm.  A law firm has a corresponding duty, upon receiving the departing lawyer’s notice of intended departure, to notify clients of the firm about the departing lawyer’s decision to join another law firm.  N</w:t>
      </w:r>
      <w:r w:rsidRPr="00A85C0B">
        <w:rPr>
          <w:rFonts w:ascii="Baskerville" w:hAnsi="Baskerville"/>
          <w:szCs w:val="24"/>
        </w:rPr>
        <w:t>either the departing lawyer nor the law firm has a duty to notify clients of the impending departure, however, if they know that the other (or another departing lawyer) has already provided such notice and the lawyer or law firm reasonably believes that the notice meets the criteria in Comment [10] to this Rule.</w:t>
      </w:r>
    </w:p>
    <w:p w14:paraId="166C00E4" w14:textId="05FC51BD" w:rsidR="0009338B" w:rsidRPr="00A85C0B" w:rsidRDefault="00784231">
      <w:pPr>
        <w:pStyle w:val="FBodyMainDouble"/>
        <w:jc w:val="both"/>
        <w:rPr>
          <w:rFonts w:ascii="Baskerville" w:hAnsi="Baskerville"/>
        </w:rPr>
      </w:pPr>
      <w:r w:rsidRPr="00A85C0B">
        <w:rPr>
          <w:rFonts w:ascii="Baskerville" w:hAnsi="Baskerville"/>
          <w:szCs w:val="24"/>
        </w:rPr>
        <w:tab/>
        <w:t>[9</w:t>
      </w:r>
      <w:proofErr w:type="gramStart"/>
      <w:r w:rsidRPr="00A85C0B">
        <w:rPr>
          <w:rFonts w:ascii="Baskerville" w:hAnsi="Baskerville"/>
          <w:szCs w:val="24"/>
        </w:rPr>
        <w:t>]  The</w:t>
      </w:r>
      <w:proofErr w:type="gramEnd"/>
      <w:r w:rsidRPr="00A85C0B">
        <w:rPr>
          <w:rFonts w:ascii="Baskerville" w:hAnsi="Baskerville"/>
          <w:szCs w:val="24"/>
        </w:rPr>
        <w:t xml:space="preserve"> duties that Rule 1.4 imposes on lawyers and law firms to notify clients when a lawyer has </w:t>
      </w:r>
      <w:r w:rsidR="00F71A6D" w:rsidRPr="00A85C0B">
        <w:rPr>
          <w:rFonts w:ascii="Baskerville" w:hAnsi="Baskerville"/>
          <w:szCs w:val="24"/>
        </w:rPr>
        <w:t>notified a law</w:t>
      </w:r>
      <w:r w:rsidR="00C52467" w:rsidRPr="00A85C0B">
        <w:rPr>
          <w:rFonts w:ascii="Baskerville" w:hAnsi="Baskerville"/>
          <w:szCs w:val="24"/>
        </w:rPr>
        <w:t xml:space="preserve"> </w:t>
      </w:r>
      <w:r w:rsidRPr="00A85C0B">
        <w:rPr>
          <w:rFonts w:ascii="Baskerville" w:hAnsi="Baskerville"/>
          <w:szCs w:val="24"/>
        </w:rPr>
        <w:t>firm of a</w:t>
      </w:r>
      <w:r w:rsidR="008C5293">
        <w:rPr>
          <w:rFonts w:ascii="Baskerville" w:hAnsi="Baskerville"/>
          <w:szCs w:val="24"/>
        </w:rPr>
        <w:t xml:space="preserve"> decision</w:t>
      </w:r>
      <w:r w:rsidRPr="00A85C0B">
        <w:rPr>
          <w:rFonts w:ascii="Baskerville" w:hAnsi="Baskerville"/>
          <w:szCs w:val="24"/>
        </w:rPr>
        <w:t xml:space="preserve"> to leave the firm (as described in Comment [8]) also apply when a law firm </w:t>
      </w:r>
      <w:r w:rsidR="00F71A6D" w:rsidRPr="00A85C0B">
        <w:rPr>
          <w:rFonts w:ascii="Baskerville" w:hAnsi="Baskerville"/>
          <w:szCs w:val="24"/>
        </w:rPr>
        <w:t>has decided to cease operations as a going concern</w:t>
      </w:r>
      <w:r w:rsidRPr="00A85C0B">
        <w:rPr>
          <w:rFonts w:ascii="Baskerville" w:hAnsi="Baskerville"/>
          <w:szCs w:val="24"/>
        </w:rPr>
        <w:t xml:space="preserve">.  </w:t>
      </w:r>
      <w:r w:rsidRPr="00A85C0B">
        <w:rPr>
          <w:rFonts w:ascii="Baskerville" w:hAnsi="Baskerville"/>
        </w:rPr>
        <w:t xml:space="preserve">When a law firm </w:t>
      </w:r>
      <w:proofErr w:type="spellStart"/>
      <w:r w:rsidR="00F71A6D" w:rsidRPr="00A85C0B">
        <w:rPr>
          <w:rFonts w:ascii="Baskerville" w:hAnsi="Baskerville"/>
          <w:szCs w:val="24"/>
        </w:rPr>
        <w:t>firm</w:t>
      </w:r>
      <w:proofErr w:type="spellEnd"/>
      <w:r w:rsidR="00F71A6D" w:rsidRPr="00A85C0B">
        <w:rPr>
          <w:rFonts w:ascii="Baskerville" w:hAnsi="Baskerville"/>
          <w:szCs w:val="24"/>
        </w:rPr>
        <w:t xml:space="preserve"> has decided to cease operations as a going concern</w:t>
      </w:r>
      <w:r w:rsidRPr="00A85C0B">
        <w:rPr>
          <w:rFonts w:ascii="Baskerville" w:hAnsi="Baskerville"/>
        </w:rPr>
        <w:t xml:space="preserve">, the </w:t>
      </w:r>
      <w:proofErr w:type="gramStart"/>
      <w:r w:rsidRPr="00A85C0B">
        <w:rPr>
          <w:rFonts w:ascii="Baskerville" w:hAnsi="Baskerville"/>
        </w:rPr>
        <w:t>firm</w:t>
      </w:r>
      <w:proofErr w:type="gramEnd"/>
      <w:r w:rsidRPr="00A85C0B">
        <w:rPr>
          <w:rFonts w:ascii="Baskerville" w:hAnsi="Baskerville"/>
        </w:rPr>
        <w:t xml:space="preserve"> or the lawyers with primary or substantial responsibility for one or more particular matters or clients must give prompt notice to all potentially affected clients of the firm</w:t>
      </w:r>
      <w:r w:rsidR="00F71A6D" w:rsidRPr="00A85C0B">
        <w:rPr>
          <w:rFonts w:ascii="Baskerville" w:hAnsi="Baskerville"/>
        </w:rPr>
        <w:t xml:space="preserve"> (in accordance with Comment [10]) of the </w:t>
      </w:r>
      <w:r w:rsidR="00F71A6D" w:rsidRPr="00A85C0B">
        <w:rPr>
          <w:rFonts w:ascii="Baskerville" w:hAnsi="Baskerville"/>
          <w:szCs w:val="24"/>
        </w:rPr>
        <w:t>decision to cease operations</w:t>
      </w:r>
      <w:r w:rsidRPr="00A85C0B">
        <w:rPr>
          <w:rFonts w:ascii="Baskerville" w:hAnsi="Baskerville"/>
        </w:rPr>
        <w:t>.</w:t>
      </w:r>
    </w:p>
    <w:p w14:paraId="486ADE01" w14:textId="7C32BB73" w:rsidR="0009338B" w:rsidRPr="00A85C0B" w:rsidRDefault="00784231">
      <w:pPr>
        <w:pStyle w:val="FBodyMainDouble"/>
        <w:jc w:val="both"/>
        <w:rPr>
          <w:rFonts w:ascii="Baskerville" w:hAnsi="Baskerville"/>
          <w:szCs w:val="24"/>
        </w:rPr>
      </w:pPr>
      <w:r w:rsidRPr="00A85C0B">
        <w:rPr>
          <w:rFonts w:ascii="Baskerville" w:hAnsi="Baskerville"/>
          <w:szCs w:val="24"/>
        </w:rPr>
        <w:tab/>
        <w:t xml:space="preserve">[10] Any unilateral or joint notice pursuant to Comments [8] or [9] should be in writing, must not be false, deceptive, or misleading, and should include the following information:  </w:t>
      </w:r>
    </w:p>
    <w:p w14:paraId="46D3A886" w14:textId="77777777" w:rsidR="0009338B" w:rsidRPr="00A85C0B" w:rsidRDefault="00784231">
      <w:pPr>
        <w:pStyle w:val="FBodyMainDouble"/>
        <w:ind w:left="1080" w:hanging="360"/>
        <w:jc w:val="both"/>
        <w:rPr>
          <w:rFonts w:ascii="Baskerville" w:hAnsi="Baskerville"/>
          <w:szCs w:val="24"/>
        </w:rPr>
      </w:pPr>
      <w:r w:rsidRPr="00A85C0B">
        <w:rPr>
          <w:rFonts w:ascii="Baskerville" w:hAnsi="Baskerville"/>
          <w:szCs w:val="24"/>
        </w:rPr>
        <w:t>(i)</w:t>
      </w:r>
      <w:r w:rsidRPr="00A85C0B">
        <w:rPr>
          <w:rFonts w:ascii="Baskerville" w:hAnsi="Baskerville"/>
          <w:szCs w:val="24"/>
        </w:rPr>
        <w:tab/>
        <w:t xml:space="preserve"> the departing lawyer’s intention to leave the current law firm and the anticipated date of </w:t>
      </w:r>
      <w:proofErr w:type="gramStart"/>
      <w:r w:rsidRPr="00A85C0B">
        <w:rPr>
          <w:rFonts w:ascii="Baskerville" w:hAnsi="Baskerville"/>
          <w:szCs w:val="24"/>
        </w:rPr>
        <w:t>departure;</w:t>
      </w:r>
      <w:proofErr w:type="gramEnd"/>
    </w:p>
    <w:p w14:paraId="40F5068E" w14:textId="77777777" w:rsidR="0009338B" w:rsidRPr="00A85C0B" w:rsidRDefault="00784231">
      <w:pPr>
        <w:pStyle w:val="FBodyMainDouble"/>
        <w:ind w:left="1080" w:hanging="360"/>
        <w:jc w:val="both"/>
        <w:rPr>
          <w:rFonts w:ascii="Baskerville" w:hAnsi="Baskerville"/>
          <w:szCs w:val="24"/>
        </w:rPr>
      </w:pPr>
      <w:r w:rsidRPr="00A85C0B">
        <w:rPr>
          <w:rFonts w:ascii="Baskerville" w:hAnsi="Baskerville"/>
          <w:szCs w:val="24"/>
        </w:rPr>
        <w:t xml:space="preserve">(ii) </w:t>
      </w:r>
      <w:r w:rsidRPr="00A85C0B">
        <w:rPr>
          <w:rFonts w:ascii="Baskerville" w:hAnsi="Baskerville"/>
          <w:szCs w:val="24"/>
        </w:rPr>
        <w:tab/>
        <w:t xml:space="preserve">the departing lawyer’s future contact </w:t>
      </w:r>
      <w:proofErr w:type="gramStart"/>
      <w:r w:rsidRPr="00A85C0B">
        <w:rPr>
          <w:rFonts w:ascii="Baskerville" w:hAnsi="Baskerville"/>
          <w:szCs w:val="24"/>
        </w:rPr>
        <w:t>information;</w:t>
      </w:r>
      <w:proofErr w:type="gramEnd"/>
      <w:r w:rsidRPr="00A85C0B">
        <w:rPr>
          <w:rFonts w:ascii="Baskerville" w:hAnsi="Baskerville"/>
          <w:szCs w:val="24"/>
        </w:rPr>
        <w:t xml:space="preserve"> </w:t>
      </w:r>
    </w:p>
    <w:p w14:paraId="13094251" w14:textId="38751577" w:rsidR="0009338B" w:rsidRPr="00A85C0B" w:rsidRDefault="00784231">
      <w:pPr>
        <w:pStyle w:val="FBodyMainDouble"/>
        <w:ind w:left="1080" w:hanging="360"/>
        <w:jc w:val="both"/>
        <w:rPr>
          <w:rFonts w:ascii="Baskerville" w:hAnsi="Baskerville"/>
          <w:szCs w:val="24"/>
        </w:rPr>
      </w:pPr>
      <w:r w:rsidRPr="00A85C0B">
        <w:rPr>
          <w:rFonts w:ascii="Baskerville" w:hAnsi="Baskerville"/>
          <w:szCs w:val="24"/>
        </w:rPr>
        <w:t>(iii)</w:t>
      </w:r>
      <w:r w:rsidRPr="00A85C0B">
        <w:rPr>
          <w:rFonts w:ascii="Baskerville" w:hAnsi="Baskerville"/>
          <w:szCs w:val="24"/>
        </w:rPr>
        <w:tab/>
        <w:t xml:space="preserve"> with respect to each relevant matter, the fact that </w:t>
      </w:r>
      <w:r w:rsidR="00585ACD">
        <w:rPr>
          <w:rFonts w:ascii="Baskerville" w:hAnsi="Baskerville"/>
          <w:szCs w:val="24"/>
        </w:rPr>
        <w:t xml:space="preserve">the </w:t>
      </w:r>
      <w:r w:rsidRPr="00A85C0B">
        <w:rPr>
          <w:rFonts w:ascii="Baskerville" w:hAnsi="Baskerville"/>
          <w:szCs w:val="24"/>
        </w:rPr>
        <w:t xml:space="preserve">client has the right to choose counsel, and thus has the option to be represented by the departing lawyer after departure, or to remain a client of the current firm, or to be represented by other lawyers or law firms; and </w:t>
      </w:r>
    </w:p>
    <w:p w14:paraId="6541D0E6" w14:textId="5D6C767E" w:rsidR="0009338B" w:rsidRPr="00A85C0B" w:rsidRDefault="00784231">
      <w:pPr>
        <w:pStyle w:val="FBodyMainDouble"/>
        <w:ind w:left="1080" w:hanging="360"/>
        <w:jc w:val="both"/>
        <w:rPr>
          <w:rFonts w:ascii="Baskerville" w:hAnsi="Baskerville"/>
          <w:szCs w:val="24"/>
        </w:rPr>
      </w:pPr>
      <w:r w:rsidRPr="00A85C0B">
        <w:rPr>
          <w:rFonts w:ascii="Baskerville" w:hAnsi="Baskerville"/>
          <w:szCs w:val="24"/>
        </w:rPr>
        <w:t>(iv)</w:t>
      </w:r>
      <w:r w:rsidRPr="00A85C0B">
        <w:rPr>
          <w:rFonts w:ascii="Baskerville" w:hAnsi="Baskerville"/>
          <w:szCs w:val="24"/>
        </w:rPr>
        <w:tab/>
        <w:t xml:space="preserve"> the fact that the current firm will need the client to inform the firm of its choice of counsel and, if the client wishes to transfer the </w:t>
      </w:r>
      <w:r w:rsidR="004E24AF" w:rsidRPr="00A85C0B">
        <w:rPr>
          <w:rFonts w:ascii="Baskerville" w:hAnsi="Baskerville"/>
          <w:szCs w:val="24"/>
        </w:rPr>
        <w:t xml:space="preserve">client’s </w:t>
      </w:r>
      <w:r w:rsidRPr="00A85C0B">
        <w:rPr>
          <w:rFonts w:ascii="Baskerville" w:hAnsi="Baskerville"/>
          <w:szCs w:val="24"/>
        </w:rPr>
        <w:t>file</w:t>
      </w:r>
      <w:r w:rsidR="004E24AF" w:rsidRPr="00A85C0B">
        <w:rPr>
          <w:rFonts w:ascii="Baskerville" w:hAnsi="Baskerville"/>
          <w:szCs w:val="24"/>
        </w:rPr>
        <w:t>s</w:t>
      </w:r>
      <w:r w:rsidRPr="00A85C0B">
        <w:rPr>
          <w:rFonts w:ascii="Baskerville" w:hAnsi="Baskerville"/>
          <w:szCs w:val="24"/>
        </w:rPr>
        <w:t xml:space="preserve"> to the departing lawyer or to another lawyer or law firm, the firm will need the client to authorize the firm (preferably in writing) to transfer the client’s files or other property accordingly (unless the client has already notified the firm or the departing lawyer of its choice or has already provided such authorization to transfer the client’s files).  </w:t>
      </w:r>
    </w:p>
    <w:p w14:paraId="28F7FF97" w14:textId="29D20587" w:rsidR="0009338B" w:rsidRPr="00A85C0B" w:rsidRDefault="00784231">
      <w:pPr>
        <w:pStyle w:val="FBodyMainDouble"/>
        <w:ind w:firstLine="720"/>
        <w:jc w:val="both"/>
        <w:rPr>
          <w:rFonts w:ascii="Baskerville" w:hAnsi="Baskerville"/>
          <w:szCs w:val="24"/>
        </w:rPr>
      </w:pPr>
      <w:r w:rsidRPr="00A85C0B">
        <w:rPr>
          <w:rFonts w:ascii="Baskerville" w:hAnsi="Baskerville"/>
          <w:szCs w:val="24"/>
        </w:rPr>
        <w:t xml:space="preserve">[11] </w:t>
      </w:r>
      <w:r w:rsidRPr="00A85C0B">
        <w:rPr>
          <w:rFonts w:ascii="Baskerville" w:hAnsi="Baskerville"/>
          <w:szCs w:val="24"/>
        </w:rPr>
        <w:tab/>
        <w:t xml:space="preserve">To avoid prejudicing or confusing clients, it is preferable (but not required) that the departing lawyer and law firm jointly notify all potentially affected clients.  Accordingly, as soon as a firm knows that the departing lawyer has </w:t>
      </w:r>
      <w:proofErr w:type="gramStart"/>
      <w:r w:rsidRPr="00A85C0B">
        <w:rPr>
          <w:rFonts w:ascii="Baskerville" w:hAnsi="Baskerville"/>
          <w:szCs w:val="24"/>
        </w:rPr>
        <w:t>made a decision</w:t>
      </w:r>
      <w:proofErr w:type="gramEnd"/>
      <w:r w:rsidRPr="00A85C0B">
        <w:rPr>
          <w:rFonts w:ascii="Baskerville" w:hAnsi="Baskerville"/>
          <w:szCs w:val="24"/>
        </w:rPr>
        <w:t xml:space="preserve"> to leave the firm, the departing lawyer and the firm should make a bona fide effort to craft a joint notice.  Whether the notice is unilateral or joint, notice must be given to</w:t>
      </w:r>
      <w:r w:rsidR="00585ACD">
        <w:rPr>
          <w:rFonts w:ascii="Baskerville" w:hAnsi="Baskerville"/>
          <w:szCs w:val="24"/>
        </w:rPr>
        <w:t xml:space="preserve"> the potentially affected</w:t>
      </w:r>
      <w:r w:rsidRPr="00A85C0B">
        <w:rPr>
          <w:rFonts w:ascii="Baskerville" w:hAnsi="Baskerville"/>
          <w:szCs w:val="24"/>
        </w:rPr>
        <w:t xml:space="preserve"> clients promptly.  </w:t>
      </w:r>
    </w:p>
    <w:p w14:paraId="4D151D3F" w14:textId="414E22BD" w:rsidR="0009338B" w:rsidRPr="00A85C0B" w:rsidRDefault="00784231">
      <w:pPr>
        <w:pStyle w:val="FBodyMainDouble"/>
        <w:ind w:firstLine="720"/>
        <w:jc w:val="both"/>
        <w:rPr>
          <w:rFonts w:ascii="Baskerville" w:hAnsi="Baskerville"/>
          <w:szCs w:val="24"/>
        </w:rPr>
      </w:pPr>
      <w:r w:rsidRPr="00A85C0B">
        <w:rPr>
          <w:rFonts w:ascii="Baskerville" w:hAnsi="Baskerville"/>
          <w:szCs w:val="24"/>
        </w:rPr>
        <w:t xml:space="preserve">[12] Notification to clients may initially be given orally, but </w:t>
      </w:r>
      <w:r w:rsidR="003724EA">
        <w:rPr>
          <w:rFonts w:ascii="Baskerville" w:hAnsi="Baskerville"/>
          <w:szCs w:val="24"/>
        </w:rPr>
        <w:t>if</w:t>
      </w:r>
      <w:r w:rsidRPr="00A85C0B">
        <w:rPr>
          <w:rFonts w:ascii="Baskerville" w:hAnsi="Baskerville"/>
          <w:szCs w:val="24"/>
        </w:rPr>
        <w:t xml:space="preserve"> notice </w:t>
      </w:r>
      <w:r w:rsidR="003724EA">
        <w:rPr>
          <w:rFonts w:ascii="Baskerville" w:hAnsi="Baskerville"/>
          <w:szCs w:val="24"/>
        </w:rPr>
        <w:t xml:space="preserve">is given orally, it </w:t>
      </w:r>
      <w:r w:rsidRPr="00A85C0B">
        <w:rPr>
          <w:rFonts w:ascii="Baskerville" w:hAnsi="Baskerville"/>
          <w:szCs w:val="24"/>
        </w:rPr>
        <w:t xml:space="preserve">should be followed promptly by a writing containing the information set forth in Comment [10].  The content of the </w:t>
      </w:r>
      <w:r w:rsidR="00585ACD">
        <w:rPr>
          <w:rFonts w:ascii="Baskerville" w:hAnsi="Baskerville"/>
          <w:szCs w:val="24"/>
        </w:rPr>
        <w:t xml:space="preserve">oral and written </w:t>
      </w:r>
      <w:r w:rsidRPr="00A85C0B">
        <w:rPr>
          <w:rFonts w:ascii="Baskerville" w:hAnsi="Baskerville"/>
          <w:szCs w:val="24"/>
        </w:rPr>
        <w:t>notice may be altered, however, to reflect special circumstances that make it highly unlikely or impossible for the affected clients to move their matters with the departing lawyer.</w:t>
      </w:r>
    </w:p>
    <w:p w14:paraId="3E0FC81D" w14:textId="77777777" w:rsidR="0009338B" w:rsidRPr="00A85C0B" w:rsidRDefault="00784231">
      <w:pPr>
        <w:pStyle w:val="FBodyMainDouble"/>
        <w:jc w:val="both"/>
        <w:rPr>
          <w:rFonts w:ascii="Baskerville" w:hAnsi="Baskerville"/>
        </w:rPr>
      </w:pPr>
      <w:r w:rsidRPr="00A85C0B">
        <w:rPr>
          <w:rFonts w:ascii="Baskerville" w:hAnsi="Baskerville"/>
        </w:rPr>
        <w:tab/>
        <w:t xml:space="preserve">[13] The time frame for “promptly” communicating with a client may depend on the circumstances, but neither the departing lawyer nor the firm may delay the process longer than is necessary to ensure that accurate and meaningful notice is provided to clients in accordance with Comment [10] to this Rule.  </w:t>
      </w:r>
    </w:p>
    <w:p w14:paraId="7E7CCC49" w14:textId="5E545DBF" w:rsidR="0009338B" w:rsidRPr="00A85C0B" w:rsidRDefault="00784231">
      <w:pPr>
        <w:pStyle w:val="FBodyMainDouble"/>
        <w:jc w:val="both"/>
        <w:rPr>
          <w:rFonts w:ascii="Baskerville" w:hAnsi="Baskerville"/>
        </w:rPr>
      </w:pPr>
      <w:r w:rsidRPr="00A85C0B">
        <w:rPr>
          <w:rFonts w:ascii="Baskerville" w:hAnsi="Baskerville"/>
        </w:rPr>
        <w:tab/>
        <w:t xml:space="preserve">[14] Because Rule 1.4 mandates prompt notice of a </w:t>
      </w:r>
      <w:r w:rsidR="004E24AF" w:rsidRPr="00A85C0B">
        <w:rPr>
          <w:rFonts w:ascii="Baskerville" w:hAnsi="Baskerville"/>
        </w:rPr>
        <w:t xml:space="preserve">departing lawyer’s </w:t>
      </w:r>
      <w:r w:rsidRPr="00A85C0B">
        <w:rPr>
          <w:rFonts w:ascii="Baskerville" w:hAnsi="Baskerville"/>
        </w:rPr>
        <w:t xml:space="preserve">decision to change firms, a law firm may not include provisions in its partnership, shareholder, operating, </w:t>
      </w:r>
      <w:proofErr w:type="gramStart"/>
      <w:r w:rsidRPr="00A85C0B">
        <w:rPr>
          <w:rFonts w:ascii="Baskerville" w:hAnsi="Baskerville"/>
        </w:rPr>
        <w:t>employment</w:t>
      </w:r>
      <w:proofErr w:type="gramEnd"/>
      <w:r w:rsidRPr="00A85C0B">
        <w:rPr>
          <w:rFonts w:ascii="Baskerville" w:hAnsi="Baskerville"/>
        </w:rPr>
        <w:t xml:space="preserve"> or other similar type of agreement, or engage in other conduct, that prohibits, unduly delays, or discourages the departing lawyer (through financial disincentives or otherwise) from providing the requisite notice to potentially affected clients.  </w:t>
      </w:r>
      <w:r w:rsidRPr="00A85C0B">
        <w:rPr>
          <w:rFonts w:ascii="Baskerville" w:hAnsi="Baskerville"/>
          <w:i/>
        </w:rPr>
        <w:t xml:space="preserve">See </w:t>
      </w:r>
      <w:r w:rsidRPr="00A85C0B">
        <w:rPr>
          <w:rFonts w:ascii="Baskerville" w:hAnsi="Baskerville"/>
        </w:rPr>
        <w:t xml:space="preserve">Rule 5.6(a)(1).  </w:t>
      </w:r>
    </w:p>
    <w:p w14:paraId="14B5FEDD" w14:textId="77777777" w:rsidR="0009338B" w:rsidRPr="00A85C0B" w:rsidRDefault="00784231">
      <w:pPr>
        <w:pStyle w:val="FBodyMainDouble"/>
        <w:jc w:val="both"/>
        <w:rPr>
          <w:rFonts w:ascii="Baskerville" w:hAnsi="Baskerville"/>
        </w:rPr>
      </w:pPr>
      <w:r w:rsidRPr="00A85C0B">
        <w:rPr>
          <w:rFonts w:ascii="Baskerville" w:hAnsi="Baskerville"/>
        </w:rPr>
        <w:tab/>
        <w:t>[15] These Comments are intended to address the obligations of lawyers and law firms solely under Rule 1.4.  They are not intended to address the rights or obligations of a law firm or a departed lawyer under the law of fiduciary duties, partnership law, contract law, tort law, or other law.</w:t>
      </w:r>
    </w:p>
    <w:p w14:paraId="24FF1EF5" w14:textId="77777777" w:rsidR="0009338B" w:rsidRPr="00A85C0B" w:rsidRDefault="00784231">
      <w:pPr>
        <w:pStyle w:val="FBodyMainDouble"/>
        <w:ind w:firstLine="720"/>
        <w:jc w:val="both"/>
        <w:rPr>
          <w:rFonts w:ascii="Baskerville" w:hAnsi="Baskerville"/>
        </w:rPr>
      </w:pPr>
      <w:r w:rsidRPr="00A85C0B">
        <w:rPr>
          <w:rFonts w:ascii="Baskerville" w:hAnsi="Baskerville"/>
        </w:rPr>
        <w:t xml:space="preserve">[16] A lawyer or law firm representing a client in a matter pending before a tribunal may also have duties to notify the tribunal and to seek permission to withdraw if a lawyer leaves the firm or if a law firm has dissolved or is in the process of dissolution.  </w:t>
      </w:r>
      <w:r w:rsidRPr="00A85C0B">
        <w:rPr>
          <w:rFonts w:ascii="Baskerville" w:hAnsi="Baskerville"/>
          <w:i/>
        </w:rPr>
        <w:t>See</w:t>
      </w:r>
      <w:r w:rsidRPr="00A85C0B">
        <w:rPr>
          <w:rFonts w:ascii="Baskerville" w:hAnsi="Baskerville"/>
        </w:rPr>
        <w:t xml:space="preserve"> Rule 1.16(d).</w:t>
      </w:r>
    </w:p>
    <w:p w14:paraId="6A535918" w14:textId="77777777" w:rsidR="0009338B" w:rsidRPr="00A85C0B" w:rsidRDefault="00784231">
      <w:pPr>
        <w:pStyle w:val="FBodyMainDouble"/>
        <w:jc w:val="both"/>
        <w:rPr>
          <w:rFonts w:ascii="Baskerville" w:hAnsi="Baskerville"/>
        </w:rPr>
      </w:pPr>
      <w:r w:rsidRPr="00A85C0B">
        <w:rPr>
          <w:rFonts w:ascii="Baskerville" w:eastAsiaTheme="majorEastAsia" w:hAnsi="Baskerville"/>
        </w:rPr>
        <w:tab/>
        <w:t>[17] Notwithstanding the definition of “law firm” in Rule 1.0(h), the foregoing Comments regarding departing lawyers do not apply to a qualified legal assistance organization, a govern</w:t>
      </w:r>
      <w:r w:rsidRPr="00A85C0B">
        <w:rPr>
          <w:rFonts w:ascii="Baskerville" w:hAnsi="Baskerville"/>
        </w:rPr>
        <w:t>ment law office, the legal department of an organization, or lawyers working at those organizations.</w:t>
      </w:r>
      <w:bookmarkEnd w:id="0"/>
      <w:r w:rsidRPr="00A85C0B">
        <w:rPr>
          <w:rFonts w:ascii="Baskerville" w:hAnsi="Baskerville"/>
        </w:rPr>
        <w:t xml:space="preserve"> </w:t>
      </w:r>
    </w:p>
    <w:p w14:paraId="1A8DE17C" w14:textId="77777777" w:rsidR="0009338B" w:rsidRPr="00A85C0B" w:rsidRDefault="0009338B">
      <w:pPr>
        <w:pStyle w:val="FBodyMainDouble"/>
        <w:jc w:val="both"/>
        <w:rPr>
          <w:rFonts w:ascii="Baskerville" w:hAnsi="Baskerville"/>
        </w:rPr>
      </w:pPr>
    </w:p>
    <w:p w14:paraId="50101DE0" w14:textId="77777777" w:rsidR="0009338B" w:rsidRPr="00A85C0B" w:rsidRDefault="00784231">
      <w:pPr>
        <w:pStyle w:val="FBodyMainDouble"/>
        <w:spacing w:line="240" w:lineRule="auto"/>
        <w:jc w:val="center"/>
        <w:rPr>
          <w:rFonts w:ascii="Baskerville" w:hAnsi="Baskerville"/>
          <w:b/>
          <w:sz w:val="36"/>
          <w:szCs w:val="24"/>
          <w:u w:val="single"/>
        </w:rPr>
      </w:pPr>
      <w:r w:rsidRPr="00A85C0B">
        <w:rPr>
          <w:rFonts w:ascii="Baskerville" w:hAnsi="Baskerville"/>
          <w:b/>
          <w:sz w:val="36"/>
          <w:szCs w:val="24"/>
          <w:u w:val="single"/>
        </w:rPr>
        <w:t>Proposed Amendments to Comments to Rule 5.6</w:t>
      </w:r>
    </w:p>
    <w:p w14:paraId="1556ED53" w14:textId="77777777" w:rsidR="0009338B" w:rsidRPr="00A85C0B" w:rsidRDefault="0009338B">
      <w:pPr>
        <w:pStyle w:val="FBodyMainDouble"/>
        <w:spacing w:line="240" w:lineRule="auto"/>
        <w:rPr>
          <w:rFonts w:ascii="Baskerville" w:hAnsi="Baskerville"/>
          <w:b/>
        </w:rPr>
      </w:pPr>
    </w:p>
    <w:p w14:paraId="7021D91D" w14:textId="49E00EB8" w:rsidR="0009338B" w:rsidRDefault="0074081C" w:rsidP="0074081C">
      <w:pPr>
        <w:pStyle w:val="FBodyMainDouble"/>
        <w:spacing w:line="240" w:lineRule="auto"/>
        <w:ind w:firstLine="720"/>
        <w:rPr>
          <w:rFonts w:ascii="Baskerville" w:hAnsi="Baskerville"/>
          <w:i/>
        </w:rPr>
      </w:pPr>
      <w:r>
        <w:rPr>
          <w:rFonts w:ascii="Baskerville" w:hAnsi="Baskerville"/>
          <w:i/>
          <w:u w:val="single"/>
        </w:rPr>
        <w:t xml:space="preserve">Note from </w:t>
      </w:r>
      <w:r w:rsidRPr="0074081C">
        <w:rPr>
          <w:rFonts w:ascii="Baskerville" w:hAnsi="Baskerville"/>
          <w:i/>
          <w:u w:val="single"/>
        </w:rPr>
        <w:t>COSAC</w:t>
      </w:r>
      <w:r>
        <w:rPr>
          <w:rFonts w:ascii="Baskerville" w:hAnsi="Baskerville"/>
          <w:i/>
        </w:rPr>
        <w:t xml:space="preserve">:  </w:t>
      </w:r>
      <w:r w:rsidR="00894DE1" w:rsidRPr="0074081C">
        <w:rPr>
          <w:rFonts w:ascii="Baskerville" w:hAnsi="Baskerville"/>
          <w:i/>
        </w:rPr>
        <w:t>COSAC</w:t>
      </w:r>
      <w:r w:rsidR="00894DE1">
        <w:rPr>
          <w:rFonts w:ascii="Baskerville" w:hAnsi="Baskerville"/>
          <w:i/>
        </w:rPr>
        <w:t xml:space="preserve"> proposes to add</w:t>
      </w:r>
      <w:r w:rsidR="00784231" w:rsidRPr="00A85C0B">
        <w:rPr>
          <w:rFonts w:ascii="Baskerville" w:hAnsi="Baskerville"/>
          <w:i/>
        </w:rPr>
        <w:t xml:space="preserve"> new Comments [1F] and [1G] to Rule 5.6 and </w:t>
      </w:r>
      <w:r w:rsidR="00894DE1">
        <w:rPr>
          <w:rFonts w:ascii="Baskerville" w:hAnsi="Baskerville"/>
          <w:i/>
        </w:rPr>
        <w:t xml:space="preserve">to </w:t>
      </w:r>
      <w:r w:rsidR="00784231" w:rsidRPr="00A85C0B">
        <w:rPr>
          <w:rFonts w:ascii="Baskerville" w:hAnsi="Baskerville"/>
          <w:i/>
        </w:rPr>
        <w:t>amend existing Comments [1A], [1F] and [1G] as indicated below</w:t>
      </w:r>
      <w:r w:rsidR="00674312">
        <w:rPr>
          <w:rFonts w:ascii="Baskerville" w:hAnsi="Baskerville"/>
          <w:i/>
        </w:rPr>
        <w:t>, and to</w:t>
      </w:r>
      <w:r w:rsidR="00784231" w:rsidRPr="00A85C0B">
        <w:rPr>
          <w:rFonts w:ascii="Baskerville" w:hAnsi="Baskerville"/>
          <w:i/>
        </w:rPr>
        <w:t xml:space="preserve"> renumber existing Comment [1I], and </w:t>
      </w:r>
      <w:r w:rsidR="00674312">
        <w:rPr>
          <w:rFonts w:ascii="Baskerville" w:hAnsi="Baskerville"/>
          <w:i/>
        </w:rPr>
        <w:t xml:space="preserve">to </w:t>
      </w:r>
      <w:r w:rsidR="00784231" w:rsidRPr="00A85C0B">
        <w:rPr>
          <w:rFonts w:ascii="Baskerville" w:hAnsi="Baskerville"/>
          <w:i/>
        </w:rPr>
        <w:t xml:space="preserve">change </w:t>
      </w:r>
      <w:r w:rsidR="00674312">
        <w:rPr>
          <w:rFonts w:ascii="Baskerville" w:hAnsi="Baskerville"/>
          <w:i/>
        </w:rPr>
        <w:t xml:space="preserve">the </w:t>
      </w:r>
      <w:r w:rsidR="00784231" w:rsidRPr="00A85C0B">
        <w:rPr>
          <w:rFonts w:ascii="Baskerville" w:hAnsi="Baskerville"/>
          <w:i/>
        </w:rPr>
        <w:t>reference to “Comment [1F]” in Comment [1D] to “Comments [1F] and [1G]</w:t>
      </w:r>
      <w:r w:rsidR="00674312">
        <w:rPr>
          <w:rFonts w:ascii="Baskerville" w:hAnsi="Baskerville"/>
          <w:i/>
        </w:rPr>
        <w:t>.</w:t>
      </w:r>
      <w:r w:rsidR="00784231" w:rsidRPr="00A85C0B">
        <w:rPr>
          <w:rFonts w:ascii="Baskerville" w:hAnsi="Baskerville"/>
          <w:i/>
        </w:rPr>
        <w:t>”</w:t>
      </w:r>
      <w:r w:rsidR="00674312">
        <w:rPr>
          <w:rFonts w:ascii="Baskerville" w:hAnsi="Baskerville"/>
          <w:i/>
        </w:rPr>
        <w:t xml:space="preserve">  New language is </w:t>
      </w:r>
      <w:r w:rsidR="00674312" w:rsidRPr="00674312">
        <w:rPr>
          <w:rFonts w:ascii="Baskerville" w:hAnsi="Baskerville"/>
          <w:i/>
          <w:color w:val="0070C0"/>
          <w:u w:val="single"/>
        </w:rPr>
        <w:t>underscored</w:t>
      </w:r>
      <w:r w:rsidR="00674312" w:rsidRPr="00674312">
        <w:rPr>
          <w:rFonts w:ascii="Baskerville" w:hAnsi="Baskerville"/>
          <w:i/>
          <w:color w:val="0070C0"/>
        </w:rPr>
        <w:t xml:space="preserve"> in blue </w:t>
      </w:r>
      <w:r w:rsidR="00674312">
        <w:rPr>
          <w:rFonts w:ascii="Baskerville" w:hAnsi="Baskerville"/>
          <w:i/>
        </w:rPr>
        <w:t xml:space="preserve">and deleted language is </w:t>
      </w:r>
      <w:r w:rsidR="00674312" w:rsidRPr="00674312">
        <w:rPr>
          <w:rFonts w:ascii="Baskerville" w:hAnsi="Baskerville"/>
          <w:i/>
          <w:strike/>
          <w:color w:val="FF0000"/>
        </w:rPr>
        <w:t>stricken through</w:t>
      </w:r>
      <w:r w:rsidR="00674312" w:rsidRPr="00674312">
        <w:rPr>
          <w:rFonts w:ascii="Baskerville" w:hAnsi="Baskerville"/>
          <w:i/>
          <w:color w:val="FF0000"/>
        </w:rPr>
        <w:t xml:space="preserve"> in red</w:t>
      </w:r>
      <w:r w:rsidR="00674312">
        <w:rPr>
          <w:rFonts w:ascii="Baskerville" w:hAnsi="Baskerville"/>
          <w:i/>
        </w:rPr>
        <w:t>.</w:t>
      </w:r>
      <w:r w:rsidR="007D6B06">
        <w:rPr>
          <w:rFonts w:ascii="Baskerville" w:hAnsi="Baskerville"/>
          <w:i/>
        </w:rPr>
        <w:t xml:space="preserve">  All other language remains unchanged from the current version of the Comment to Rule 5.6.</w:t>
      </w:r>
    </w:p>
    <w:p w14:paraId="7015C313" w14:textId="77777777" w:rsidR="007D6B06" w:rsidRDefault="007D6B06" w:rsidP="007D6B06">
      <w:pPr>
        <w:pStyle w:val="FBodyMainDouble"/>
        <w:rPr>
          <w:rFonts w:ascii="Baskerville" w:hAnsi="Baskerville"/>
          <w:iCs/>
        </w:rPr>
      </w:pPr>
      <w:r w:rsidRPr="007D6B06">
        <w:rPr>
          <w:rFonts w:ascii="Baskerville" w:hAnsi="Baskerville"/>
          <w:b/>
          <w:bCs/>
          <w:iCs/>
        </w:rPr>
        <w:t>Comment</w:t>
      </w:r>
      <w:r w:rsidRPr="007D6B06">
        <w:rPr>
          <w:rFonts w:ascii="Baskerville" w:hAnsi="Baskerville"/>
          <w:iCs/>
        </w:rPr>
        <w:t xml:space="preserve"> </w:t>
      </w:r>
    </w:p>
    <w:p w14:paraId="769B1A58" w14:textId="596EE99F" w:rsidR="007D6B06" w:rsidRPr="00A85C0B" w:rsidRDefault="007D6B06" w:rsidP="007D6B06">
      <w:pPr>
        <w:pStyle w:val="FBodyMainDouble"/>
        <w:ind w:firstLine="720"/>
        <w:jc w:val="both"/>
        <w:rPr>
          <w:rFonts w:ascii="Baskerville" w:hAnsi="Baskerville"/>
          <w:i/>
        </w:rPr>
      </w:pPr>
      <w:r w:rsidRPr="007D6B06">
        <w:rPr>
          <w:rFonts w:ascii="Baskerville" w:hAnsi="Baskerville"/>
          <w:iCs/>
        </w:rPr>
        <w:t>[1] An agreement restricting the right of a lawyer who has left a firm (a “departed lawyer”) to practice after leaving a firm limits the freedom of clients to choose a lawyer and limits the professional autonomy of lawyers. Paragraph (a) prohibits such agreements, except (</w:t>
      </w:r>
      <w:proofErr w:type="spellStart"/>
      <w:r w:rsidRPr="007D6B06">
        <w:rPr>
          <w:rFonts w:ascii="Baskerville" w:hAnsi="Baskerville"/>
          <w:iCs/>
        </w:rPr>
        <w:t>i</w:t>
      </w:r>
      <w:proofErr w:type="spellEnd"/>
      <w:r w:rsidRPr="007D6B06">
        <w:rPr>
          <w:rFonts w:ascii="Baskerville" w:hAnsi="Baskerville"/>
          <w:iCs/>
        </w:rPr>
        <w:t>) restrictions incident to provisions concerning retirement benefits for service with the firm or (ii) restrictions justified by special circumstances described in this Comment. Throughout this Comment, the phrase “law firm” shall have the meaning given in the definition in Rule 1.0(h).</w:t>
      </w:r>
    </w:p>
    <w:p w14:paraId="5D932605" w14:textId="33B914AD" w:rsidR="0009338B" w:rsidRDefault="00784231" w:rsidP="00674312">
      <w:pPr>
        <w:pStyle w:val="FBodyMainDouble"/>
        <w:ind w:firstLine="720"/>
        <w:jc w:val="both"/>
        <w:rPr>
          <w:rFonts w:ascii="Baskerville" w:eastAsia="Times" w:hAnsi="Baskerville" w:cs="Times"/>
          <w:color w:val="000000"/>
          <w:szCs w:val="24"/>
        </w:rPr>
      </w:pPr>
      <w:r w:rsidRPr="00674312">
        <w:rPr>
          <w:rFonts w:ascii="Baskerville" w:eastAsia="Times" w:hAnsi="Baskerville" w:cs="Times"/>
          <w:color w:val="000000"/>
          <w:szCs w:val="24"/>
        </w:rPr>
        <w:t xml:space="preserve">[1A] </w:t>
      </w:r>
      <w:r w:rsidRPr="00674312">
        <w:rPr>
          <w:rFonts w:ascii="Baskerville" w:hAnsi="Baskerville"/>
          <w:color w:val="000000"/>
        </w:rPr>
        <w:t xml:space="preserve">This Rule and </w:t>
      </w:r>
      <w:r w:rsidR="00E5421D" w:rsidRPr="00D9784E">
        <w:rPr>
          <w:rFonts w:ascii="Baskerville" w:hAnsi="Baskerville"/>
          <w:color w:val="000000" w:themeColor="text1"/>
        </w:rPr>
        <w:t xml:space="preserve">this </w:t>
      </w:r>
      <w:r w:rsidRPr="00674312">
        <w:rPr>
          <w:rFonts w:ascii="Baskerville" w:eastAsia="Times" w:hAnsi="Baskerville" w:cs="Times"/>
          <w:color w:val="000000"/>
          <w:szCs w:val="24"/>
        </w:rPr>
        <w:t xml:space="preserve">Comment are intended to address the </w:t>
      </w:r>
      <w:r w:rsidRPr="00E5421D">
        <w:rPr>
          <w:rFonts w:ascii="Baskerville" w:hAnsi="Baskerville"/>
          <w:color w:val="0070C0"/>
          <w:u w:val="single"/>
        </w:rPr>
        <w:t>obligations</w:t>
      </w:r>
      <w:r w:rsidRPr="00674312">
        <w:rPr>
          <w:rFonts w:ascii="Baskerville" w:hAnsi="Baskerville"/>
          <w:color w:val="000000"/>
        </w:rPr>
        <w:t xml:space="preserve"> </w:t>
      </w:r>
      <w:r w:rsidR="00E5421D" w:rsidRPr="00E5421D">
        <w:rPr>
          <w:rFonts w:ascii="Baskerville" w:hAnsi="Baskerville"/>
          <w:strike/>
          <w:color w:val="FF0000"/>
        </w:rPr>
        <w:t>duties</w:t>
      </w:r>
      <w:r w:rsidR="00E5421D" w:rsidRPr="00E5421D">
        <w:rPr>
          <w:rFonts w:ascii="Baskerville" w:hAnsi="Baskerville"/>
          <w:color w:val="FF0000"/>
        </w:rPr>
        <w:t xml:space="preserve"> </w:t>
      </w:r>
      <w:r w:rsidRPr="00674312">
        <w:rPr>
          <w:rFonts w:ascii="Baskerville" w:eastAsia="Times" w:hAnsi="Baskerville" w:cs="Times"/>
          <w:color w:val="000000"/>
          <w:szCs w:val="24"/>
        </w:rPr>
        <w:t xml:space="preserve">of lawyers and law firms solely under </w:t>
      </w:r>
      <w:r w:rsidRPr="00E5421D">
        <w:rPr>
          <w:rFonts w:ascii="Baskerville" w:hAnsi="Baskerville"/>
          <w:color w:val="0070C0"/>
          <w:u w:val="single"/>
        </w:rPr>
        <w:t>Rule 5.6</w:t>
      </w:r>
      <w:r w:rsidR="00E5421D">
        <w:rPr>
          <w:rFonts w:ascii="Baskerville" w:hAnsi="Baskerville"/>
          <w:color w:val="0070C0"/>
        </w:rPr>
        <w:t xml:space="preserve"> </w:t>
      </w:r>
      <w:r w:rsidR="00E5421D" w:rsidRPr="00E5421D">
        <w:rPr>
          <w:rFonts w:ascii="Baskerville" w:hAnsi="Baskerville"/>
          <w:strike/>
          <w:color w:val="FF0000"/>
        </w:rPr>
        <w:t>the Rules of Professional Conduct</w:t>
      </w:r>
      <w:r w:rsidRPr="00674312">
        <w:rPr>
          <w:rFonts w:ascii="Baskerville" w:eastAsia="Times" w:hAnsi="Baskerville" w:cs="Times"/>
          <w:color w:val="000000"/>
          <w:szCs w:val="24"/>
        </w:rPr>
        <w:t xml:space="preserve">. They are not intended to address the </w:t>
      </w:r>
      <w:r w:rsidRPr="00E5421D">
        <w:rPr>
          <w:rFonts w:ascii="Baskerville" w:eastAsia="Times" w:hAnsi="Baskerville" w:cs="Times"/>
          <w:color w:val="0070C0"/>
          <w:szCs w:val="24"/>
          <w:u w:val="single"/>
        </w:rPr>
        <w:t>rights or</w:t>
      </w:r>
      <w:r w:rsidRPr="00674312">
        <w:rPr>
          <w:rFonts w:ascii="Baskerville" w:eastAsia="Times" w:hAnsi="Baskerville" w:cs="Times"/>
          <w:color w:val="000000"/>
          <w:szCs w:val="24"/>
        </w:rPr>
        <w:t xml:space="preserve"> obligations of a law firm or a departed lawyer under the law of fiduciary duties, partnership law, contract law, tort law, or other </w:t>
      </w:r>
      <w:r w:rsidR="00E5421D" w:rsidRPr="00E5421D">
        <w:rPr>
          <w:rFonts w:ascii="Baskerville" w:eastAsia="Times" w:hAnsi="Baskerville" w:cs="Times"/>
          <w:strike/>
          <w:color w:val="FF0000"/>
          <w:szCs w:val="24"/>
        </w:rPr>
        <w:t>substantive</w:t>
      </w:r>
      <w:r w:rsidR="00E5421D">
        <w:rPr>
          <w:rFonts w:ascii="Baskerville" w:eastAsia="Times" w:hAnsi="Baskerville" w:cs="Times"/>
          <w:color w:val="000000"/>
          <w:szCs w:val="24"/>
        </w:rPr>
        <w:t xml:space="preserve"> </w:t>
      </w:r>
      <w:r w:rsidRPr="00674312">
        <w:rPr>
          <w:rFonts w:ascii="Baskerville" w:eastAsia="Times" w:hAnsi="Baskerville" w:cs="Times"/>
          <w:color w:val="000000"/>
          <w:szCs w:val="24"/>
        </w:rPr>
        <w:t>law.</w:t>
      </w:r>
    </w:p>
    <w:p w14:paraId="1E71AE12" w14:textId="77777777" w:rsidR="00BF072B" w:rsidRDefault="00BF072B" w:rsidP="00BF072B">
      <w:pPr>
        <w:pStyle w:val="FBodyMainDouble"/>
        <w:ind w:firstLine="720"/>
        <w:jc w:val="both"/>
        <w:rPr>
          <w:rFonts w:ascii="Baskerville" w:eastAsia="Times" w:hAnsi="Baskerville" w:cs="Times"/>
          <w:color w:val="000000"/>
          <w:szCs w:val="24"/>
        </w:rPr>
      </w:pPr>
      <w:r w:rsidRPr="00BF072B">
        <w:rPr>
          <w:rFonts w:ascii="Baskerville" w:eastAsia="Times" w:hAnsi="Baskerville" w:cs="Times"/>
          <w:color w:val="000000"/>
          <w:szCs w:val="24"/>
        </w:rPr>
        <w:t xml:space="preserve">[1B] Paragraph (a)(1) applies to any written or oral agreement governing or intended to govern: </w:t>
      </w:r>
    </w:p>
    <w:p w14:paraId="60B4A949" w14:textId="0DCF4252" w:rsidR="00BF072B" w:rsidRDefault="00BF072B" w:rsidP="00BF072B">
      <w:pPr>
        <w:pStyle w:val="FBodyMainDouble"/>
        <w:numPr>
          <w:ilvl w:val="0"/>
          <w:numId w:val="43"/>
        </w:numPr>
        <w:jc w:val="both"/>
        <w:rPr>
          <w:rFonts w:ascii="Baskerville" w:eastAsia="Times" w:hAnsi="Baskerville" w:cs="Times"/>
          <w:color w:val="000000"/>
          <w:szCs w:val="24"/>
        </w:rPr>
      </w:pPr>
      <w:r w:rsidRPr="00BF072B">
        <w:rPr>
          <w:rFonts w:ascii="Baskerville" w:eastAsia="Times" w:hAnsi="Baskerville" w:cs="Times"/>
          <w:color w:val="000000"/>
          <w:szCs w:val="24"/>
        </w:rPr>
        <w:t>t</w:t>
      </w:r>
      <w:proofErr w:type="spellStart"/>
      <w:r w:rsidRPr="00BF072B">
        <w:rPr>
          <w:rFonts w:ascii="Baskerville" w:eastAsia="Times" w:hAnsi="Baskerville" w:cs="Times"/>
          <w:color w:val="000000"/>
          <w:szCs w:val="24"/>
        </w:rPr>
        <w:t>h</w:t>
      </w:r>
      <w:proofErr w:type="spellEnd"/>
      <w:r w:rsidRPr="00BF072B">
        <w:rPr>
          <w:rFonts w:ascii="Baskerville" w:eastAsia="Times" w:hAnsi="Baskerville" w:cs="Times"/>
          <w:color w:val="000000"/>
          <w:szCs w:val="24"/>
        </w:rPr>
        <w:t xml:space="preserve">e operation of a law </w:t>
      </w:r>
      <w:proofErr w:type="gramStart"/>
      <w:r w:rsidRPr="00BF072B">
        <w:rPr>
          <w:rFonts w:ascii="Baskerville" w:eastAsia="Times" w:hAnsi="Baskerville" w:cs="Times"/>
          <w:color w:val="000000"/>
          <w:szCs w:val="24"/>
        </w:rPr>
        <w:t>firm;</w:t>
      </w:r>
      <w:proofErr w:type="gramEnd"/>
      <w:r w:rsidRPr="00BF072B">
        <w:rPr>
          <w:rFonts w:ascii="Baskerville" w:eastAsia="Times" w:hAnsi="Baskerville" w:cs="Times"/>
          <w:color w:val="000000"/>
          <w:szCs w:val="24"/>
        </w:rPr>
        <w:t xml:space="preserve"> </w:t>
      </w:r>
    </w:p>
    <w:p w14:paraId="5E7C011E" w14:textId="77777777" w:rsidR="00BF072B" w:rsidRDefault="00BF072B" w:rsidP="00BF072B">
      <w:pPr>
        <w:pStyle w:val="FBodyMainDouble"/>
        <w:numPr>
          <w:ilvl w:val="0"/>
          <w:numId w:val="43"/>
        </w:numPr>
        <w:jc w:val="both"/>
        <w:rPr>
          <w:rFonts w:ascii="Baskerville" w:eastAsia="Times" w:hAnsi="Baskerville" w:cs="Times"/>
          <w:color w:val="000000"/>
          <w:szCs w:val="24"/>
        </w:rPr>
      </w:pPr>
      <w:r w:rsidRPr="00BF072B">
        <w:rPr>
          <w:rFonts w:ascii="Baskerville" w:eastAsia="Times" w:hAnsi="Baskerville" w:cs="Times"/>
          <w:color w:val="000000"/>
          <w:szCs w:val="24"/>
        </w:rPr>
        <w:t xml:space="preserve">the terms of partnership, shareholding, or of counsel status at a law firm; and </w:t>
      </w:r>
    </w:p>
    <w:p w14:paraId="78A5A358" w14:textId="77777777" w:rsidR="00BF072B" w:rsidRDefault="00BF072B" w:rsidP="00BF072B">
      <w:pPr>
        <w:pStyle w:val="FBodyMainDouble"/>
        <w:numPr>
          <w:ilvl w:val="0"/>
          <w:numId w:val="43"/>
        </w:numPr>
        <w:jc w:val="both"/>
        <w:rPr>
          <w:rFonts w:ascii="Baskerville" w:eastAsia="Times" w:hAnsi="Baskerville" w:cs="Times"/>
          <w:color w:val="000000"/>
          <w:szCs w:val="24"/>
        </w:rPr>
      </w:pPr>
      <w:r w:rsidRPr="00BF072B">
        <w:rPr>
          <w:rFonts w:ascii="Baskerville" w:eastAsia="Times" w:hAnsi="Baskerville" w:cs="Times"/>
          <w:color w:val="000000"/>
          <w:szCs w:val="24"/>
        </w:rPr>
        <w:t xml:space="preserve">the terms of an individual lawyer’s full-time or part-time employment at a law firm or other entity. </w:t>
      </w:r>
    </w:p>
    <w:p w14:paraId="75FB61A9" w14:textId="77777777" w:rsidR="00BF072B" w:rsidRDefault="00BF072B" w:rsidP="00BF072B">
      <w:pPr>
        <w:pStyle w:val="FBodyMainDouble"/>
        <w:ind w:firstLine="720"/>
        <w:jc w:val="both"/>
        <w:rPr>
          <w:rFonts w:ascii="Baskerville" w:eastAsia="Times" w:hAnsi="Baskerville" w:cs="Times"/>
          <w:color w:val="000000"/>
          <w:szCs w:val="24"/>
        </w:rPr>
      </w:pPr>
      <w:r w:rsidRPr="00BF072B">
        <w:rPr>
          <w:rFonts w:ascii="Baskerville" w:eastAsia="Times" w:hAnsi="Baskerville" w:cs="Times"/>
          <w:color w:val="000000"/>
          <w:szCs w:val="24"/>
        </w:rPr>
        <w:t xml:space="preserve">[1C] Paragraph (a)(1) applies whether the agreement is embodied in a written or oral contract, a firm or employee handbook, a memorandum, or any other kind of document. Paragraph (a)(1) prohibits any agreement (other than a provision relating to retirement benefits) that prohibits or limits a departed lawyer from contacting or serving the firm’s current, former, or prospective clients, except that: </w:t>
      </w:r>
    </w:p>
    <w:p w14:paraId="3FDCB539" w14:textId="11212CAB" w:rsidR="00BF072B" w:rsidRDefault="00BF072B" w:rsidP="00BF072B">
      <w:pPr>
        <w:pStyle w:val="FBodyMainDouble"/>
        <w:numPr>
          <w:ilvl w:val="0"/>
          <w:numId w:val="44"/>
        </w:numPr>
        <w:jc w:val="both"/>
        <w:rPr>
          <w:rFonts w:ascii="Baskerville" w:eastAsia="Times" w:hAnsi="Baskerville" w:cs="Times"/>
          <w:color w:val="000000"/>
          <w:szCs w:val="24"/>
        </w:rPr>
      </w:pPr>
      <w:r w:rsidRPr="00BF072B">
        <w:rPr>
          <w:rFonts w:ascii="Baskerville" w:eastAsia="Times" w:hAnsi="Baskerville" w:cs="Times"/>
          <w:color w:val="000000"/>
          <w:szCs w:val="24"/>
        </w:rPr>
        <w:t xml:space="preserve">an agreement may include provisions to protect confidential or proprietary information belonging to the law firm or to the law firm’s current, former, or prospective clients; and </w:t>
      </w:r>
    </w:p>
    <w:p w14:paraId="168FDA53" w14:textId="35383C39" w:rsidR="00BF072B" w:rsidRPr="00B0722C" w:rsidRDefault="00BF072B" w:rsidP="00B0722C">
      <w:pPr>
        <w:pStyle w:val="FBodyMainDouble"/>
        <w:numPr>
          <w:ilvl w:val="0"/>
          <w:numId w:val="44"/>
        </w:numPr>
        <w:jc w:val="both"/>
        <w:rPr>
          <w:rFonts w:ascii="Baskerville" w:eastAsia="Times" w:hAnsi="Baskerville" w:cs="Times"/>
          <w:color w:val="000000"/>
          <w:szCs w:val="24"/>
        </w:rPr>
      </w:pPr>
      <w:r w:rsidRPr="00BF072B">
        <w:rPr>
          <w:rFonts w:ascii="Baskerville" w:eastAsia="Times" w:hAnsi="Baskerville" w:cs="Times"/>
          <w:color w:val="000000"/>
          <w:szCs w:val="24"/>
        </w:rPr>
        <w:t>an agreement may include provisions that impose reasonable restrictions or remedies on a departed lawyer in the circumstances described in Comment</w:t>
      </w:r>
      <w:r>
        <w:rPr>
          <w:rFonts w:ascii="Baskerville" w:eastAsia="Times" w:hAnsi="Baskerville" w:cs="Times"/>
          <w:color w:val="000000"/>
          <w:szCs w:val="24"/>
        </w:rPr>
        <w:t xml:space="preserve"> </w:t>
      </w:r>
      <w:r w:rsidRPr="00A6715F">
        <w:rPr>
          <w:rFonts w:ascii="Baskerville" w:eastAsia="Times" w:hAnsi="Baskerville" w:cs="Times"/>
          <w:color w:val="0070C0"/>
          <w:szCs w:val="24"/>
          <w:u w:val="single"/>
        </w:rPr>
        <w:t>[1</w:t>
      </w:r>
      <w:r w:rsidR="00A6715F" w:rsidRPr="00A6715F">
        <w:rPr>
          <w:rFonts w:ascii="Baskerville" w:eastAsia="Times" w:hAnsi="Baskerville" w:cs="Times"/>
          <w:color w:val="0070C0"/>
          <w:szCs w:val="24"/>
          <w:u w:val="single"/>
        </w:rPr>
        <w:t>H]</w:t>
      </w:r>
      <w:r w:rsidRPr="00BF072B">
        <w:rPr>
          <w:rFonts w:ascii="Baskerville" w:eastAsia="Times" w:hAnsi="Baskerville" w:cs="Times"/>
          <w:color w:val="000000"/>
          <w:szCs w:val="24"/>
        </w:rPr>
        <w:t xml:space="preserve"> </w:t>
      </w:r>
      <w:r w:rsidRPr="00BF072B">
        <w:rPr>
          <w:rFonts w:ascii="Baskerville" w:eastAsia="Times" w:hAnsi="Baskerville" w:cs="Times"/>
          <w:strike/>
          <w:color w:val="FF0000"/>
          <w:szCs w:val="24"/>
        </w:rPr>
        <w:t>[1F]</w:t>
      </w:r>
      <w:r w:rsidRPr="00BF072B">
        <w:rPr>
          <w:rFonts w:ascii="Baskerville" w:eastAsia="Times" w:hAnsi="Baskerville" w:cs="Times"/>
          <w:color w:val="000000"/>
          <w:szCs w:val="24"/>
        </w:rPr>
        <w:t>.</w:t>
      </w:r>
    </w:p>
    <w:p w14:paraId="26D55537" w14:textId="0154B2CD" w:rsidR="007D6B06" w:rsidRDefault="00BF072B" w:rsidP="00674312">
      <w:pPr>
        <w:pStyle w:val="FBodyMainDouble"/>
        <w:ind w:firstLine="720"/>
        <w:jc w:val="both"/>
        <w:rPr>
          <w:rFonts w:ascii="Baskerville" w:hAnsi="Baskerville"/>
          <w:color w:val="000000"/>
        </w:rPr>
      </w:pPr>
      <w:r w:rsidRPr="00BF072B">
        <w:rPr>
          <w:rFonts w:ascii="Baskerville" w:hAnsi="Baskerville"/>
          <w:color w:val="000000"/>
        </w:rPr>
        <w:t xml:space="preserve">[1D] Paragraph (a)(1) applies not only to agreements regarding lawyers in private practice but also to agreements between employed (“in-house”) attorneys and the clients or entities that employ them, whether in a legal or non-legal capacity. However, paragraph (a)(1) does not prevent an entity and its employed lawyers from agreeing to restrictions on post-departure non-legal functions. In every type of law firm, the departed lawyer and the law firm must balance their rights and obligations to each other in a manner consistent with the Rules of Professional Conduct and the law governing contracts, partnerships, and fiduciary obligations, all while recognizing the primacy of client interests and client autonomy. </w:t>
      </w:r>
      <w:proofErr w:type="gramStart"/>
      <w:r w:rsidRPr="00BF072B">
        <w:rPr>
          <w:rFonts w:ascii="Baskerville" w:hAnsi="Baskerville"/>
          <w:color w:val="000000"/>
        </w:rPr>
        <w:t>With this in mind, Comment</w:t>
      </w:r>
      <w:proofErr w:type="gramEnd"/>
      <w:r w:rsidRPr="00BF072B">
        <w:rPr>
          <w:rFonts w:ascii="Baskerville" w:hAnsi="Baskerville"/>
          <w:color w:val="000000"/>
        </w:rPr>
        <w:t xml:space="preserve"> [1E] addresses restrictions that ordinarily violate the Rule, and Comment</w:t>
      </w:r>
      <w:r w:rsidR="00A6715F" w:rsidRPr="00A6715F">
        <w:rPr>
          <w:rFonts w:ascii="Baskerville" w:hAnsi="Baskerville"/>
          <w:color w:val="0070C0"/>
        </w:rPr>
        <w:t>s</w:t>
      </w:r>
      <w:r w:rsidRPr="00BF072B">
        <w:rPr>
          <w:rFonts w:ascii="Baskerville" w:hAnsi="Baskerville"/>
          <w:color w:val="000000"/>
        </w:rPr>
        <w:t xml:space="preserve"> [1F] </w:t>
      </w:r>
      <w:r w:rsidR="00A6715F" w:rsidRPr="00A6715F">
        <w:rPr>
          <w:rFonts w:ascii="Baskerville" w:hAnsi="Baskerville"/>
          <w:color w:val="0070C0"/>
          <w:u w:val="single"/>
        </w:rPr>
        <w:t>and [1G]</w:t>
      </w:r>
      <w:r w:rsidR="00A6715F" w:rsidRPr="00A6715F">
        <w:rPr>
          <w:rFonts w:ascii="Baskerville" w:hAnsi="Baskerville"/>
          <w:color w:val="0070C0"/>
        </w:rPr>
        <w:t xml:space="preserve"> </w:t>
      </w:r>
      <w:r w:rsidRPr="00BF072B">
        <w:rPr>
          <w:rFonts w:ascii="Baskerville" w:hAnsi="Baskerville"/>
          <w:color w:val="000000"/>
        </w:rPr>
        <w:t>address</w:t>
      </w:r>
      <w:r w:rsidRPr="00BF072B">
        <w:rPr>
          <w:rFonts w:ascii="Baskerville" w:hAnsi="Baskerville"/>
          <w:strike/>
          <w:color w:val="FF0000"/>
        </w:rPr>
        <w:t>es</w:t>
      </w:r>
      <w:r w:rsidRPr="00BF072B">
        <w:rPr>
          <w:rFonts w:ascii="Baskerville" w:hAnsi="Baskerville"/>
          <w:color w:val="000000"/>
        </w:rPr>
        <w:t xml:space="preserve"> restrictions that ordinarily do not violate the Rule. </w:t>
      </w:r>
    </w:p>
    <w:p w14:paraId="42E99F2D" w14:textId="77777777" w:rsidR="00B0722C" w:rsidRDefault="00BF072B" w:rsidP="00674312">
      <w:pPr>
        <w:pStyle w:val="FBodyMainDouble"/>
        <w:ind w:firstLine="720"/>
        <w:jc w:val="both"/>
        <w:rPr>
          <w:rFonts w:ascii="Baskerville" w:hAnsi="Baskerville"/>
          <w:color w:val="000000"/>
        </w:rPr>
      </w:pPr>
      <w:r w:rsidRPr="00BF072B">
        <w:rPr>
          <w:rFonts w:ascii="Baskerville" w:hAnsi="Baskerville"/>
          <w:b/>
          <w:bCs/>
          <w:color w:val="000000"/>
        </w:rPr>
        <w:t>Prohibited Agreements</w:t>
      </w:r>
      <w:r w:rsidRPr="00BF072B">
        <w:rPr>
          <w:rFonts w:ascii="Baskerville" w:hAnsi="Baskerville"/>
          <w:color w:val="000000"/>
        </w:rPr>
        <w:t xml:space="preserve"> </w:t>
      </w:r>
    </w:p>
    <w:p w14:paraId="7EDDCEBE" w14:textId="77777777" w:rsidR="00B0722C" w:rsidRDefault="00BF072B" w:rsidP="00674312">
      <w:pPr>
        <w:pStyle w:val="FBodyMainDouble"/>
        <w:ind w:firstLine="720"/>
        <w:jc w:val="both"/>
        <w:rPr>
          <w:rFonts w:ascii="Baskerville" w:hAnsi="Baskerville"/>
          <w:color w:val="000000"/>
        </w:rPr>
      </w:pPr>
      <w:r w:rsidRPr="00BF072B">
        <w:rPr>
          <w:rFonts w:ascii="Baskerville" w:hAnsi="Baskerville"/>
          <w:color w:val="000000"/>
        </w:rPr>
        <w:t xml:space="preserve">[1E] Agreements that ordinarily violate paragraph (a)(1) (unless they fit within the exception for retirement benefits) include, but are not limited to, agreements that purport to do any of the following: </w:t>
      </w:r>
    </w:p>
    <w:p w14:paraId="3178A8E3" w14:textId="7CF3D059" w:rsidR="00B0722C" w:rsidRDefault="00BF072B" w:rsidP="00B0722C">
      <w:pPr>
        <w:pStyle w:val="FBodyMainDouble"/>
        <w:numPr>
          <w:ilvl w:val="0"/>
          <w:numId w:val="45"/>
        </w:numPr>
        <w:jc w:val="both"/>
        <w:rPr>
          <w:rFonts w:ascii="Baskerville" w:hAnsi="Baskerville"/>
          <w:color w:val="000000"/>
        </w:rPr>
      </w:pPr>
      <w:r w:rsidRPr="00BF072B">
        <w:rPr>
          <w:rFonts w:ascii="Baskerville" w:hAnsi="Baskerville"/>
          <w:color w:val="000000"/>
        </w:rPr>
        <w:t xml:space="preserve">prohibit or limit a departed lawyer from contacting or representing some or all current, former, or prospective clients of the </w:t>
      </w:r>
      <w:proofErr w:type="gramStart"/>
      <w:r w:rsidRPr="00BF072B">
        <w:rPr>
          <w:rFonts w:ascii="Baskerville" w:hAnsi="Baskerville"/>
          <w:color w:val="000000"/>
        </w:rPr>
        <w:t>firm;</w:t>
      </w:r>
      <w:proofErr w:type="gramEnd"/>
      <w:r w:rsidRPr="00BF072B">
        <w:rPr>
          <w:rFonts w:ascii="Baskerville" w:hAnsi="Baskerville"/>
          <w:color w:val="000000"/>
        </w:rPr>
        <w:t xml:space="preserve"> </w:t>
      </w:r>
    </w:p>
    <w:p w14:paraId="3ED44C3F" w14:textId="77777777" w:rsidR="00B0722C" w:rsidRDefault="00BF072B" w:rsidP="00B0722C">
      <w:pPr>
        <w:pStyle w:val="FBodyMainDouble"/>
        <w:numPr>
          <w:ilvl w:val="0"/>
          <w:numId w:val="45"/>
        </w:numPr>
        <w:jc w:val="both"/>
        <w:rPr>
          <w:rFonts w:ascii="Baskerville" w:hAnsi="Baskerville"/>
          <w:color w:val="000000"/>
        </w:rPr>
      </w:pPr>
      <w:r w:rsidRPr="00BF072B">
        <w:rPr>
          <w:rFonts w:ascii="Baskerville" w:hAnsi="Baskerville"/>
          <w:color w:val="000000"/>
        </w:rPr>
        <w:t>prohibit or limit a departed lawyer from practicing law for any period of time following his or her withdrawal (e.g., imposing a mandatory “garden leave”</w:t>
      </w:r>
      <w:proofErr w:type="gramStart"/>
      <w:r w:rsidRPr="00BF072B">
        <w:rPr>
          <w:rFonts w:ascii="Baskerville" w:hAnsi="Baskerville"/>
          <w:color w:val="000000"/>
        </w:rPr>
        <w:t>);</w:t>
      </w:r>
      <w:proofErr w:type="gramEnd"/>
      <w:r w:rsidRPr="00BF072B">
        <w:rPr>
          <w:rFonts w:ascii="Baskerville" w:hAnsi="Baskerville"/>
          <w:color w:val="000000"/>
        </w:rPr>
        <w:t xml:space="preserve"> </w:t>
      </w:r>
    </w:p>
    <w:p w14:paraId="339C3F59" w14:textId="77777777" w:rsidR="00B0722C" w:rsidRDefault="00BF072B" w:rsidP="00B0722C">
      <w:pPr>
        <w:pStyle w:val="FBodyMainDouble"/>
        <w:numPr>
          <w:ilvl w:val="0"/>
          <w:numId w:val="45"/>
        </w:numPr>
        <w:jc w:val="both"/>
        <w:rPr>
          <w:rFonts w:ascii="Baskerville" w:hAnsi="Baskerville"/>
          <w:color w:val="000000"/>
        </w:rPr>
      </w:pPr>
      <w:r w:rsidRPr="00BF072B">
        <w:rPr>
          <w:rFonts w:ascii="Baskerville" w:hAnsi="Baskerville"/>
          <w:color w:val="000000"/>
        </w:rPr>
        <w:t xml:space="preserve">prohibit or limit a departed lawyer from contacting or soliciting law firm employees after the lawyer has departed from the firm; or </w:t>
      </w:r>
    </w:p>
    <w:p w14:paraId="5065ED15" w14:textId="7C0855A3" w:rsidR="00BF072B" w:rsidRDefault="00BF072B" w:rsidP="00B0722C">
      <w:pPr>
        <w:pStyle w:val="FBodyMainDouble"/>
        <w:numPr>
          <w:ilvl w:val="0"/>
          <w:numId w:val="45"/>
        </w:numPr>
        <w:jc w:val="both"/>
        <w:rPr>
          <w:rFonts w:ascii="Baskerville" w:hAnsi="Baskerville"/>
          <w:color w:val="000000"/>
        </w:rPr>
      </w:pPr>
      <w:r w:rsidRPr="00BF072B">
        <w:rPr>
          <w:rFonts w:ascii="Baskerville" w:hAnsi="Baskerville"/>
          <w:color w:val="000000"/>
        </w:rPr>
        <w:t xml:space="preserve">impose more severe financial penalties on departed lawyers who intend to compete, </w:t>
      </w:r>
      <w:proofErr w:type="gramStart"/>
      <w:r w:rsidRPr="00BF072B">
        <w:rPr>
          <w:rFonts w:ascii="Baskerville" w:hAnsi="Baskerville"/>
          <w:color w:val="000000"/>
        </w:rPr>
        <w:t>actually compete</w:t>
      </w:r>
      <w:proofErr w:type="gramEnd"/>
      <w:r w:rsidRPr="00BF072B">
        <w:rPr>
          <w:rFonts w:ascii="Baskerville" w:hAnsi="Baskerville"/>
          <w:color w:val="000000"/>
        </w:rPr>
        <w:t xml:space="preserve">, are suspected of competing, or are presumed to be competing with the firm than are imposed on departed lawyers who do not compete. </w:t>
      </w:r>
    </w:p>
    <w:p w14:paraId="66CA4AD2" w14:textId="79A536D3" w:rsidR="0081566A" w:rsidRDefault="0081566A" w:rsidP="0081566A">
      <w:pPr>
        <w:pStyle w:val="FBodyMainDouble"/>
        <w:jc w:val="both"/>
        <w:rPr>
          <w:rFonts w:ascii="Baskerville" w:hAnsi="Baskerville"/>
          <w:color w:val="000000"/>
        </w:rPr>
      </w:pPr>
    </w:p>
    <w:p w14:paraId="52352301" w14:textId="77777777" w:rsidR="0081566A" w:rsidRPr="00674312" w:rsidRDefault="0081566A" w:rsidP="0081566A">
      <w:pPr>
        <w:pStyle w:val="FBodyMainDouble"/>
        <w:jc w:val="both"/>
        <w:rPr>
          <w:rFonts w:ascii="Baskerville" w:hAnsi="Baskerville"/>
          <w:color w:val="000000"/>
        </w:rPr>
      </w:pPr>
    </w:p>
    <w:p w14:paraId="71266AA6" w14:textId="77777777" w:rsidR="0009338B" w:rsidRPr="00A85C0B" w:rsidRDefault="00784231">
      <w:pPr>
        <w:pStyle w:val="FBodyMainDouble"/>
        <w:rPr>
          <w:rFonts w:ascii="Baskerville" w:hAnsi="Baskerville"/>
        </w:rPr>
      </w:pPr>
      <w:r w:rsidRPr="00A85C0B">
        <w:rPr>
          <w:rFonts w:ascii="Baskerville" w:hAnsi="Baskerville"/>
          <w:b/>
        </w:rPr>
        <w:t>Permissible Agreements</w:t>
      </w:r>
      <w:r w:rsidRPr="00A85C0B">
        <w:rPr>
          <w:rFonts w:ascii="Baskerville" w:hAnsi="Baskerville"/>
        </w:rPr>
        <w:tab/>
      </w:r>
    </w:p>
    <w:p w14:paraId="69D66487" w14:textId="49E35DA7" w:rsidR="0009338B" w:rsidRPr="00B0722C" w:rsidRDefault="00784231">
      <w:pPr>
        <w:pStyle w:val="FBodyMainDouble"/>
        <w:jc w:val="both"/>
        <w:rPr>
          <w:rFonts w:ascii="Baskerville" w:hAnsi="Baskerville"/>
          <w:color w:val="0070C0"/>
          <w:szCs w:val="24"/>
          <w:u w:val="single"/>
        </w:rPr>
      </w:pPr>
      <w:r w:rsidRPr="00B0722C">
        <w:rPr>
          <w:rFonts w:ascii="Baskerville" w:hAnsi="Baskerville"/>
        </w:rPr>
        <w:tab/>
        <w:t>[1</w:t>
      </w:r>
      <w:proofErr w:type="gramStart"/>
      <w:r w:rsidRPr="00B0722C">
        <w:rPr>
          <w:rFonts w:ascii="Baskerville" w:hAnsi="Baskerville"/>
        </w:rPr>
        <w:t>F]  Agreements</w:t>
      </w:r>
      <w:proofErr w:type="gramEnd"/>
      <w:r w:rsidRPr="00B0722C">
        <w:rPr>
          <w:rFonts w:ascii="Baskerville" w:hAnsi="Baskerville"/>
        </w:rPr>
        <w:t xml:space="preserve"> that ordinarily do not violate paragraph (a)(1) include, but are not limited to, </w:t>
      </w:r>
      <w:r w:rsidRPr="00B0722C">
        <w:rPr>
          <w:rFonts w:ascii="Baskerville" w:hAnsi="Baskerville"/>
          <w:color w:val="0070C0"/>
          <w:u w:val="single"/>
        </w:rPr>
        <w:t xml:space="preserve">agreements </w:t>
      </w:r>
      <w:r w:rsidRPr="00B0722C">
        <w:rPr>
          <w:rFonts w:ascii="Baskerville" w:hAnsi="Baskerville"/>
          <w:color w:val="0070C0"/>
          <w:szCs w:val="24"/>
          <w:u w:val="single"/>
        </w:rPr>
        <w:t xml:space="preserve">prescribing a minimum period between a departing lawyer’s notice to the firm and the lawyer’s departure, as long as the </w:t>
      </w:r>
      <w:r w:rsidR="00B0722C" w:rsidRPr="00B0722C">
        <w:rPr>
          <w:rFonts w:ascii="Baskerville" w:hAnsi="Baskerville"/>
          <w:color w:val="0070C0"/>
          <w:szCs w:val="24"/>
          <w:u w:val="single"/>
        </w:rPr>
        <w:t xml:space="preserve">notice </w:t>
      </w:r>
      <w:r w:rsidRPr="00B0722C">
        <w:rPr>
          <w:rFonts w:ascii="Baskerville" w:hAnsi="Baskerville"/>
          <w:color w:val="0070C0"/>
          <w:szCs w:val="24"/>
          <w:u w:val="single"/>
        </w:rPr>
        <w:t xml:space="preserve">period is reasonable.  </w:t>
      </w:r>
      <w:r w:rsidR="00737A15" w:rsidRPr="00B0722C">
        <w:rPr>
          <w:rFonts w:ascii="Baskerville" w:hAnsi="Baskerville"/>
          <w:color w:val="0070C0"/>
          <w:szCs w:val="24"/>
          <w:u w:val="single"/>
        </w:rPr>
        <w:t>N</w:t>
      </w:r>
      <w:r w:rsidR="00737A15" w:rsidRPr="00B0722C">
        <w:rPr>
          <w:rFonts w:ascii="Baskerville" w:hAnsi="Baskerville"/>
          <w:color w:val="0070C0"/>
          <w:szCs w:val="24"/>
          <w:u w:val="single"/>
        </w:rPr>
        <w:t>otice periods should be applied flexibly and should not unduly restrict lawyer mobility</w:t>
      </w:r>
      <w:r w:rsidR="00737A15" w:rsidRPr="00B0722C">
        <w:rPr>
          <w:rFonts w:ascii="Baskerville" w:hAnsi="Baskerville"/>
          <w:color w:val="0070C0"/>
          <w:szCs w:val="24"/>
          <w:u w:val="single"/>
        </w:rPr>
        <w:t>, because a</w:t>
      </w:r>
      <w:r w:rsidRPr="00B0722C">
        <w:rPr>
          <w:rFonts w:ascii="Baskerville" w:hAnsi="Baskerville"/>
          <w:color w:val="0070C0"/>
          <w:szCs w:val="24"/>
          <w:u w:val="single"/>
        </w:rPr>
        <w:t xml:space="preserve"> notice period that is unreasonably long or inflexibly applied impairs client choice and lawyer autonomy.  Whether the minimum period after notice is reasonable in this context will depend on the facts and circumstances, but the length of the notice period should balance three broad factors:  </w:t>
      </w:r>
    </w:p>
    <w:p w14:paraId="60DB838E" w14:textId="77777777" w:rsidR="0009338B" w:rsidRPr="00B0722C" w:rsidRDefault="00784231">
      <w:pPr>
        <w:pStyle w:val="FBodyMainDouble"/>
        <w:numPr>
          <w:ilvl w:val="0"/>
          <w:numId w:val="41"/>
        </w:numPr>
        <w:rPr>
          <w:rFonts w:ascii="Baskerville" w:hAnsi="Baskerville"/>
          <w:color w:val="0070C0"/>
          <w:szCs w:val="24"/>
          <w:u w:val="single"/>
        </w:rPr>
      </w:pPr>
      <w:r w:rsidRPr="00B0722C">
        <w:rPr>
          <w:rFonts w:ascii="Baskerville" w:hAnsi="Baskerville"/>
          <w:color w:val="0070C0"/>
          <w:szCs w:val="24"/>
          <w:u w:val="single"/>
        </w:rPr>
        <w:t xml:space="preserve">the firm’s need for the departing lawyer to complete administrative tasks connected to departure, such as notifying clients, sending invoices, and transitioning </w:t>
      </w:r>
      <w:proofErr w:type="gramStart"/>
      <w:r w:rsidRPr="00B0722C">
        <w:rPr>
          <w:rFonts w:ascii="Baskerville" w:hAnsi="Baskerville"/>
          <w:color w:val="0070C0"/>
          <w:szCs w:val="24"/>
          <w:u w:val="single"/>
        </w:rPr>
        <w:t>files;</w:t>
      </w:r>
      <w:proofErr w:type="gramEnd"/>
      <w:r w:rsidRPr="00B0722C">
        <w:rPr>
          <w:rFonts w:ascii="Baskerville" w:hAnsi="Baskerville"/>
          <w:color w:val="0070C0"/>
          <w:szCs w:val="24"/>
          <w:u w:val="single"/>
        </w:rPr>
        <w:t xml:space="preserve"> </w:t>
      </w:r>
    </w:p>
    <w:p w14:paraId="6052C9BB" w14:textId="281BB136" w:rsidR="0009338B" w:rsidRPr="00B0722C" w:rsidRDefault="00784231">
      <w:pPr>
        <w:pStyle w:val="FBodyMainDouble"/>
        <w:numPr>
          <w:ilvl w:val="0"/>
          <w:numId w:val="41"/>
        </w:numPr>
        <w:rPr>
          <w:rFonts w:ascii="Baskerville" w:hAnsi="Baskerville"/>
          <w:color w:val="0070C0"/>
          <w:szCs w:val="24"/>
          <w:u w:val="single"/>
        </w:rPr>
      </w:pPr>
      <w:r w:rsidRPr="00B0722C">
        <w:rPr>
          <w:rFonts w:ascii="Baskerville" w:hAnsi="Baskerville"/>
          <w:color w:val="0070C0"/>
          <w:szCs w:val="24"/>
          <w:u w:val="single"/>
        </w:rPr>
        <w:t xml:space="preserve">the client’s right to the lawyer of </w:t>
      </w:r>
      <w:r w:rsidR="004E24AF" w:rsidRPr="00B0722C">
        <w:rPr>
          <w:rFonts w:ascii="Baskerville" w:hAnsi="Baskerville"/>
          <w:color w:val="0070C0"/>
          <w:szCs w:val="24"/>
          <w:u w:val="single"/>
        </w:rPr>
        <w:t xml:space="preserve">the client’s </w:t>
      </w:r>
      <w:r w:rsidRPr="00B0722C">
        <w:rPr>
          <w:rFonts w:ascii="Baskerville" w:hAnsi="Baskerville"/>
          <w:color w:val="0070C0"/>
          <w:szCs w:val="24"/>
          <w:u w:val="single"/>
        </w:rPr>
        <w:t xml:space="preserve">choice; and </w:t>
      </w:r>
    </w:p>
    <w:p w14:paraId="63120165" w14:textId="77777777" w:rsidR="0009338B" w:rsidRPr="00B0722C" w:rsidRDefault="00784231">
      <w:pPr>
        <w:pStyle w:val="FBodyMainDouble"/>
        <w:numPr>
          <w:ilvl w:val="0"/>
          <w:numId w:val="41"/>
        </w:numPr>
        <w:rPr>
          <w:rFonts w:ascii="Baskerville" w:hAnsi="Baskerville"/>
          <w:color w:val="000000"/>
          <w:szCs w:val="24"/>
        </w:rPr>
      </w:pPr>
      <w:r w:rsidRPr="00B0722C">
        <w:rPr>
          <w:rFonts w:ascii="Baskerville" w:hAnsi="Baskerville"/>
          <w:color w:val="0070C0"/>
          <w:szCs w:val="24"/>
          <w:u w:val="single"/>
        </w:rPr>
        <w:t>the lawyer’s right to autonomy and mobility.</w:t>
      </w:r>
      <w:r w:rsidRPr="00B0722C">
        <w:rPr>
          <w:rFonts w:ascii="Baskerville" w:hAnsi="Baskerville"/>
          <w:color w:val="000000"/>
          <w:szCs w:val="24"/>
        </w:rPr>
        <w:t xml:space="preserve">  </w:t>
      </w:r>
    </w:p>
    <w:p w14:paraId="6F935C91" w14:textId="4D5A699D" w:rsidR="0009338B" w:rsidRPr="00A6715F" w:rsidRDefault="00784231">
      <w:pPr>
        <w:pStyle w:val="FBodyMainDouble"/>
        <w:jc w:val="both"/>
        <w:rPr>
          <w:rFonts w:ascii="Baskerville" w:hAnsi="Baskerville"/>
          <w:color w:val="0070C0"/>
          <w:szCs w:val="24"/>
          <w:u w:val="single"/>
        </w:rPr>
      </w:pPr>
      <w:r w:rsidRPr="00894DE1">
        <w:rPr>
          <w:rFonts w:ascii="Baskerville" w:hAnsi="Baskerville"/>
          <w:color w:val="000000"/>
          <w:szCs w:val="24"/>
        </w:rPr>
        <w:tab/>
      </w:r>
      <w:r w:rsidRPr="00A6715F">
        <w:rPr>
          <w:rFonts w:ascii="Baskerville" w:hAnsi="Baskerville"/>
          <w:color w:val="0070C0"/>
          <w:szCs w:val="24"/>
          <w:u w:val="single"/>
        </w:rPr>
        <w:t>[1</w:t>
      </w:r>
      <w:proofErr w:type="gramStart"/>
      <w:r w:rsidRPr="00A6715F">
        <w:rPr>
          <w:rFonts w:ascii="Baskerville" w:hAnsi="Baskerville"/>
          <w:color w:val="0070C0"/>
          <w:szCs w:val="24"/>
          <w:u w:val="single"/>
        </w:rPr>
        <w:t>G]  Likewise</w:t>
      </w:r>
      <w:proofErr w:type="gramEnd"/>
      <w:r w:rsidRPr="00A6715F">
        <w:rPr>
          <w:rFonts w:ascii="Baskerville" w:hAnsi="Baskerville"/>
          <w:color w:val="0070C0"/>
          <w:szCs w:val="24"/>
          <w:u w:val="single"/>
        </w:rPr>
        <w:t>, because the purpose of Rule 5.6 is to facilitate each client’s choice of counsel, after a departing lawyer has announced a</w:t>
      </w:r>
      <w:r w:rsidR="00D9784E">
        <w:rPr>
          <w:rFonts w:ascii="Baskerville" w:hAnsi="Baskerville"/>
          <w:color w:val="0070C0"/>
          <w:szCs w:val="24"/>
          <w:u w:val="single"/>
        </w:rPr>
        <w:t xml:space="preserve"> decision</w:t>
      </w:r>
      <w:r w:rsidRPr="00A6715F">
        <w:rPr>
          <w:rFonts w:ascii="Baskerville" w:hAnsi="Baskerville"/>
          <w:color w:val="0070C0"/>
          <w:szCs w:val="24"/>
          <w:u w:val="single"/>
        </w:rPr>
        <w:t xml:space="preserve"> to leave, a law firm may not suspend, prohibit, or limit the departing lawyer from continuing to practice at the firm unless the firm has good cause, such as:</w:t>
      </w:r>
    </w:p>
    <w:p w14:paraId="035310EE" w14:textId="77777777" w:rsidR="0009338B" w:rsidRPr="00A6715F" w:rsidRDefault="00784231">
      <w:pPr>
        <w:pStyle w:val="FBodyMainDouble"/>
        <w:numPr>
          <w:ilvl w:val="0"/>
          <w:numId w:val="42"/>
        </w:numPr>
        <w:jc w:val="both"/>
        <w:rPr>
          <w:rFonts w:ascii="Baskerville" w:hAnsi="Baskerville"/>
          <w:color w:val="0070C0"/>
          <w:u w:val="single"/>
        </w:rPr>
      </w:pPr>
      <w:r w:rsidRPr="00A6715F">
        <w:rPr>
          <w:rFonts w:ascii="Baskerville" w:hAnsi="Baskerville"/>
          <w:color w:val="0070C0"/>
          <w:szCs w:val="24"/>
          <w:u w:val="single"/>
        </w:rPr>
        <w:t xml:space="preserve">a reasonable, good faith belief that the lawyer may be accessing or planning to access the firm’s confidential or proprietary information or the firm’s property or personnel for improper or illegal reasons, or </w:t>
      </w:r>
    </w:p>
    <w:p w14:paraId="24BD1D74" w14:textId="77777777" w:rsidR="0009338B" w:rsidRPr="00A85C0B" w:rsidRDefault="00784231">
      <w:pPr>
        <w:pStyle w:val="FBodyMainDouble"/>
        <w:numPr>
          <w:ilvl w:val="0"/>
          <w:numId w:val="42"/>
        </w:numPr>
        <w:jc w:val="both"/>
        <w:rPr>
          <w:rFonts w:ascii="Baskerville" w:hAnsi="Baskerville"/>
          <w:color w:val="000000"/>
          <w:szCs w:val="24"/>
          <w:u w:val="single"/>
        </w:rPr>
      </w:pPr>
      <w:r w:rsidRPr="00A6715F">
        <w:rPr>
          <w:rFonts w:ascii="Baskerville" w:hAnsi="Baskerville"/>
          <w:color w:val="0070C0"/>
          <w:szCs w:val="24"/>
          <w:u w:val="single"/>
        </w:rPr>
        <w:t>a reasonable, good faith belief that the lawyer, due to diminished capacity, is harming the client or is incapable of continuing to serve the client.</w:t>
      </w:r>
      <w:r w:rsidRPr="00A6715F">
        <w:rPr>
          <w:rFonts w:ascii="Baskerville" w:hAnsi="Baskerville"/>
          <w:color w:val="0070C0"/>
          <w:szCs w:val="24"/>
        </w:rPr>
        <w:t xml:space="preserve"> </w:t>
      </w:r>
      <w:r w:rsidRPr="00A85C0B">
        <w:rPr>
          <w:rFonts w:ascii="Baskerville" w:hAnsi="Baskerville"/>
          <w:color w:val="000000"/>
          <w:szCs w:val="24"/>
        </w:rPr>
        <w:t xml:space="preserve"> </w:t>
      </w:r>
    </w:p>
    <w:p w14:paraId="061FBE51" w14:textId="6332FFA2" w:rsidR="0009338B" w:rsidRPr="00A85C0B" w:rsidRDefault="00784231">
      <w:pPr>
        <w:pStyle w:val="FBodyMainDouble"/>
        <w:rPr>
          <w:rFonts w:ascii="Baskerville" w:hAnsi="Baskerville"/>
        </w:rPr>
      </w:pPr>
      <w:r w:rsidRPr="00A85C0B">
        <w:rPr>
          <w:rFonts w:ascii="Baskerville" w:hAnsi="Baskerville"/>
        </w:rPr>
        <w:tab/>
      </w:r>
      <w:r w:rsidRPr="00737A15">
        <w:rPr>
          <w:rFonts w:ascii="Baskerville" w:hAnsi="Baskerville"/>
          <w:color w:val="0070C0"/>
        </w:rPr>
        <w:t>[1</w:t>
      </w:r>
      <w:r w:rsidR="00737A15" w:rsidRPr="00737A15">
        <w:rPr>
          <w:rFonts w:ascii="Baskerville" w:hAnsi="Baskerville"/>
          <w:color w:val="0070C0"/>
          <w:u w:val="single"/>
        </w:rPr>
        <w:t>H</w:t>
      </w:r>
      <w:r w:rsidR="00737A15" w:rsidRPr="00737A15">
        <w:rPr>
          <w:rFonts w:ascii="Baskerville" w:hAnsi="Baskerville"/>
          <w:color w:val="0070C0"/>
          <w:u w:val="single"/>
        </w:rPr>
        <w:t xml:space="preserve">] </w:t>
      </w:r>
      <w:r w:rsidR="00737A15" w:rsidRPr="00737A15">
        <w:rPr>
          <w:rFonts w:ascii="Baskerville" w:hAnsi="Baskerville"/>
          <w:color w:val="FF0000"/>
          <w:u w:val="single"/>
        </w:rPr>
        <w:t>[1</w:t>
      </w:r>
      <w:r w:rsidRPr="00737A15">
        <w:rPr>
          <w:rFonts w:ascii="Baskerville" w:hAnsi="Baskerville"/>
          <w:strike/>
          <w:color w:val="FF0000"/>
        </w:rPr>
        <w:t>F</w:t>
      </w:r>
      <w:r w:rsidRPr="00737A15">
        <w:rPr>
          <w:rFonts w:ascii="Baskerville" w:hAnsi="Baskerville"/>
          <w:color w:val="FF0000"/>
        </w:rPr>
        <w:t xml:space="preserve">] </w:t>
      </w:r>
      <w:r w:rsidRPr="00737A15">
        <w:rPr>
          <w:rFonts w:ascii="Baskerville" w:hAnsi="Baskerville"/>
          <w:color w:val="0070C0"/>
          <w:u w:val="single"/>
        </w:rPr>
        <w:t>Other</w:t>
      </w:r>
      <w:r w:rsidRPr="00737A15">
        <w:rPr>
          <w:rFonts w:ascii="Baskerville" w:hAnsi="Baskerville"/>
          <w:color w:val="0070C0"/>
        </w:rPr>
        <w:t xml:space="preserve"> </w:t>
      </w:r>
      <w:proofErr w:type="spellStart"/>
      <w:r w:rsidRPr="00737A15">
        <w:rPr>
          <w:rFonts w:ascii="Baskerville" w:hAnsi="Baskerville"/>
          <w:strike/>
          <w:color w:val="FF0000"/>
        </w:rPr>
        <w:t>A</w:t>
      </w:r>
      <w:r w:rsidRPr="00737A15">
        <w:rPr>
          <w:rFonts w:ascii="Baskerville" w:hAnsi="Baskerville"/>
          <w:color w:val="0070C0"/>
          <w:u w:val="single"/>
        </w:rPr>
        <w:t>a</w:t>
      </w:r>
      <w:r w:rsidRPr="00A85C0B">
        <w:rPr>
          <w:rFonts w:ascii="Baskerville" w:hAnsi="Baskerville"/>
        </w:rPr>
        <w:t>greements</w:t>
      </w:r>
      <w:proofErr w:type="spellEnd"/>
      <w:r w:rsidRPr="00A85C0B">
        <w:rPr>
          <w:rFonts w:ascii="Baskerville" w:hAnsi="Baskerville"/>
        </w:rPr>
        <w:t xml:space="preserve"> that ordinarily do not violate paragraph (a)(1) include</w:t>
      </w:r>
      <w:r w:rsidRPr="00737A15">
        <w:rPr>
          <w:rFonts w:ascii="Baskerville" w:hAnsi="Baskerville"/>
          <w:strike/>
          <w:color w:val="FF0000"/>
        </w:rPr>
        <w:t>, but are not limited to,</w:t>
      </w:r>
      <w:r w:rsidRPr="00A85C0B">
        <w:rPr>
          <w:rFonts w:ascii="Baskerville" w:hAnsi="Baskerville"/>
        </w:rPr>
        <w:t xml:space="preserve"> agreements permitting a firm to impose reasonable restrictions or remedies if: </w:t>
      </w:r>
    </w:p>
    <w:p w14:paraId="0AD4E55F" w14:textId="77777777" w:rsidR="0009338B" w:rsidRPr="00A85C0B" w:rsidRDefault="00784231">
      <w:pPr>
        <w:pStyle w:val="FBodyMainDouble"/>
        <w:ind w:left="1440" w:hanging="720"/>
        <w:rPr>
          <w:rFonts w:ascii="Baskerville" w:hAnsi="Baskerville"/>
        </w:rPr>
      </w:pPr>
      <w:r w:rsidRPr="00A85C0B">
        <w:rPr>
          <w:rFonts w:ascii="Baskerville" w:hAnsi="Baskerville"/>
        </w:rPr>
        <w:t xml:space="preserve">(i) </w:t>
      </w:r>
      <w:r w:rsidRPr="00A85C0B">
        <w:rPr>
          <w:rFonts w:ascii="Baskerville" w:hAnsi="Baskerville"/>
        </w:rPr>
        <w:tab/>
        <w:t xml:space="preserve">a departed lawyer has approved, within a reasonable time before departing from the firm, a specific, significant financial undertaking with respect to the firm that remains outstanding where the lawyer’s departure will have a material effect on the firm’s ability to satisfy that undertaking; or </w:t>
      </w:r>
    </w:p>
    <w:p w14:paraId="24702CFA" w14:textId="496B27C7" w:rsidR="0009338B" w:rsidRDefault="00784231">
      <w:pPr>
        <w:pStyle w:val="FBodyMainDouble"/>
        <w:ind w:left="1440" w:hanging="720"/>
        <w:rPr>
          <w:rFonts w:ascii="Baskerville" w:hAnsi="Baskerville"/>
        </w:rPr>
      </w:pPr>
      <w:r w:rsidRPr="00A85C0B">
        <w:rPr>
          <w:rFonts w:ascii="Baskerville" w:hAnsi="Baskerville"/>
        </w:rPr>
        <w:t xml:space="preserve">(ii) </w:t>
      </w:r>
      <w:r w:rsidRPr="00A85C0B">
        <w:rPr>
          <w:rFonts w:ascii="Baskerville" w:hAnsi="Baskerville"/>
        </w:rPr>
        <w:tab/>
        <w:t>a departed lawyer has, before leaving the firm, breached material employment or partnership responsibilities to the firm in a manner that has caused or is likely to cause material financial or reputational harm to the firm.</w:t>
      </w:r>
    </w:p>
    <w:p w14:paraId="06E2655F" w14:textId="77777777" w:rsidR="00A6715F" w:rsidRPr="00A6715F" w:rsidRDefault="00A6715F" w:rsidP="00A6715F">
      <w:pPr>
        <w:pStyle w:val="FBodyMainDouble"/>
        <w:ind w:left="1440" w:hanging="720"/>
        <w:rPr>
          <w:rFonts w:ascii="Baskerville" w:hAnsi="Baskerville"/>
          <w:b/>
          <w:bCs/>
        </w:rPr>
      </w:pPr>
      <w:r w:rsidRPr="00A6715F">
        <w:rPr>
          <w:rFonts w:ascii="Baskerville" w:hAnsi="Baskerville"/>
          <w:b/>
          <w:bCs/>
        </w:rPr>
        <w:t xml:space="preserve">Reasonable Management Discretion </w:t>
      </w:r>
    </w:p>
    <w:p w14:paraId="614E69B8" w14:textId="499CD604" w:rsidR="00A6715F" w:rsidRPr="00A6715F" w:rsidRDefault="00A6715F" w:rsidP="007D6B06">
      <w:pPr>
        <w:pStyle w:val="FBodyMainDouble"/>
        <w:ind w:firstLine="720"/>
        <w:rPr>
          <w:rFonts w:ascii="Baskerville" w:hAnsi="Baskerville"/>
        </w:rPr>
      </w:pPr>
      <w:r w:rsidRPr="00A6715F">
        <w:rPr>
          <w:rFonts w:ascii="Baskerville" w:hAnsi="Baskerville"/>
          <w:color w:val="0070C0"/>
          <w:u w:val="single"/>
        </w:rPr>
        <w:t>[1</w:t>
      </w:r>
      <w:r w:rsidRPr="00A6715F">
        <w:rPr>
          <w:rFonts w:ascii="Baskerville" w:hAnsi="Baskerville"/>
          <w:color w:val="0070C0"/>
          <w:u w:val="single"/>
        </w:rPr>
        <w:t>I]</w:t>
      </w:r>
      <w:r>
        <w:rPr>
          <w:rFonts w:ascii="Baskerville" w:hAnsi="Baskerville"/>
        </w:rPr>
        <w:t xml:space="preserve"> </w:t>
      </w:r>
      <w:r w:rsidRPr="00A6715F">
        <w:rPr>
          <w:rFonts w:ascii="Baskerville" w:hAnsi="Baskerville"/>
          <w:strike/>
          <w:color w:val="FF0000"/>
        </w:rPr>
        <w:t>[1</w:t>
      </w:r>
      <w:r w:rsidRPr="00A6715F">
        <w:rPr>
          <w:rFonts w:ascii="Baskerville" w:hAnsi="Baskerville"/>
          <w:strike/>
          <w:color w:val="FF0000"/>
        </w:rPr>
        <w:t>G]</w:t>
      </w:r>
      <w:r w:rsidRPr="00A6715F">
        <w:rPr>
          <w:rFonts w:ascii="Baskerville" w:hAnsi="Baskerville"/>
          <w:color w:val="FF0000"/>
        </w:rPr>
        <w:t xml:space="preserve"> </w:t>
      </w:r>
      <w:r w:rsidRPr="00A6715F">
        <w:rPr>
          <w:rFonts w:ascii="Baskerville" w:hAnsi="Baskerville"/>
        </w:rPr>
        <w:t>Paragraph (a)(1) is not intended to prohibit a law firm in the ordinary course of its operations from exercising reasonable management discretion regarding case assignments, case staffing, promotions, demotions, compensation, or other aspects of a law firm’s operations, finances, and management. The Rule is intended to prevent overly restrictive practices with respect to lawyers who have provided notice of an intention to leave a firm, or who have taken affirmative steps toward planning to leave the firm (with or without notice to the firm).</w:t>
      </w:r>
    </w:p>
    <w:p w14:paraId="2EE1EBAA" w14:textId="77777777" w:rsidR="00A6715F" w:rsidRPr="00A85C0B" w:rsidRDefault="00A6715F">
      <w:pPr>
        <w:pStyle w:val="FBodyMainDouble"/>
        <w:ind w:left="1440" w:hanging="720"/>
        <w:rPr>
          <w:rFonts w:ascii="Baskerville" w:hAnsi="Baskerville"/>
        </w:rPr>
      </w:pPr>
    </w:p>
    <w:p w14:paraId="7E7A46E3" w14:textId="77777777" w:rsidR="0009338B" w:rsidRPr="00A85C0B" w:rsidRDefault="00784231" w:rsidP="00894DE1">
      <w:pPr>
        <w:pStyle w:val="FBodyMainDouble"/>
        <w:jc w:val="center"/>
        <w:rPr>
          <w:rFonts w:ascii="Baskerville" w:hAnsi="Baskerville"/>
        </w:rPr>
      </w:pPr>
      <w:r w:rsidRPr="00A85C0B">
        <w:rPr>
          <w:rFonts w:ascii="Baskerville" w:hAnsi="Baskerville"/>
        </w:rPr>
        <w:t>[End of Memo]</w:t>
      </w:r>
    </w:p>
    <w:sectPr w:rsidR="0009338B" w:rsidRPr="00A85C0B">
      <w:headerReference w:type="even" r:id="rId8"/>
      <w:headerReference w:type="default" r:id="rId9"/>
      <w:footerReference w:type="defaul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E6C2F" w14:textId="77777777" w:rsidR="007048D3" w:rsidRDefault="007048D3">
      <w:pPr>
        <w:rPr>
          <w:rFonts w:eastAsiaTheme="minorEastAsia"/>
        </w:rPr>
      </w:pPr>
      <w:r>
        <w:rPr>
          <w:rFonts w:eastAsiaTheme="minorEastAsia"/>
        </w:rPr>
        <w:separator/>
      </w:r>
    </w:p>
  </w:endnote>
  <w:endnote w:type="continuationSeparator" w:id="0">
    <w:p w14:paraId="1620DF04" w14:textId="77777777" w:rsidR="007048D3" w:rsidRDefault="007048D3">
      <w:pPr>
        <w:rPr>
          <w:rFonts w:eastAsiaTheme="minorEastAsia"/>
        </w:rPr>
      </w:pPr>
      <w:r>
        <w:rPr>
          <w:rFonts w:eastAsiaTheme="minorEastAs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Roman">
    <w:altName w:val="Times New Roman"/>
    <w:panose1 w:val="020B0604020202020204"/>
    <w:charset w:val="00"/>
    <w:family w:val="auto"/>
    <w:pitch w:val="variable"/>
    <w:sig w:usb0="00000003" w:usb1="00000000" w:usb2="00000000" w:usb3="00000000" w:csb0="00000001" w:csb1="00000000"/>
  </w:font>
  <w:font w:name="Times">
    <w:altName w:val="________w Roman"/>
    <w:panose1 w:val="00000500000000020000"/>
    <w:charset w:val="00"/>
    <w:family w:val="auto"/>
    <w:pitch w:val="variable"/>
    <w:sig w:usb0="E00002FF" w:usb1="5000205A" w:usb2="00000000" w:usb3="00000000" w:csb0="0000019F" w:csb1="00000000"/>
  </w:font>
  <w:font w:name="Baskerville">
    <w:altName w:val="________lle"/>
    <w:panose1 w:val="02020502070401020303"/>
    <w:charset w:val="00"/>
    <w:family w:val="roman"/>
    <w:pitch w:val="variable"/>
    <w:sig w:usb0="80000067" w:usb1="02000000" w:usb2="00000000" w:usb3="00000000" w:csb0="0000019F" w:csb1="00000000"/>
  </w:font>
  <w:font w:name="CG Times">
    <w:altName w:val="Times New Roman"/>
    <w:panose1 w:val="020B0604020202020204"/>
    <w:charset w:val="4D"/>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546451"/>
      <w:docPartObj>
        <w:docPartGallery w:val="Page Numbers (Bottom of Page)"/>
        <w:docPartUnique/>
      </w:docPartObj>
    </w:sdtPr>
    <w:sdtEndPr>
      <w:rPr>
        <w:noProof/>
      </w:rPr>
    </w:sdtEndPr>
    <w:sdtContent>
      <w:p w14:paraId="1BD70D2C" w14:textId="77777777" w:rsidR="0009338B" w:rsidRDefault="0078423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0D5A0" w14:textId="77777777" w:rsidR="007048D3" w:rsidRDefault="007048D3">
      <w:pPr>
        <w:rPr>
          <w:rFonts w:eastAsiaTheme="minorEastAsia"/>
        </w:rPr>
      </w:pPr>
      <w:r>
        <w:rPr>
          <w:rFonts w:eastAsiaTheme="minorEastAsia"/>
        </w:rPr>
        <w:separator/>
      </w:r>
    </w:p>
  </w:footnote>
  <w:footnote w:type="continuationSeparator" w:id="0">
    <w:p w14:paraId="3283ADF7" w14:textId="77777777" w:rsidR="007048D3" w:rsidRDefault="007048D3">
      <w:pPr>
        <w:rPr>
          <w:rFonts w:eastAsiaTheme="minorEastAsia"/>
        </w:rPr>
      </w:pPr>
      <w:r>
        <w:rPr>
          <w:rFonts w:eastAsiaTheme="minorEastAsi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2335157"/>
      <w:docPartObj>
        <w:docPartGallery w:val="Page Numbers (Top of Page)"/>
        <w:docPartUnique/>
      </w:docPartObj>
    </w:sdtPr>
    <w:sdtEndPr>
      <w:rPr>
        <w:rStyle w:val="PageNumber"/>
      </w:rPr>
    </w:sdtEndPr>
    <w:sdtContent>
      <w:p w14:paraId="546E4F79" w14:textId="77777777" w:rsidR="0009338B" w:rsidRDefault="0078423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EBAC1A" w14:textId="77777777" w:rsidR="0009338B" w:rsidRDefault="0009338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7561842"/>
      <w:docPartObj>
        <w:docPartGallery w:val="Page Numbers (Top of Page)"/>
        <w:docPartUnique/>
      </w:docPartObj>
    </w:sdtPr>
    <w:sdtEndPr>
      <w:rPr>
        <w:rStyle w:val="PageNumber"/>
      </w:rPr>
    </w:sdtEndPr>
    <w:sdtContent>
      <w:p w14:paraId="493A82FB" w14:textId="77777777" w:rsidR="0009338B" w:rsidRDefault="0078423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4BFBE48" w14:textId="77777777" w:rsidR="0009338B" w:rsidRDefault="00784231">
    <w:pPr>
      <w:pStyle w:val="Header"/>
      <w:ind w:right="360"/>
      <w:rPr>
        <w:b/>
        <w:bCs/>
      </w:rPr>
    </w:pPr>
    <w:r>
      <w:rPr>
        <w:b/>
        <w:bCs/>
      </w:rPr>
      <w:t xml:space="preserve">Proposed New Comments to Rules 1.4 and 5.6 Regarding Departing Lawyers </w:t>
    </w:r>
  </w:p>
  <w:p w14:paraId="2AF3CDF6" w14:textId="7D834097" w:rsidR="0009338B" w:rsidRDefault="00784231">
    <w:pPr>
      <w:pStyle w:val="Header"/>
      <w:pBdr>
        <w:bottom w:val="single" w:sz="6" w:space="1" w:color="auto"/>
      </w:pBdr>
      <w:rPr>
        <w:b/>
        <w:bCs/>
      </w:rPr>
    </w:pPr>
    <w:r>
      <w:rPr>
        <w:b/>
        <w:bCs/>
      </w:rPr>
      <w:t>April 2</w:t>
    </w:r>
    <w:r w:rsidR="00894DE1">
      <w:rPr>
        <w:b/>
        <w:bCs/>
      </w:rPr>
      <w:t>7</w:t>
    </w:r>
    <w:r>
      <w:rPr>
        <w:b/>
        <w:bCs/>
      </w:rPr>
      <w:t>, 2022</w:t>
    </w:r>
  </w:p>
  <w:p w14:paraId="66312F3B" w14:textId="77777777" w:rsidR="0009338B" w:rsidRDefault="0009338B">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32AB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52456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DFE71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EF2B81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7808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D6F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AA5C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ACC1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E489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D4FF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C584E930"/>
    <w:lvl w:ilvl="0">
      <w:start w:val="1"/>
      <w:numFmt w:val="bullet"/>
      <w:lvlText w:val=""/>
      <w:lvlJc w:val="left"/>
      <w:pPr>
        <w:tabs>
          <w:tab w:val="num" w:pos="720"/>
        </w:tabs>
        <w:ind w:left="3600" w:hanging="720"/>
      </w:pPr>
      <w:rPr>
        <w:rFonts w:ascii="Symbol" w:hAnsi="Symbol" w:hint="default"/>
      </w:rPr>
    </w:lvl>
  </w:abstractNum>
  <w:abstractNum w:abstractNumId="11" w15:restartNumberingAfterBreak="0">
    <w:nsid w:val="00000002"/>
    <w:multiLevelType w:val="singleLevel"/>
    <w:tmpl w:val="E682D104"/>
    <w:lvl w:ilvl="0">
      <w:start w:val="1"/>
      <w:numFmt w:val="bullet"/>
      <w:lvlText w:val=""/>
      <w:lvlJc w:val="left"/>
      <w:pPr>
        <w:tabs>
          <w:tab w:val="num" w:pos="720"/>
        </w:tabs>
        <w:ind w:left="2880" w:hanging="720"/>
      </w:pPr>
      <w:rPr>
        <w:rFonts w:ascii="Symbol" w:hAnsi="Symbol" w:hint="default"/>
      </w:rPr>
    </w:lvl>
  </w:abstractNum>
  <w:abstractNum w:abstractNumId="12" w15:restartNumberingAfterBreak="0">
    <w:nsid w:val="00000003"/>
    <w:multiLevelType w:val="singleLevel"/>
    <w:tmpl w:val="892604E0"/>
    <w:lvl w:ilvl="0">
      <w:start w:val="1"/>
      <w:numFmt w:val="bullet"/>
      <w:lvlText w:val=""/>
      <w:lvlJc w:val="left"/>
      <w:pPr>
        <w:tabs>
          <w:tab w:val="num" w:pos="720"/>
        </w:tabs>
        <w:ind w:left="2160" w:hanging="720"/>
      </w:pPr>
      <w:rPr>
        <w:rFonts w:ascii="Symbol" w:hAnsi="Symbol" w:hint="default"/>
      </w:rPr>
    </w:lvl>
  </w:abstractNum>
  <w:abstractNum w:abstractNumId="13" w15:restartNumberingAfterBreak="0">
    <w:nsid w:val="00000004"/>
    <w:multiLevelType w:val="singleLevel"/>
    <w:tmpl w:val="55448796"/>
    <w:lvl w:ilvl="0">
      <w:start w:val="1"/>
      <w:numFmt w:val="bullet"/>
      <w:lvlText w:val=""/>
      <w:lvlJc w:val="left"/>
      <w:pPr>
        <w:tabs>
          <w:tab w:val="num" w:pos="720"/>
        </w:tabs>
        <w:ind w:left="1440" w:hanging="720"/>
      </w:pPr>
      <w:rPr>
        <w:rFonts w:ascii="Symbol" w:hAnsi="Symbol" w:hint="default"/>
      </w:rPr>
    </w:lvl>
  </w:abstractNum>
  <w:abstractNum w:abstractNumId="14" w15:restartNumberingAfterBreak="0">
    <w:nsid w:val="00000005"/>
    <w:multiLevelType w:val="singleLevel"/>
    <w:tmpl w:val="A09E3C6A"/>
    <w:lvl w:ilvl="0">
      <w:start w:val="1"/>
      <w:numFmt w:val="bullet"/>
      <w:lvlText w:val=""/>
      <w:lvlJc w:val="left"/>
      <w:pPr>
        <w:tabs>
          <w:tab w:val="num" w:pos="720"/>
        </w:tabs>
        <w:ind w:left="720" w:hanging="720"/>
      </w:pPr>
      <w:rPr>
        <w:rFonts w:ascii="Symbol" w:hAnsi="Symbol" w:hint="default"/>
      </w:rPr>
    </w:lvl>
  </w:abstractNum>
  <w:abstractNum w:abstractNumId="15" w15:restartNumberingAfterBreak="0">
    <w:nsid w:val="00000006"/>
    <w:multiLevelType w:val="multilevel"/>
    <w:tmpl w:val="2FFC4F18"/>
    <w:lvl w:ilvl="0">
      <w:start w:val="1"/>
      <w:numFmt w:val="bullet"/>
      <w:lvlText w:val=""/>
      <w:lvlJc w:val="left"/>
      <w:pPr>
        <w:tabs>
          <w:tab w:val="num" w:pos="720"/>
        </w:tabs>
        <w:ind w:left="144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0000007"/>
    <w:multiLevelType w:val="hybridMultilevel"/>
    <w:tmpl w:val="98F6AA04"/>
    <w:lvl w:ilvl="0" w:tplc="CBDA0FC6">
      <w:start w:val="1"/>
      <w:numFmt w:val="bullet"/>
      <w:lvlRestart w:val="0"/>
      <w:lvlText w:val=""/>
      <w:lvlJc w:val="left"/>
      <w:pPr>
        <w:tabs>
          <w:tab w:val="num" w:pos="720"/>
        </w:tabs>
        <w:ind w:left="360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0000008"/>
    <w:multiLevelType w:val="multilevel"/>
    <w:tmpl w:val="94B0A062"/>
    <w:lvl w:ilvl="0">
      <w:start w:val="1"/>
      <w:numFmt w:val="decimal"/>
      <w:lvlText w:val="%1."/>
      <w:lvlJc w:val="left"/>
      <w:pPr>
        <w:tabs>
          <w:tab w:val="num" w:pos="360"/>
        </w:tabs>
        <w:ind w:left="360" w:hanging="360"/>
      </w:pPr>
      <w:rPr>
        <w:rFonts w:cs="Times New Roman"/>
      </w:rPr>
    </w:lvl>
    <w:lvl w:ilvl="1">
      <w:numFmt w:val="none"/>
      <w:lvlText w:val=""/>
      <w:lvlJc w:val="left"/>
      <w:pPr>
        <w:tabs>
          <w:tab w:val="num" w:pos="360"/>
        </w:tabs>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00000009"/>
    <w:multiLevelType w:val="multilevel"/>
    <w:tmpl w:val="B8B0CF3A"/>
    <w:lvl w:ilvl="0">
      <w:start w:val="1"/>
      <w:numFmt w:val="bullet"/>
      <w:lvlRestart w:val="0"/>
      <w:lvlText w:val=""/>
      <w:lvlJc w:val="left"/>
      <w:pPr>
        <w:tabs>
          <w:tab w:val="num" w:pos="720"/>
        </w:tabs>
        <w:ind w:left="288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000000A"/>
    <w:multiLevelType w:val="multilevel"/>
    <w:tmpl w:val="3FAADC4C"/>
    <w:lvl w:ilvl="0">
      <w:start w:val="1"/>
      <w:numFmt w:val="bullet"/>
      <w:lvlRestart w:val="0"/>
      <w:lvlText w:val=""/>
      <w:lvlJc w:val="left"/>
      <w:pPr>
        <w:tabs>
          <w:tab w:val="num" w:pos="720"/>
        </w:tabs>
        <w:ind w:left="288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000000B"/>
    <w:multiLevelType w:val="multilevel"/>
    <w:tmpl w:val="26F4CB06"/>
    <w:lvl w:ilvl="0">
      <w:start w:val="1"/>
      <w:numFmt w:val="bullet"/>
      <w:lvlText w:val=""/>
      <w:lvlJc w:val="left"/>
      <w:pPr>
        <w:tabs>
          <w:tab w:val="num" w:pos="720"/>
        </w:tabs>
        <w:ind w:left="216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000000C"/>
    <w:multiLevelType w:val="hybridMultilevel"/>
    <w:tmpl w:val="FD44D416"/>
    <w:lvl w:ilvl="0" w:tplc="83FA6EF6">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000000D"/>
    <w:multiLevelType w:val="multilevel"/>
    <w:tmpl w:val="0E1CA8A0"/>
    <w:lvl w:ilvl="0">
      <w:start w:val="1"/>
      <w:numFmt w:val="bullet"/>
      <w:lvlText w:val=""/>
      <w:lvlJc w:val="left"/>
      <w:pPr>
        <w:tabs>
          <w:tab w:val="num" w:pos="720"/>
        </w:tabs>
        <w:ind w:left="216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000000E"/>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0000000F"/>
    <w:multiLevelType w:val="hybridMultilevel"/>
    <w:tmpl w:val="EA9C2A94"/>
    <w:lvl w:ilvl="0" w:tplc="E6246F80">
      <w:start w:val="1"/>
      <w:numFmt w:val="bullet"/>
      <w:lvlRestart w:val="0"/>
      <w:lvlText w:val="•"/>
      <w:lvlJc w:val="left"/>
      <w:pPr>
        <w:tabs>
          <w:tab w:val="num" w:pos="720"/>
        </w:tabs>
        <w:ind w:left="720" w:hanging="72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000001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00000011"/>
    <w:multiLevelType w:val="hybridMultilevel"/>
    <w:tmpl w:val="F104EAE6"/>
    <w:lvl w:ilvl="0" w:tplc="4F4800AC">
      <w:start w:val="1"/>
      <w:numFmt w:val="bullet"/>
      <w:lvlText w:val=""/>
      <w:lvlJc w:val="left"/>
      <w:pPr>
        <w:tabs>
          <w:tab w:val="num" w:pos="720"/>
        </w:tabs>
        <w:ind w:left="720" w:hanging="720"/>
      </w:pPr>
      <w:rPr>
        <w:rFonts w:ascii="Symbol" w:hAnsi="Symbol" w:hint="default"/>
      </w:rPr>
    </w:lvl>
    <w:lvl w:ilvl="1" w:tplc="0A12BFEA">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0000012"/>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00000013"/>
    <w:multiLevelType w:val="hybridMultilevel"/>
    <w:tmpl w:val="2FFC4F18"/>
    <w:lvl w:ilvl="0" w:tplc="BB6EF592">
      <w:start w:val="1"/>
      <w:numFmt w:val="bullet"/>
      <w:lvlText w:val=""/>
      <w:lvlJc w:val="left"/>
      <w:pPr>
        <w:tabs>
          <w:tab w:val="num" w:pos="72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0000014"/>
    <w:multiLevelType w:val="hybridMultilevel"/>
    <w:tmpl w:val="0200F900"/>
    <w:lvl w:ilvl="0" w:tplc="1F600478">
      <w:start w:val="1"/>
      <w:numFmt w:val="bullet"/>
      <w:lvlRestart w:val="0"/>
      <w:lvlText w:val=""/>
      <w:lvlJc w:val="left"/>
      <w:pPr>
        <w:tabs>
          <w:tab w:val="num" w:pos="720"/>
        </w:tabs>
        <w:ind w:left="288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0000015"/>
    <w:multiLevelType w:val="hybridMultilevel"/>
    <w:tmpl w:val="18FE1866"/>
    <w:lvl w:ilvl="0" w:tplc="DDC80414">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0000016"/>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2" w15:restartNumberingAfterBreak="0">
    <w:nsid w:val="00000017"/>
    <w:multiLevelType w:val="hybridMultilevel"/>
    <w:tmpl w:val="DB8419E6"/>
    <w:lvl w:ilvl="0" w:tplc="21CE5406">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0000018"/>
    <w:multiLevelType w:val="hybridMultilevel"/>
    <w:tmpl w:val="0E1CA8A0"/>
    <w:lvl w:ilvl="0" w:tplc="35E61B40">
      <w:start w:val="1"/>
      <w:numFmt w:val="bullet"/>
      <w:lvlText w:val=""/>
      <w:lvlJc w:val="left"/>
      <w:pPr>
        <w:tabs>
          <w:tab w:val="num" w:pos="720"/>
        </w:tabs>
        <w:ind w:left="216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0000019"/>
    <w:multiLevelType w:val="multilevel"/>
    <w:tmpl w:val="F104EAE6"/>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D367BCE"/>
    <w:multiLevelType w:val="hybridMultilevel"/>
    <w:tmpl w:val="046A986E"/>
    <w:lvl w:ilvl="0" w:tplc="3072E96E">
      <w:start w:val="1"/>
      <w:numFmt w:val="lowerRoman"/>
      <w:lvlText w:val="(%1)"/>
      <w:lvlJc w:val="left"/>
      <w:pPr>
        <w:ind w:left="1440" w:hanging="720"/>
      </w:pPr>
      <w:rPr>
        <w:rFonts w:hint="default"/>
        <w:color w:val="0070C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3104B50"/>
    <w:multiLevelType w:val="hybridMultilevel"/>
    <w:tmpl w:val="A620BF84"/>
    <w:lvl w:ilvl="0" w:tplc="01AC60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A0B128A"/>
    <w:multiLevelType w:val="hybridMultilevel"/>
    <w:tmpl w:val="D1A89614"/>
    <w:lvl w:ilvl="0" w:tplc="E55A5B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BA212ED"/>
    <w:multiLevelType w:val="hybridMultilevel"/>
    <w:tmpl w:val="8DE86CF2"/>
    <w:lvl w:ilvl="0" w:tplc="95520A8E">
      <w:start w:val="1"/>
      <w:numFmt w:val="decimal"/>
      <w:lvlText w:val="%1."/>
      <w:lvlJc w:val="left"/>
      <w:pPr>
        <w:tabs>
          <w:tab w:val="num" w:pos="1800"/>
        </w:tabs>
        <w:ind w:left="0" w:firstLine="14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D0E5A39"/>
    <w:multiLevelType w:val="hybridMultilevel"/>
    <w:tmpl w:val="F7447D50"/>
    <w:lvl w:ilvl="0" w:tplc="CCDE0518">
      <w:start w:val="1"/>
      <w:numFmt w:val="decimal"/>
      <w:lvlText w:val="RESPONSE %1:"/>
      <w:lvlJc w:val="left"/>
      <w:pPr>
        <w:tabs>
          <w:tab w:val="num" w:pos="1800"/>
        </w:tabs>
        <w:ind w:left="0" w:firstLine="0"/>
      </w:pPr>
      <w:rPr>
        <w:rFonts w:hint="default"/>
        <w:b/>
        <w:i w:val="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40100A9"/>
    <w:multiLevelType w:val="hybridMultilevel"/>
    <w:tmpl w:val="0B864E3C"/>
    <w:lvl w:ilvl="0" w:tplc="51D015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6861AD3"/>
    <w:multiLevelType w:val="hybridMultilevel"/>
    <w:tmpl w:val="C0DA12A8"/>
    <w:lvl w:ilvl="0" w:tplc="4756FA0E">
      <w:start w:val="1"/>
      <w:numFmt w:val="decimal"/>
      <w:lvlRestart w:val="0"/>
      <w:lvlText w:val="REQUEST %1:"/>
      <w:lvlJc w:val="left"/>
      <w:pPr>
        <w:tabs>
          <w:tab w:val="num" w:pos="1440"/>
        </w:tabs>
        <w:ind w:left="0" w:firstLine="0"/>
      </w:pPr>
      <w:rPr>
        <w:rFonts w:ascii="Times New Roman" w:hAnsi="Times New Roman" w:hint="default"/>
        <w:b/>
        <w:i w:val="0"/>
        <w:sz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A3D033F"/>
    <w:multiLevelType w:val="hybridMultilevel"/>
    <w:tmpl w:val="A7F026F2"/>
    <w:lvl w:ilvl="0" w:tplc="81C041D0">
      <w:start w:val="1"/>
      <w:numFmt w:val="lowerRoman"/>
      <w:lvlText w:val="(%1)"/>
      <w:lvlJc w:val="left"/>
      <w:pPr>
        <w:ind w:left="1080" w:hanging="720"/>
      </w:pPr>
      <w:rPr>
        <w:rFonts w:hint="default"/>
        <w:color w:val="0070C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F90736"/>
    <w:multiLevelType w:val="multilevel"/>
    <w:tmpl w:val="52EEE304"/>
    <w:lvl w:ilvl="0">
      <w:start w:val="1"/>
      <w:numFmt w:val="decimal"/>
      <w:pStyle w:val="Heading1"/>
      <w:lvlText w:val="%1."/>
      <w:lvlJc w:val="left"/>
      <w:pPr>
        <w:tabs>
          <w:tab w:val="num" w:pos="1800"/>
        </w:tabs>
        <w:ind w:left="0" w:firstLine="1440"/>
      </w:pPr>
      <w:rPr>
        <w:rFonts w:hint="default"/>
        <w:caps w:val="0"/>
        <w:strike w:val="0"/>
        <w:dstrike w:val="0"/>
        <w:outline w:val="0"/>
        <w:shadow w:val="0"/>
        <w:emboss w:val="0"/>
        <w:imprint w:val="0"/>
        <w:vanish w:val="0"/>
        <w:color w:val="auto"/>
        <w:u w:val="none"/>
        <w:vertAlign w:val="baseline"/>
      </w:rPr>
    </w:lvl>
    <w:lvl w:ilvl="1">
      <w:start w:val="1"/>
      <w:numFmt w:val="lowerLetter"/>
      <w:pStyle w:val="Heading2"/>
      <w:lvlText w:val="%2."/>
      <w:lvlJc w:val="left"/>
      <w:pPr>
        <w:tabs>
          <w:tab w:val="num" w:pos="2520"/>
        </w:tabs>
        <w:ind w:left="0" w:firstLine="2160"/>
      </w:pPr>
      <w:rPr>
        <w:rFonts w:hint="default"/>
        <w:caps w:val="0"/>
        <w:strike w:val="0"/>
        <w:dstrike w:val="0"/>
        <w:outline w:val="0"/>
        <w:shadow w:val="0"/>
        <w:emboss w:val="0"/>
        <w:imprint w:val="0"/>
        <w:vanish w:val="0"/>
        <w:color w:val="auto"/>
        <w:u w:val="none"/>
        <w:vertAlign w:val="baseline"/>
      </w:rPr>
    </w:lvl>
    <w:lvl w:ilvl="2">
      <w:start w:val="1"/>
      <w:numFmt w:val="lowerRoman"/>
      <w:pStyle w:val="Heading3"/>
      <w:lvlText w:val="%3."/>
      <w:lvlJc w:val="left"/>
      <w:pPr>
        <w:tabs>
          <w:tab w:val="num" w:pos="3600"/>
        </w:tabs>
        <w:ind w:left="720" w:firstLine="2160"/>
      </w:pPr>
      <w:rPr>
        <w:rFonts w:hint="default"/>
        <w:caps w:val="0"/>
        <w:strike w:val="0"/>
        <w:dstrike w:val="0"/>
        <w:outline w:val="0"/>
        <w:shadow w:val="0"/>
        <w:emboss w:val="0"/>
        <w:imprint w:val="0"/>
        <w:vanish w:val="0"/>
        <w:color w:val="auto"/>
        <w:u w:val="none"/>
        <w:vertAlign w:val="baseline"/>
      </w:rPr>
    </w:lvl>
    <w:lvl w:ilvl="3">
      <w:start w:val="1"/>
      <w:numFmt w:val="decimal"/>
      <w:pStyle w:val="Heading4"/>
      <w:lvlText w:val="(%4)"/>
      <w:lvlJc w:val="left"/>
      <w:pPr>
        <w:tabs>
          <w:tab w:val="num" w:pos="3960"/>
        </w:tabs>
        <w:ind w:left="1440" w:firstLine="2160"/>
      </w:pPr>
      <w:rPr>
        <w:rFonts w:hint="default"/>
        <w:caps w:val="0"/>
        <w:strike w:val="0"/>
        <w:dstrike w:val="0"/>
        <w:outline w:val="0"/>
        <w:shadow w:val="0"/>
        <w:emboss w:val="0"/>
        <w:imprint w:val="0"/>
        <w:vanish w:val="0"/>
        <w:color w:val="auto"/>
        <w:u w:val="none"/>
        <w:vertAlign w:val="baseline"/>
      </w:rPr>
    </w:lvl>
    <w:lvl w:ilvl="4">
      <w:start w:val="1"/>
      <w:numFmt w:val="lowerLetter"/>
      <w:pStyle w:val="Heading5"/>
      <w:lvlText w:val="(%5)"/>
      <w:lvlJc w:val="left"/>
      <w:pPr>
        <w:tabs>
          <w:tab w:val="num" w:pos="4680"/>
        </w:tabs>
        <w:ind w:left="2160" w:firstLine="2160"/>
      </w:pPr>
      <w:rPr>
        <w:rFonts w:hint="default"/>
        <w:caps w:val="0"/>
        <w:strike w:val="0"/>
        <w:dstrike w:val="0"/>
        <w:outline w:val="0"/>
        <w:shadow w:val="0"/>
        <w:emboss w:val="0"/>
        <w:imprint w:val="0"/>
        <w:vanish w:val="0"/>
        <w:u w:val="none"/>
        <w:vertAlign w:val="baseline"/>
      </w:rPr>
    </w:lvl>
    <w:lvl w:ilvl="5">
      <w:start w:val="1"/>
      <w:numFmt w:val="lowerRoman"/>
      <w:pStyle w:val="Heading6"/>
      <w:lvlText w:val="(%6)"/>
      <w:lvlJc w:val="left"/>
      <w:pPr>
        <w:tabs>
          <w:tab w:val="num" w:pos="5760"/>
        </w:tabs>
        <w:ind w:left="2880" w:firstLine="2160"/>
      </w:pPr>
      <w:rPr>
        <w:rFonts w:hint="default"/>
        <w:caps w:val="0"/>
        <w:strike w:val="0"/>
        <w:dstrike w:val="0"/>
        <w:outline w:val="0"/>
        <w:shadow w:val="0"/>
        <w:emboss w:val="0"/>
        <w:imprint w:val="0"/>
        <w:vanish w:val="0"/>
        <w:color w:val="auto"/>
        <w:u w:val="none"/>
        <w:vertAlign w:val="baseline"/>
      </w:rPr>
    </w:lvl>
    <w:lvl w:ilvl="6">
      <w:start w:val="1"/>
      <w:numFmt w:val="decimal"/>
      <w:pStyle w:val="Heading7"/>
      <w:lvlText w:val="%7)"/>
      <w:lvlJc w:val="left"/>
      <w:pPr>
        <w:tabs>
          <w:tab w:val="num" w:pos="6120"/>
        </w:tabs>
        <w:ind w:left="3600" w:firstLine="2160"/>
      </w:pPr>
      <w:rPr>
        <w:rFonts w:hint="default"/>
        <w:caps w:val="0"/>
        <w:strike w:val="0"/>
        <w:dstrike w:val="0"/>
        <w:outline w:val="0"/>
        <w:shadow w:val="0"/>
        <w:emboss w:val="0"/>
        <w:imprint w:val="0"/>
        <w:vanish w:val="0"/>
        <w:color w:val="auto"/>
        <w:u w:val="none"/>
        <w:vertAlign w:val="baseline"/>
      </w:rPr>
    </w:lvl>
    <w:lvl w:ilvl="7">
      <w:start w:val="1"/>
      <w:numFmt w:val="lowerLetter"/>
      <w:pStyle w:val="Heading8"/>
      <w:lvlText w:val="%8)"/>
      <w:lvlJc w:val="left"/>
      <w:pPr>
        <w:tabs>
          <w:tab w:val="num" w:pos="6840"/>
        </w:tabs>
        <w:ind w:left="4320" w:firstLine="2160"/>
      </w:pPr>
      <w:rPr>
        <w:rFonts w:hint="default"/>
        <w:caps w:val="0"/>
        <w:strike w:val="0"/>
        <w:dstrike w:val="0"/>
        <w:outline w:val="0"/>
        <w:shadow w:val="0"/>
        <w:emboss w:val="0"/>
        <w:imprint w:val="0"/>
        <w:vanish w:val="0"/>
        <w:color w:val="auto"/>
        <w:u w:val="none"/>
        <w:vertAlign w:val="baseline"/>
      </w:rPr>
    </w:lvl>
    <w:lvl w:ilvl="8">
      <w:start w:val="1"/>
      <w:numFmt w:val="lowerRoman"/>
      <w:pStyle w:val="Heading9"/>
      <w:lvlText w:val="%9)"/>
      <w:lvlJc w:val="left"/>
      <w:pPr>
        <w:tabs>
          <w:tab w:val="num" w:pos="7920"/>
        </w:tabs>
        <w:ind w:left="5040" w:firstLine="2160"/>
      </w:pPr>
      <w:rPr>
        <w:rFonts w:hint="default"/>
        <w:caps w:val="0"/>
        <w:strike w:val="0"/>
        <w:dstrike w:val="0"/>
        <w:outline w:val="0"/>
        <w:shadow w:val="0"/>
        <w:emboss w:val="0"/>
        <w:imprint w:val="0"/>
        <w:vanish w:val="0"/>
        <w:color w:val="auto"/>
        <w:u w:val="none"/>
        <w:vertAlign w:val="baseline"/>
      </w:rPr>
    </w:lvl>
  </w:abstractNum>
  <w:abstractNum w:abstractNumId="44" w15:restartNumberingAfterBreak="0">
    <w:nsid w:val="79E51453"/>
    <w:multiLevelType w:val="hybridMultilevel"/>
    <w:tmpl w:val="F672295E"/>
    <w:lvl w:ilvl="0" w:tplc="D1E4CC66">
      <w:start w:val="1"/>
      <w:numFmt w:val="decimal"/>
      <w:lvlText w:val="%1."/>
      <w:lvlJc w:val="left"/>
      <w:pPr>
        <w:tabs>
          <w:tab w:val="num" w:pos="1800"/>
        </w:tabs>
        <w:ind w:left="0" w:firstLine="144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24531292">
    <w:abstractNumId w:val="24"/>
  </w:num>
  <w:num w:numId="2" w16cid:durableId="1330986971">
    <w:abstractNumId w:val="14"/>
  </w:num>
  <w:num w:numId="3" w16cid:durableId="1496460086">
    <w:abstractNumId w:val="13"/>
  </w:num>
  <w:num w:numId="4" w16cid:durableId="690686915">
    <w:abstractNumId w:val="12"/>
  </w:num>
  <w:num w:numId="5" w16cid:durableId="1841852678">
    <w:abstractNumId w:val="11"/>
  </w:num>
  <w:num w:numId="6" w16cid:durableId="961493828">
    <w:abstractNumId w:val="10"/>
  </w:num>
  <w:num w:numId="7" w16cid:durableId="285504238">
    <w:abstractNumId w:val="28"/>
  </w:num>
  <w:num w:numId="8" w16cid:durableId="1433890044">
    <w:abstractNumId w:val="26"/>
  </w:num>
  <w:num w:numId="9" w16cid:durableId="924416810">
    <w:abstractNumId w:val="33"/>
  </w:num>
  <w:num w:numId="10" w16cid:durableId="979463067">
    <w:abstractNumId w:val="34"/>
  </w:num>
  <w:num w:numId="11" w16cid:durableId="469787272">
    <w:abstractNumId w:val="15"/>
  </w:num>
  <w:num w:numId="12" w16cid:durableId="378944960">
    <w:abstractNumId w:val="32"/>
  </w:num>
  <w:num w:numId="13" w16cid:durableId="431173341">
    <w:abstractNumId w:val="20"/>
  </w:num>
  <w:num w:numId="14" w16cid:durableId="1411804567">
    <w:abstractNumId w:val="21"/>
  </w:num>
  <w:num w:numId="15" w16cid:durableId="717632516">
    <w:abstractNumId w:val="30"/>
  </w:num>
  <w:num w:numId="16" w16cid:durableId="1320647120">
    <w:abstractNumId w:val="22"/>
  </w:num>
  <w:num w:numId="17" w16cid:durableId="472406853">
    <w:abstractNumId w:val="23"/>
  </w:num>
  <w:num w:numId="18" w16cid:durableId="52049327">
    <w:abstractNumId w:val="27"/>
  </w:num>
  <w:num w:numId="19" w16cid:durableId="65961961">
    <w:abstractNumId w:val="31"/>
  </w:num>
  <w:num w:numId="20" w16cid:durableId="1130976713">
    <w:abstractNumId w:val="25"/>
  </w:num>
  <w:num w:numId="21" w16cid:durableId="808321515">
    <w:abstractNumId w:val="17"/>
  </w:num>
  <w:num w:numId="22" w16cid:durableId="1045177036">
    <w:abstractNumId w:val="16"/>
  </w:num>
  <w:num w:numId="23" w16cid:durableId="80033869">
    <w:abstractNumId w:val="19"/>
  </w:num>
  <w:num w:numId="24" w16cid:durableId="1224096368">
    <w:abstractNumId w:val="29"/>
  </w:num>
  <w:num w:numId="25" w16cid:durableId="417411267">
    <w:abstractNumId w:val="18"/>
  </w:num>
  <w:num w:numId="26" w16cid:durableId="988436382">
    <w:abstractNumId w:val="44"/>
  </w:num>
  <w:num w:numId="27" w16cid:durableId="1209803692">
    <w:abstractNumId w:val="38"/>
  </w:num>
  <w:num w:numId="28" w16cid:durableId="1600063204">
    <w:abstractNumId w:val="43"/>
  </w:num>
  <w:num w:numId="29" w16cid:durableId="1700006993">
    <w:abstractNumId w:val="9"/>
  </w:num>
  <w:num w:numId="30" w16cid:durableId="28461305">
    <w:abstractNumId w:val="7"/>
  </w:num>
  <w:num w:numId="31" w16cid:durableId="1860897866">
    <w:abstractNumId w:val="6"/>
  </w:num>
  <w:num w:numId="32" w16cid:durableId="710149075">
    <w:abstractNumId w:val="5"/>
  </w:num>
  <w:num w:numId="33" w16cid:durableId="319117033">
    <w:abstractNumId w:val="4"/>
  </w:num>
  <w:num w:numId="34" w16cid:durableId="432941226">
    <w:abstractNumId w:val="8"/>
  </w:num>
  <w:num w:numId="35" w16cid:durableId="604383272">
    <w:abstractNumId w:val="3"/>
  </w:num>
  <w:num w:numId="36" w16cid:durableId="1349988669">
    <w:abstractNumId w:val="2"/>
  </w:num>
  <w:num w:numId="37" w16cid:durableId="494225315">
    <w:abstractNumId w:val="1"/>
  </w:num>
  <w:num w:numId="38" w16cid:durableId="797914033">
    <w:abstractNumId w:val="0"/>
  </w:num>
  <w:num w:numId="39" w16cid:durableId="557518832">
    <w:abstractNumId w:val="41"/>
  </w:num>
  <w:num w:numId="40" w16cid:durableId="66223555">
    <w:abstractNumId w:val="39"/>
  </w:num>
  <w:num w:numId="41" w16cid:durableId="829247258">
    <w:abstractNumId w:val="42"/>
  </w:num>
  <w:num w:numId="42" w16cid:durableId="606885814">
    <w:abstractNumId w:val="35"/>
  </w:num>
  <w:num w:numId="43" w16cid:durableId="722094417">
    <w:abstractNumId w:val="37"/>
  </w:num>
  <w:num w:numId="44" w16cid:durableId="1098792077">
    <w:abstractNumId w:val="40"/>
  </w:num>
  <w:num w:numId="45" w16cid:durableId="116932513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38B"/>
    <w:rsid w:val="0009338B"/>
    <w:rsid w:val="00121201"/>
    <w:rsid w:val="003724EA"/>
    <w:rsid w:val="004018AD"/>
    <w:rsid w:val="00460BE3"/>
    <w:rsid w:val="004E24AF"/>
    <w:rsid w:val="00585ACD"/>
    <w:rsid w:val="00674312"/>
    <w:rsid w:val="006E3CD9"/>
    <w:rsid w:val="007048D3"/>
    <w:rsid w:val="00737A15"/>
    <w:rsid w:val="0074081C"/>
    <w:rsid w:val="00784231"/>
    <w:rsid w:val="007D6B06"/>
    <w:rsid w:val="0081566A"/>
    <w:rsid w:val="00894DE1"/>
    <w:rsid w:val="008C5293"/>
    <w:rsid w:val="00A6715F"/>
    <w:rsid w:val="00A85C0B"/>
    <w:rsid w:val="00AE73B6"/>
    <w:rsid w:val="00B0722C"/>
    <w:rsid w:val="00B406C2"/>
    <w:rsid w:val="00B76A9F"/>
    <w:rsid w:val="00BF072B"/>
    <w:rsid w:val="00C40544"/>
    <w:rsid w:val="00C52467"/>
    <w:rsid w:val="00CE3742"/>
    <w:rsid w:val="00D9784E"/>
    <w:rsid w:val="00E5421D"/>
    <w:rsid w:val="00F71A6D"/>
    <w:rsid w:val="00FE4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F5BE74"/>
  <w14:defaultImageDpi w14:val="96"/>
  <w15:docId w15:val="{1004EBE7-BADC-4D87-9F8F-AF7380A2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unhideWhenUsed="1"/>
    <w:lsdException w:name="footnote text" w:semiHidden="1" w:uiPriority="0"/>
    <w:lsdException w:name="annotation text" w:semiHidden="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paragraph" w:styleId="Heading1">
    <w:name w:val="heading 1"/>
    <w:aliases w:val="H1"/>
    <w:basedOn w:val="Normal"/>
    <w:next w:val="Heading2"/>
    <w:link w:val="Heading1Char"/>
    <w:qFormat/>
    <w:pPr>
      <w:numPr>
        <w:numId w:val="28"/>
      </w:numPr>
      <w:tabs>
        <w:tab w:val="clear" w:pos="1800"/>
      </w:tabs>
      <w:spacing w:before="240"/>
      <w:outlineLvl w:val="0"/>
    </w:pPr>
  </w:style>
  <w:style w:type="paragraph" w:styleId="Heading2">
    <w:name w:val="heading 2"/>
    <w:aliases w:val="H2"/>
    <w:basedOn w:val="Normal"/>
    <w:link w:val="Heading2Char"/>
    <w:qFormat/>
    <w:pPr>
      <w:numPr>
        <w:ilvl w:val="1"/>
        <w:numId w:val="28"/>
      </w:numPr>
      <w:tabs>
        <w:tab w:val="clear" w:pos="2520"/>
      </w:tabs>
      <w:spacing w:before="240"/>
      <w:outlineLvl w:val="1"/>
    </w:pPr>
  </w:style>
  <w:style w:type="paragraph" w:styleId="Heading3">
    <w:name w:val="heading 3"/>
    <w:aliases w:val="H3"/>
    <w:basedOn w:val="Normal"/>
    <w:link w:val="Heading3Char"/>
    <w:qFormat/>
    <w:pPr>
      <w:numPr>
        <w:ilvl w:val="2"/>
        <w:numId w:val="28"/>
      </w:numPr>
      <w:tabs>
        <w:tab w:val="clear" w:pos="3600"/>
      </w:tabs>
      <w:spacing w:before="240"/>
      <w:outlineLvl w:val="2"/>
    </w:pPr>
  </w:style>
  <w:style w:type="paragraph" w:styleId="Heading4">
    <w:name w:val="heading 4"/>
    <w:aliases w:val="H4"/>
    <w:basedOn w:val="Normal"/>
    <w:link w:val="Heading4Char"/>
    <w:qFormat/>
    <w:pPr>
      <w:numPr>
        <w:ilvl w:val="3"/>
        <w:numId w:val="28"/>
      </w:numPr>
      <w:tabs>
        <w:tab w:val="clear" w:pos="3960"/>
      </w:tabs>
      <w:spacing w:before="240"/>
      <w:outlineLvl w:val="3"/>
    </w:pPr>
  </w:style>
  <w:style w:type="paragraph" w:styleId="Heading5">
    <w:name w:val="heading 5"/>
    <w:aliases w:val="H5"/>
    <w:basedOn w:val="Normal"/>
    <w:link w:val="Heading5Char"/>
    <w:qFormat/>
    <w:pPr>
      <w:numPr>
        <w:ilvl w:val="4"/>
        <w:numId w:val="28"/>
      </w:numPr>
      <w:tabs>
        <w:tab w:val="clear" w:pos="4680"/>
      </w:tabs>
      <w:spacing w:before="240"/>
      <w:outlineLvl w:val="4"/>
    </w:pPr>
  </w:style>
  <w:style w:type="paragraph" w:styleId="Heading6">
    <w:name w:val="heading 6"/>
    <w:aliases w:val="H6"/>
    <w:basedOn w:val="Normal"/>
    <w:link w:val="Heading6Char"/>
    <w:qFormat/>
    <w:pPr>
      <w:numPr>
        <w:ilvl w:val="5"/>
        <w:numId w:val="28"/>
      </w:numPr>
      <w:tabs>
        <w:tab w:val="clear" w:pos="5760"/>
      </w:tabs>
      <w:spacing w:before="240"/>
      <w:outlineLvl w:val="5"/>
    </w:pPr>
  </w:style>
  <w:style w:type="paragraph" w:styleId="Heading7">
    <w:name w:val="heading 7"/>
    <w:aliases w:val="H7"/>
    <w:basedOn w:val="Normal"/>
    <w:link w:val="Heading7Char"/>
    <w:qFormat/>
    <w:pPr>
      <w:numPr>
        <w:ilvl w:val="6"/>
        <w:numId w:val="28"/>
      </w:numPr>
      <w:tabs>
        <w:tab w:val="clear" w:pos="6120"/>
      </w:tabs>
      <w:spacing w:before="240"/>
      <w:outlineLvl w:val="6"/>
    </w:pPr>
  </w:style>
  <w:style w:type="paragraph" w:styleId="Heading8">
    <w:name w:val="heading 8"/>
    <w:aliases w:val="H8"/>
    <w:basedOn w:val="Normal"/>
    <w:link w:val="Heading8Char"/>
    <w:qFormat/>
    <w:pPr>
      <w:numPr>
        <w:ilvl w:val="7"/>
        <w:numId w:val="28"/>
      </w:numPr>
      <w:tabs>
        <w:tab w:val="clear" w:pos="6840"/>
      </w:tabs>
      <w:spacing w:before="240"/>
      <w:outlineLvl w:val="7"/>
    </w:pPr>
  </w:style>
  <w:style w:type="paragraph" w:styleId="Heading9">
    <w:name w:val="heading 9"/>
    <w:aliases w:val="H9"/>
    <w:basedOn w:val="Normal"/>
    <w:link w:val="Heading9Char"/>
    <w:qFormat/>
    <w:pPr>
      <w:numPr>
        <w:ilvl w:val="8"/>
        <w:numId w:val="28"/>
      </w:numPr>
      <w:tabs>
        <w:tab w:val="clear" w:pos="7920"/>
      </w:tabs>
      <w:spacing w:before="24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w:basedOn w:val="DefaultParagraphFont"/>
    <w:link w:val="Heading3"/>
    <w:rPr>
      <w:rFonts w:ascii="Times New Roman" w:eastAsia="Times New Roman" w:hAnsi="Times New Roman" w:cs="Times New Roman"/>
      <w:sz w:val="24"/>
      <w:szCs w:val="20"/>
    </w:rPr>
  </w:style>
  <w:style w:type="paragraph" w:customStyle="1" w:styleId="Normal0">
    <w:name w:val="@Normal"/>
    <w:pPr>
      <w:suppressAutoHyphens/>
      <w:autoSpaceDE w:val="0"/>
      <w:autoSpaceDN w:val="0"/>
      <w:adjustRightInd w:val="0"/>
      <w:spacing w:after="0" w:line="240" w:lineRule="auto"/>
    </w:pPr>
    <w:rPr>
      <w:rFonts w:ascii="Calibri" w:eastAsia="SimSun" w:hAnsi="Calibri" w:cs="Calibri"/>
      <w:szCs w:val="20"/>
    </w:rPr>
  </w:style>
  <w:style w:type="paragraph" w:customStyle="1" w:styleId="10sp0">
    <w:name w:val="_1.0sp 0&quot;"/>
    <w:basedOn w:val="Normal0"/>
    <w:pPr>
      <w:spacing w:after="240"/>
    </w:pPr>
  </w:style>
  <w:style w:type="paragraph" w:customStyle="1" w:styleId="10sp0nospaceafter">
    <w:name w:val="_1.0sp 0&quot; (no space after)"/>
    <w:basedOn w:val="Normal0"/>
  </w:style>
  <w:style w:type="paragraph" w:customStyle="1" w:styleId="10sp05">
    <w:name w:val="_1.0sp 0.5&quot;"/>
    <w:basedOn w:val="Normal0"/>
    <w:pPr>
      <w:spacing w:after="240"/>
      <w:ind w:firstLine="720"/>
    </w:pPr>
  </w:style>
  <w:style w:type="paragraph" w:customStyle="1" w:styleId="10sp1">
    <w:name w:val="_1.0sp 1&quot;"/>
    <w:basedOn w:val="Normal0"/>
    <w:pPr>
      <w:spacing w:after="240"/>
      <w:ind w:firstLine="1440"/>
    </w:pPr>
  </w:style>
  <w:style w:type="paragraph" w:customStyle="1" w:styleId="10sp15">
    <w:name w:val="_1.0sp 1.5&quot;"/>
    <w:basedOn w:val="Normal0"/>
    <w:pPr>
      <w:spacing w:after="240"/>
      <w:ind w:firstLine="2160"/>
    </w:pPr>
  </w:style>
  <w:style w:type="paragraph" w:customStyle="1" w:styleId="10sp2">
    <w:name w:val="_1.0sp 2&quot;"/>
    <w:basedOn w:val="Normal0"/>
    <w:qFormat/>
    <w:pPr>
      <w:spacing w:after="240"/>
      <w:ind w:firstLine="2880"/>
    </w:pPr>
  </w:style>
  <w:style w:type="paragraph" w:customStyle="1" w:styleId="10spCentered">
    <w:name w:val="_1.0sp Centered"/>
    <w:basedOn w:val="Normal0"/>
    <w:pPr>
      <w:spacing w:after="240"/>
      <w:jc w:val="center"/>
    </w:pPr>
  </w:style>
  <w:style w:type="paragraph" w:customStyle="1" w:styleId="10spCenterednospaceafter">
    <w:name w:val="_1.0sp Centered (no space after)"/>
    <w:basedOn w:val="Normal0"/>
    <w:pPr>
      <w:jc w:val="center"/>
    </w:pPr>
  </w:style>
  <w:style w:type="paragraph" w:customStyle="1" w:styleId="10spHanging05">
    <w:name w:val="_1.0sp Hanging 0.5&quot;"/>
    <w:basedOn w:val="Normal0"/>
    <w:pPr>
      <w:spacing w:after="240"/>
      <w:ind w:left="720" w:hanging="720"/>
    </w:pPr>
  </w:style>
  <w:style w:type="paragraph" w:customStyle="1" w:styleId="10spHanging05nospaceafter">
    <w:name w:val="_1.0sp Hanging 0.5&quot; (no space after)"/>
    <w:basedOn w:val="Normal0"/>
    <w:pPr>
      <w:ind w:left="720" w:hanging="720"/>
    </w:pPr>
  </w:style>
  <w:style w:type="paragraph" w:customStyle="1" w:styleId="10spHanging1">
    <w:name w:val="_1.0sp Hanging 1&quot;"/>
    <w:basedOn w:val="Normal0"/>
    <w:pPr>
      <w:spacing w:after="240"/>
      <w:ind w:left="1440" w:hanging="720"/>
    </w:pPr>
  </w:style>
  <w:style w:type="paragraph" w:customStyle="1" w:styleId="10spHanging15">
    <w:name w:val="_1.0sp Hanging 1.5&quot;"/>
    <w:basedOn w:val="Normal0"/>
    <w:pPr>
      <w:spacing w:after="240"/>
      <w:ind w:left="2160" w:hanging="720"/>
    </w:pPr>
  </w:style>
  <w:style w:type="paragraph" w:customStyle="1" w:styleId="10spHanging2">
    <w:name w:val="_1.0sp Hanging 2&quot;"/>
    <w:basedOn w:val="Normal0"/>
    <w:qFormat/>
    <w:pPr>
      <w:spacing w:after="240"/>
      <w:ind w:left="2880" w:hanging="720"/>
    </w:pPr>
  </w:style>
  <w:style w:type="paragraph" w:customStyle="1" w:styleId="10spLeftInd05">
    <w:name w:val="_1.0sp Left Ind 0.5&quot;"/>
    <w:basedOn w:val="Normal0"/>
    <w:pPr>
      <w:spacing w:after="240"/>
      <w:ind w:left="720"/>
    </w:pPr>
  </w:style>
  <w:style w:type="paragraph" w:customStyle="1" w:styleId="10spLeftInd05nospaceafter">
    <w:name w:val="_1.0sp Left Ind 0.5&quot; (no space after)"/>
    <w:basedOn w:val="Normal0"/>
    <w:pPr>
      <w:ind w:left="720"/>
    </w:pPr>
  </w:style>
  <w:style w:type="paragraph" w:customStyle="1" w:styleId="10spLeftInd1">
    <w:name w:val="_1.0sp Left Ind 1&quot;"/>
    <w:basedOn w:val="Normal0"/>
    <w:pPr>
      <w:spacing w:after="240"/>
      <w:ind w:left="1440"/>
    </w:pPr>
  </w:style>
  <w:style w:type="paragraph" w:customStyle="1" w:styleId="10spLeftInd15">
    <w:name w:val="_1.0sp Left Ind 1.5&quot;"/>
    <w:basedOn w:val="Normal0"/>
    <w:pPr>
      <w:spacing w:after="240"/>
      <w:ind w:left="2160"/>
    </w:pPr>
  </w:style>
  <w:style w:type="paragraph" w:customStyle="1" w:styleId="10spLeftInd2">
    <w:name w:val="_1.0sp Left Ind 2&quot;"/>
    <w:basedOn w:val="Normal0"/>
    <w:pPr>
      <w:spacing w:after="240"/>
      <w:ind w:left="2880"/>
    </w:pPr>
  </w:style>
  <w:style w:type="paragraph" w:customStyle="1" w:styleId="10spLeft-Right05">
    <w:name w:val="_1.0sp Left-Right 0.5&quot;"/>
    <w:basedOn w:val="Normal0"/>
    <w:pPr>
      <w:spacing w:after="240"/>
      <w:ind w:left="720" w:right="720"/>
    </w:pPr>
  </w:style>
  <w:style w:type="paragraph" w:customStyle="1" w:styleId="10spLeft-Right1">
    <w:name w:val="_1.0sp Left-Right 1&quot;"/>
    <w:basedOn w:val="Normal0"/>
    <w:pPr>
      <w:spacing w:after="240"/>
      <w:ind w:left="1440" w:right="1440"/>
    </w:pPr>
  </w:style>
  <w:style w:type="paragraph" w:customStyle="1" w:styleId="10spLeft-Right15">
    <w:name w:val="_1.0sp Left-Right 1.5&quot;"/>
    <w:basedOn w:val="Normal0"/>
    <w:pPr>
      <w:spacing w:after="240"/>
      <w:ind w:left="2160" w:right="2160"/>
    </w:pPr>
  </w:style>
  <w:style w:type="paragraph" w:customStyle="1" w:styleId="10spLeft-Right2">
    <w:name w:val="_1.0sp Left-Right 2&quot;"/>
    <w:basedOn w:val="Normal0"/>
    <w:qFormat/>
    <w:pPr>
      <w:spacing w:after="240"/>
      <w:ind w:left="2880" w:right="2880"/>
    </w:pPr>
  </w:style>
  <w:style w:type="paragraph" w:customStyle="1" w:styleId="10spRightAligned">
    <w:name w:val="_1.0sp Right Aligned"/>
    <w:basedOn w:val="Normal0"/>
    <w:pPr>
      <w:spacing w:after="240"/>
      <w:jc w:val="right"/>
    </w:pPr>
  </w:style>
  <w:style w:type="paragraph" w:customStyle="1" w:styleId="15sp0">
    <w:name w:val="_1.5sp 0&quot;"/>
    <w:basedOn w:val="Normal0"/>
    <w:pPr>
      <w:spacing w:line="360" w:lineRule="auto"/>
    </w:pPr>
  </w:style>
  <w:style w:type="paragraph" w:customStyle="1" w:styleId="15sp05">
    <w:name w:val="_1.5sp 0.5&quot;"/>
    <w:basedOn w:val="Normal0"/>
    <w:pPr>
      <w:spacing w:line="360" w:lineRule="auto"/>
      <w:ind w:firstLine="720"/>
    </w:pPr>
  </w:style>
  <w:style w:type="paragraph" w:customStyle="1" w:styleId="15sp1">
    <w:name w:val="_1.5sp 1&quot;"/>
    <w:basedOn w:val="Normal0"/>
    <w:pPr>
      <w:spacing w:line="360" w:lineRule="auto"/>
      <w:ind w:firstLine="1440"/>
    </w:pPr>
  </w:style>
  <w:style w:type="paragraph" w:customStyle="1" w:styleId="15sp15">
    <w:name w:val="_1.5sp 1.5&quot;"/>
    <w:basedOn w:val="Normal0"/>
    <w:pPr>
      <w:spacing w:line="360" w:lineRule="auto"/>
      <w:ind w:firstLine="2160"/>
    </w:pPr>
  </w:style>
  <w:style w:type="paragraph" w:customStyle="1" w:styleId="15sp2">
    <w:name w:val="_1.5sp 2&quot;"/>
    <w:basedOn w:val="Normal0"/>
    <w:qFormat/>
    <w:pPr>
      <w:spacing w:line="360" w:lineRule="auto"/>
      <w:ind w:firstLine="2880"/>
    </w:pPr>
  </w:style>
  <w:style w:type="paragraph" w:customStyle="1" w:styleId="15spCentered">
    <w:name w:val="_1.5sp Centered"/>
    <w:basedOn w:val="Normal0"/>
    <w:pPr>
      <w:spacing w:line="360" w:lineRule="auto"/>
      <w:jc w:val="center"/>
    </w:pPr>
  </w:style>
  <w:style w:type="paragraph" w:customStyle="1" w:styleId="15spHanging05">
    <w:name w:val="_1.5sp Hanging 0.5&quot;"/>
    <w:basedOn w:val="Normal0"/>
    <w:pPr>
      <w:spacing w:line="360" w:lineRule="auto"/>
      <w:ind w:left="720" w:hanging="720"/>
    </w:pPr>
  </w:style>
  <w:style w:type="paragraph" w:customStyle="1" w:styleId="15spHanging1">
    <w:name w:val="_1.5sp Hanging 1&quot;"/>
    <w:basedOn w:val="Normal0"/>
    <w:pPr>
      <w:spacing w:line="360" w:lineRule="auto"/>
      <w:ind w:left="1440" w:hanging="720"/>
    </w:pPr>
  </w:style>
  <w:style w:type="paragraph" w:customStyle="1" w:styleId="15spHanging15">
    <w:name w:val="_1.5sp Hanging 1.5&quot;"/>
    <w:basedOn w:val="Normal0"/>
    <w:pPr>
      <w:spacing w:line="360" w:lineRule="auto"/>
      <w:ind w:left="2160" w:hanging="720"/>
    </w:pPr>
  </w:style>
  <w:style w:type="paragraph" w:customStyle="1" w:styleId="15spHanging2">
    <w:name w:val="_1.5sp Hanging 2&quot;"/>
    <w:basedOn w:val="Normal0"/>
    <w:qFormat/>
    <w:pPr>
      <w:spacing w:line="360" w:lineRule="auto"/>
      <w:ind w:left="2880" w:hanging="720"/>
    </w:pPr>
  </w:style>
  <w:style w:type="paragraph" w:customStyle="1" w:styleId="15spLeftInd05">
    <w:name w:val="_1.5sp Left Ind 0.5&quot;"/>
    <w:basedOn w:val="Normal0"/>
    <w:pPr>
      <w:spacing w:line="360" w:lineRule="auto"/>
      <w:ind w:left="720"/>
    </w:pPr>
  </w:style>
  <w:style w:type="paragraph" w:customStyle="1" w:styleId="15spLeftInd1">
    <w:name w:val="_1.5sp Left Ind 1&quot;"/>
    <w:basedOn w:val="Normal0"/>
    <w:pPr>
      <w:spacing w:line="360" w:lineRule="auto"/>
      <w:ind w:left="1440"/>
    </w:pPr>
  </w:style>
  <w:style w:type="paragraph" w:customStyle="1" w:styleId="15spLeftInd15">
    <w:name w:val="_1.5sp Left Ind 1.5&quot;"/>
    <w:basedOn w:val="Normal0"/>
    <w:pPr>
      <w:spacing w:line="360" w:lineRule="auto"/>
      <w:ind w:left="2160"/>
    </w:pPr>
  </w:style>
  <w:style w:type="paragraph" w:customStyle="1" w:styleId="15spLeftInd2">
    <w:name w:val="_1.5sp Left Ind 2&quot;"/>
    <w:basedOn w:val="Normal0"/>
    <w:pPr>
      <w:spacing w:line="360" w:lineRule="auto"/>
      <w:ind w:left="2880"/>
    </w:pPr>
  </w:style>
  <w:style w:type="paragraph" w:customStyle="1" w:styleId="15spLeft-Right05">
    <w:name w:val="_1.5sp Left-Right 0.5&quot;"/>
    <w:basedOn w:val="Normal0"/>
    <w:pPr>
      <w:spacing w:line="360" w:lineRule="auto"/>
      <w:ind w:left="720" w:right="720"/>
    </w:pPr>
  </w:style>
  <w:style w:type="paragraph" w:customStyle="1" w:styleId="15spLeft-Right1">
    <w:name w:val="_1.5sp Left-Right 1&quot;"/>
    <w:basedOn w:val="Normal0"/>
    <w:pPr>
      <w:spacing w:line="360" w:lineRule="auto"/>
      <w:ind w:left="1440" w:right="1440"/>
    </w:pPr>
  </w:style>
  <w:style w:type="paragraph" w:customStyle="1" w:styleId="15spLeft-Right15">
    <w:name w:val="_1.5sp Left-Right 1.5&quot;"/>
    <w:basedOn w:val="Normal0"/>
    <w:pPr>
      <w:spacing w:line="360" w:lineRule="auto"/>
      <w:ind w:left="2160" w:right="2160"/>
    </w:pPr>
  </w:style>
  <w:style w:type="paragraph" w:customStyle="1" w:styleId="15spLeft-Right2">
    <w:name w:val="_1.5sp Left-Right 2&quot;"/>
    <w:basedOn w:val="Normal0"/>
    <w:qFormat/>
    <w:pPr>
      <w:spacing w:line="360" w:lineRule="auto"/>
      <w:ind w:left="2880" w:right="2880"/>
    </w:pPr>
  </w:style>
  <w:style w:type="paragraph" w:customStyle="1" w:styleId="15spRightAligned">
    <w:name w:val="_1.5sp Right Aligned"/>
    <w:basedOn w:val="Normal0"/>
    <w:pPr>
      <w:spacing w:line="360" w:lineRule="auto"/>
      <w:jc w:val="right"/>
    </w:pPr>
  </w:style>
  <w:style w:type="paragraph" w:customStyle="1" w:styleId="20sp0">
    <w:name w:val="_2.0sp 0&quot;"/>
    <w:basedOn w:val="Normal0"/>
    <w:pPr>
      <w:spacing w:line="480" w:lineRule="auto"/>
    </w:pPr>
  </w:style>
  <w:style w:type="paragraph" w:customStyle="1" w:styleId="20sp05">
    <w:name w:val="_2.0sp 0.5&quot;"/>
    <w:basedOn w:val="Normal0"/>
    <w:pPr>
      <w:spacing w:line="480" w:lineRule="auto"/>
      <w:ind w:firstLine="720"/>
    </w:pPr>
  </w:style>
  <w:style w:type="paragraph" w:customStyle="1" w:styleId="20sp1">
    <w:name w:val="_2.0sp 1&quot;"/>
    <w:basedOn w:val="Normal0"/>
    <w:pPr>
      <w:spacing w:line="480" w:lineRule="auto"/>
      <w:ind w:firstLine="1440"/>
    </w:pPr>
  </w:style>
  <w:style w:type="paragraph" w:customStyle="1" w:styleId="20sp15">
    <w:name w:val="_2.0sp 1.5&quot;"/>
    <w:basedOn w:val="Normal0"/>
    <w:pPr>
      <w:spacing w:line="480" w:lineRule="auto"/>
      <w:ind w:firstLine="2160"/>
    </w:pPr>
  </w:style>
  <w:style w:type="paragraph" w:customStyle="1" w:styleId="20sp2">
    <w:name w:val="_2.0sp 2&quot;"/>
    <w:basedOn w:val="Normal0"/>
    <w:qFormat/>
    <w:pPr>
      <w:spacing w:line="480" w:lineRule="auto"/>
      <w:ind w:firstLine="2880"/>
    </w:pPr>
  </w:style>
  <w:style w:type="paragraph" w:customStyle="1" w:styleId="20spCentered">
    <w:name w:val="_2.0sp Centered"/>
    <w:basedOn w:val="Normal0"/>
    <w:pPr>
      <w:spacing w:line="480" w:lineRule="auto"/>
      <w:jc w:val="center"/>
    </w:pPr>
  </w:style>
  <w:style w:type="paragraph" w:customStyle="1" w:styleId="20spHanging05">
    <w:name w:val="_2.0sp Hanging 0.5&quot;"/>
    <w:basedOn w:val="Normal0"/>
    <w:pPr>
      <w:spacing w:line="480" w:lineRule="auto"/>
      <w:ind w:left="720" w:hanging="720"/>
    </w:pPr>
  </w:style>
  <w:style w:type="paragraph" w:customStyle="1" w:styleId="20spHanging1">
    <w:name w:val="_2.0sp Hanging 1&quot;"/>
    <w:basedOn w:val="Normal0"/>
    <w:pPr>
      <w:spacing w:line="480" w:lineRule="auto"/>
      <w:ind w:left="1440" w:hanging="720"/>
    </w:pPr>
  </w:style>
  <w:style w:type="paragraph" w:customStyle="1" w:styleId="20spHanging15">
    <w:name w:val="_2.0sp Hanging 1.5&quot;"/>
    <w:basedOn w:val="Normal0"/>
    <w:pPr>
      <w:spacing w:line="480" w:lineRule="auto"/>
      <w:ind w:left="2160" w:hanging="720"/>
    </w:pPr>
  </w:style>
  <w:style w:type="paragraph" w:customStyle="1" w:styleId="20spHanging2">
    <w:name w:val="_2.0sp Hanging 2&quot;"/>
    <w:basedOn w:val="Normal0"/>
    <w:qFormat/>
    <w:pPr>
      <w:spacing w:line="480" w:lineRule="auto"/>
      <w:ind w:left="2880" w:hanging="720"/>
    </w:pPr>
  </w:style>
  <w:style w:type="paragraph" w:customStyle="1" w:styleId="20spLeftInd05">
    <w:name w:val="_2.0sp Left Ind 0.5&quot;"/>
    <w:basedOn w:val="Normal0"/>
    <w:pPr>
      <w:spacing w:line="480" w:lineRule="auto"/>
      <w:ind w:left="720"/>
    </w:pPr>
  </w:style>
  <w:style w:type="paragraph" w:customStyle="1" w:styleId="20spLeftInd1">
    <w:name w:val="_2.0sp Left Ind 1&quot;"/>
    <w:basedOn w:val="Normal0"/>
    <w:pPr>
      <w:spacing w:line="480" w:lineRule="auto"/>
      <w:ind w:left="1440"/>
    </w:pPr>
  </w:style>
  <w:style w:type="paragraph" w:customStyle="1" w:styleId="20spLeftInd15">
    <w:name w:val="_2.0sp Left Ind 1.5&quot;"/>
    <w:basedOn w:val="Normal0"/>
    <w:pPr>
      <w:spacing w:line="480" w:lineRule="auto"/>
      <w:ind w:left="2160"/>
    </w:pPr>
  </w:style>
  <w:style w:type="paragraph" w:customStyle="1" w:styleId="20spLeftInd2">
    <w:name w:val="_2.0sp Left Ind 2&quot;"/>
    <w:basedOn w:val="Normal0"/>
    <w:pPr>
      <w:spacing w:line="480" w:lineRule="auto"/>
      <w:ind w:left="2880"/>
    </w:pPr>
  </w:style>
  <w:style w:type="paragraph" w:customStyle="1" w:styleId="20spLeft-Right05">
    <w:name w:val="_2.0sp Left-Right 0.5&quot;"/>
    <w:basedOn w:val="Normal0"/>
    <w:pPr>
      <w:spacing w:line="480" w:lineRule="auto"/>
      <w:ind w:left="720" w:right="720"/>
    </w:pPr>
  </w:style>
  <w:style w:type="paragraph" w:customStyle="1" w:styleId="20spLeft-Right1">
    <w:name w:val="_2.0sp Left-Right 1&quot;"/>
    <w:basedOn w:val="Normal0"/>
    <w:pPr>
      <w:spacing w:line="480" w:lineRule="auto"/>
      <w:ind w:left="1440" w:right="1440"/>
    </w:pPr>
  </w:style>
  <w:style w:type="paragraph" w:customStyle="1" w:styleId="20spLeft-Right15">
    <w:name w:val="_2.0sp Left-Right 1.5&quot;"/>
    <w:basedOn w:val="Normal0"/>
    <w:pPr>
      <w:spacing w:line="480" w:lineRule="auto"/>
      <w:ind w:left="2160" w:right="2160"/>
    </w:pPr>
  </w:style>
  <w:style w:type="paragraph" w:customStyle="1" w:styleId="20spLeft-Right2">
    <w:name w:val="_2.0sp Left-Right 2&quot;"/>
    <w:basedOn w:val="Normal0"/>
    <w:qFormat/>
    <w:pPr>
      <w:spacing w:line="480" w:lineRule="auto"/>
      <w:ind w:left="2880" w:right="2880"/>
    </w:pPr>
  </w:style>
  <w:style w:type="paragraph" w:customStyle="1" w:styleId="20spRightAligned">
    <w:name w:val="_2.0sp Right Aligned"/>
    <w:basedOn w:val="Normal0"/>
    <w:pPr>
      <w:spacing w:line="480" w:lineRule="auto"/>
      <w:jc w:val="right"/>
    </w:pPr>
  </w:style>
  <w:style w:type="paragraph" w:customStyle="1" w:styleId="CustomHeading1">
    <w:name w:val="_Custom Heading 1"/>
    <w:basedOn w:val="Normal0"/>
    <w:pPr>
      <w:keepNext/>
      <w:keepLines/>
      <w:spacing w:after="240"/>
      <w:jc w:val="center"/>
    </w:pPr>
  </w:style>
  <w:style w:type="paragraph" w:customStyle="1" w:styleId="CustomHeading2">
    <w:name w:val="_Custom Heading 2"/>
    <w:basedOn w:val="Normal0"/>
    <w:pPr>
      <w:keepNext/>
      <w:keepLines/>
      <w:spacing w:after="240"/>
      <w:jc w:val="center"/>
    </w:pPr>
  </w:style>
  <w:style w:type="paragraph" w:customStyle="1" w:styleId="CustomHeading3">
    <w:name w:val="_Custom Heading 3"/>
    <w:basedOn w:val="Normal0"/>
    <w:pPr>
      <w:keepNext/>
      <w:keepLines/>
      <w:spacing w:after="240"/>
      <w:jc w:val="center"/>
    </w:pPr>
  </w:style>
  <w:style w:type="paragraph" w:customStyle="1" w:styleId="CustomHeading4">
    <w:name w:val="_Custom Heading 4"/>
    <w:basedOn w:val="Normal0"/>
    <w:pPr>
      <w:keepNext/>
      <w:keepLines/>
      <w:spacing w:after="240"/>
      <w:jc w:val="center"/>
    </w:pPr>
  </w:style>
  <w:style w:type="paragraph" w:customStyle="1" w:styleId="CustomHeading5">
    <w:name w:val="_Custom Heading 5"/>
    <w:basedOn w:val="Normal0"/>
    <w:pPr>
      <w:keepNext/>
      <w:keepLines/>
      <w:spacing w:after="240"/>
      <w:jc w:val="center"/>
    </w:pPr>
  </w:style>
  <w:style w:type="paragraph" w:customStyle="1" w:styleId="CustomHeading6">
    <w:name w:val="_Custom Heading 6"/>
    <w:basedOn w:val="Normal0"/>
    <w:pPr>
      <w:keepNext/>
      <w:keepLines/>
      <w:spacing w:after="240"/>
      <w:jc w:val="center"/>
    </w:pPr>
  </w:style>
  <w:style w:type="paragraph" w:customStyle="1" w:styleId="CustomParagraph1">
    <w:name w:val="_Custom Paragraph 1"/>
    <w:basedOn w:val="Normal0"/>
    <w:pPr>
      <w:spacing w:after="240"/>
    </w:pPr>
  </w:style>
  <w:style w:type="paragraph" w:customStyle="1" w:styleId="CustomParagraph2">
    <w:name w:val="_Custom Paragraph 2"/>
    <w:basedOn w:val="Normal0"/>
    <w:pPr>
      <w:spacing w:after="240"/>
    </w:pPr>
  </w:style>
  <w:style w:type="paragraph" w:customStyle="1" w:styleId="CustomParagraph3">
    <w:name w:val="_Custom Paragraph 3"/>
    <w:basedOn w:val="Normal0"/>
    <w:pPr>
      <w:spacing w:after="240"/>
    </w:pPr>
  </w:style>
  <w:style w:type="paragraph" w:customStyle="1" w:styleId="CustomParagraph4">
    <w:name w:val="_Custom Paragraph 4"/>
    <w:basedOn w:val="Normal0"/>
    <w:pPr>
      <w:spacing w:after="240"/>
    </w:pPr>
  </w:style>
  <w:style w:type="paragraph" w:customStyle="1" w:styleId="CustomParagraph5">
    <w:name w:val="_Custom Paragraph 5"/>
    <w:basedOn w:val="Normal0"/>
    <w:pPr>
      <w:spacing w:after="240"/>
    </w:pPr>
  </w:style>
  <w:style w:type="paragraph" w:customStyle="1" w:styleId="CustomParagraph6">
    <w:name w:val="_Custom Paragraph 6"/>
    <w:basedOn w:val="Normal0"/>
    <w:pPr>
      <w:spacing w:after="240"/>
    </w:pPr>
  </w:style>
  <w:style w:type="paragraph" w:customStyle="1" w:styleId="HdgCenter">
    <w:name w:val="_Hdg Center"/>
    <w:basedOn w:val="Normal0"/>
    <w:pPr>
      <w:keepNext/>
      <w:keepLines/>
      <w:spacing w:after="240"/>
      <w:jc w:val="center"/>
    </w:pPr>
  </w:style>
  <w:style w:type="paragraph" w:customStyle="1" w:styleId="HdgCenterBold">
    <w:name w:val="_Hdg Center Bold"/>
    <w:basedOn w:val="Normal0"/>
    <w:pPr>
      <w:keepNext/>
      <w:keepLines/>
      <w:spacing w:after="240"/>
      <w:jc w:val="center"/>
    </w:pPr>
    <w:rPr>
      <w:b/>
    </w:rPr>
  </w:style>
  <w:style w:type="paragraph" w:customStyle="1" w:styleId="HdgCenterBold-Italic">
    <w:name w:val="_Hdg Center Bold-Italic"/>
    <w:basedOn w:val="Normal0"/>
    <w:pPr>
      <w:keepNext/>
      <w:keepLines/>
      <w:spacing w:after="240"/>
      <w:jc w:val="center"/>
    </w:pPr>
    <w:rPr>
      <w:b/>
      <w:i/>
    </w:rPr>
  </w:style>
  <w:style w:type="paragraph" w:customStyle="1" w:styleId="HdgCenterBold-Und">
    <w:name w:val="_Hdg Center Bold-Und"/>
    <w:basedOn w:val="Normal0"/>
    <w:pPr>
      <w:keepNext/>
      <w:keepLines/>
      <w:spacing w:after="240"/>
      <w:jc w:val="center"/>
    </w:pPr>
    <w:rPr>
      <w:b/>
      <w:u w:val="single"/>
    </w:rPr>
  </w:style>
  <w:style w:type="paragraph" w:customStyle="1" w:styleId="HdgCenterBold-Und-Italic">
    <w:name w:val="_Hdg Center Bold-Und-Italic"/>
    <w:basedOn w:val="Normal0"/>
    <w:pPr>
      <w:keepNext/>
      <w:keepLines/>
      <w:spacing w:after="240"/>
      <w:jc w:val="center"/>
    </w:pPr>
    <w:rPr>
      <w:b/>
      <w:i/>
      <w:u w:val="single"/>
    </w:rPr>
  </w:style>
  <w:style w:type="paragraph" w:customStyle="1" w:styleId="HdgCenterItalic">
    <w:name w:val="_Hdg Center Italic"/>
    <w:basedOn w:val="Normal0"/>
    <w:pPr>
      <w:keepNext/>
      <w:keepLines/>
      <w:spacing w:after="240"/>
      <w:jc w:val="center"/>
    </w:pPr>
    <w:rPr>
      <w:i/>
    </w:rPr>
  </w:style>
  <w:style w:type="paragraph" w:customStyle="1" w:styleId="HdgCenterUnd">
    <w:name w:val="_Hdg Center Und"/>
    <w:basedOn w:val="Normal0"/>
    <w:pPr>
      <w:keepNext/>
      <w:keepLines/>
      <w:spacing w:after="240"/>
      <w:jc w:val="center"/>
    </w:pPr>
    <w:rPr>
      <w:u w:val="single"/>
    </w:rPr>
  </w:style>
  <w:style w:type="paragraph" w:customStyle="1" w:styleId="HdgLeft">
    <w:name w:val="_Hdg Left"/>
    <w:basedOn w:val="Normal0"/>
    <w:pPr>
      <w:keepNext/>
      <w:keepLines/>
      <w:spacing w:after="240"/>
    </w:pPr>
  </w:style>
  <w:style w:type="paragraph" w:customStyle="1" w:styleId="HdgLeftBold">
    <w:name w:val="_Hdg Left Bold"/>
    <w:basedOn w:val="Normal0"/>
    <w:pPr>
      <w:keepNext/>
      <w:keepLines/>
      <w:spacing w:after="240"/>
    </w:pPr>
    <w:rPr>
      <w:b/>
    </w:rPr>
  </w:style>
  <w:style w:type="paragraph" w:customStyle="1" w:styleId="HdgLeftBold-Italic">
    <w:name w:val="_Hdg Left Bold-Italic"/>
    <w:basedOn w:val="Normal0"/>
    <w:pPr>
      <w:keepNext/>
      <w:keepLines/>
      <w:spacing w:after="240"/>
    </w:pPr>
    <w:rPr>
      <w:b/>
      <w:i/>
    </w:rPr>
  </w:style>
  <w:style w:type="paragraph" w:customStyle="1" w:styleId="HdgLeftBold-Und">
    <w:name w:val="_Hdg Left Bold-Und"/>
    <w:basedOn w:val="Normal0"/>
    <w:pPr>
      <w:keepNext/>
      <w:keepLines/>
      <w:spacing w:after="240"/>
    </w:pPr>
    <w:rPr>
      <w:b/>
      <w:u w:val="single"/>
    </w:rPr>
  </w:style>
  <w:style w:type="paragraph" w:customStyle="1" w:styleId="HdgLeftBold-Und-Italic">
    <w:name w:val="_Hdg Left Bold-Und-Italic"/>
    <w:basedOn w:val="Normal0"/>
    <w:pPr>
      <w:keepNext/>
      <w:keepLines/>
      <w:spacing w:after="240"/>
    </w:pPr>
    <w:rPr>
      <w:b/>
      <w:i/>
      <w:u w:val="single"/>
    </w:rPr>
  </w:style>
  <w:style w:type="paragraph" w:customStyle="1" w:styleId="HdgLeftItalic">
    <w:name w:val="_Hdg Left Italic"/>
    <w:basedOn w:val="Normal0"/>
    <w:pPr>
      <w:keepNext/>
      <w:keepLines/>
      <w:spacing w:after="240"/>
    </w:pPr>
    <w:rPr>
      <w:i/>
    </w:rPr>
  </w:style>
  <w:style w:type="paragraph" w:customStyle="1" w:styleId="HdgLeftUnd">
    <w:name w:val="_Hdg Left Und"/>
    <w:basedOn w:val="Normal0"/>
    <w:pPr>
      <w:keepNext/>
      <w:keepLines/>
      <w:spacing w:after="240"/>
    </w:pPr>
    <w:rPr>
      <w:u w:val="single"/>
    </w:rPr>
  </w:style>
  <w:style w:type="paragraph" w:customStyle="1" w:styleId="HdgRight">
    <w:name w:val="_Hdg Right"/>
    <w:basedOn w:val="Normal0"/>
    <w:pPr>
      <w:keepNext/>
      <w:keepLines/>
      <w:spacing w:after="240"/>
      <w:jc w:val="right"/>
    </w:pPr>
  </w:style>
  <w:style w:type="paragraph" w:customStyle="1" w:styleId="HdgRightBold">
    <w:name w:val="_Hdg Right Bold"/>
    <w:basedOn w:val="Normal0"/>
    <w:pPr>
      <w:keepNext/>
      <w:keepLines/>
      <w:spacing w:after="240"/>
      <w:jc w:val="right"/>
    </w:pPr>
    <w:rPr>
      <w:b/>
    </w:rPr>
  </w:style>
  <w:style w:type="paragraph" w:customStyle="1" w:styleId="HdgRightBold-Italic">
    <w:name w:val="_Hdg Right Bold-Italic"/>
    <w:basedOn w:val="Normal0"/>
    <w:pPr>
      <w:keepNext/>
      <w:keepLines/>
      <w:spacing w:after="240"/>
      <w:jc w:val="right"/>
    </w:pPr>
    <w:rPr>
      <w:b/>
      <w:i/>
    </w:rPr>
  </w:style>
  <w:style w:type="paragraph" w:customStyle="1" w:styleId="HdgRightBold-Und">
    <w:name w:val="_Hdg Right Bold-Und"/>
    <w:basedOn w:val="Normal0"/>
    <w:pPr>
      <w:keepNext/>
      <w:keepLines/>
      <w:spacing w:after="240"/>
      <w:jc w:val="right"/>
    </w:pPr>
    <w:rPr>
      <w:b/>
      <w:u w:val="single"/>
    </w:rPr>
  </w:style>
  <w:style w:type="paragraph" w:customStyle="1" w:styleId="HdgRightBold-Und-Italic">
    <w:name w:val="_Hdg Right Bold-Und-Italic"/>
    <w:basedOn w:val="Normal0"/>
    <w:pPr>
      <w:keepNext/>
      <w:keepLines/>
      <w:spacing w:after="240"/>
      <w:jc w:val="right"/>
    </w:pPr>
    <w:rPr>
      <w:b/>
      <w:i/>
      <w:u w:val="single"/>
    </w:rPr>
  </w:style>
  <w:style w:type="paragraph" w:customStyle="1" w:styleId="HdgRightItalic">
    <w:name w:val="_Hdg Right Italic"/>
    <w:basedOn w:val="Normal0"/>
    <w:pPr>
      <w:keepNext/>
      <w:keepLines/>
      <w:spacing w:after="240"/>
      <w:jc w:val="right"/>
    </w:pPr>
    <w:rPr>
      <w:i/>
    </w:rPr>
  </w:style>
  <w:style w:type="paragraph" w:customStyle="1" w:styleId="HdgRightUnd">
    <w:name w:val="_Hdg Right Und"/>
    <w:basedOn w:val="Normal0"/>
    <w:pPr>
      <w:keepNext/>
      <w:keepLines/>
      <w:spacing w:after="240"/>
      <w:jc w:val="right"/>
    </w:pPr>
    <w:rPr>
      <w:u w:val="single"/>
    </w:rPr>
  </w:style>
  <w:style w:type="paragraph" w:customStyle="1" w:styleId="Index">
    <w:name w:val="_Index"/>
    <w:basedOn w:val="Normal0"/>
    <w:pPr>
      <w:tabs>
        <w:tab w:val="right" w:pos="9360"/>
      </w:tabs>
    </w:pPr>
  </w:style>
  <w:style w:type="paragraph" w:customStyle="1" w:styleId="IndexDotLeaders">
    <w:name w:val="_Index Dot Leaders"/>
    <w:basedOn w:val="Normal0"/>
    <w:pPr>
      <w:tabs>
        <w:tab w:val="right" w:leader="dot" w:pos="8928"/>
        <w:tab w:val="right" w:pos="9350"/>
      </w:tabs>
    </w:pPr>
  </w:style>
  <w:style w:type="paragraph" w:customStyle="1" w:styleId="Non-NumberedHdg1">
    <w:name w:val="_Non-Numbered Hdg 1"/>
    <w:basedOn w:val="Normal0"/>
    <w:pPr>
      <w:keepNext/>
      <w:keepLines/>
      <w:spacing w:after="240"/>
      <w:jc w:val="center"/>
      <w:outlineLvl w:val="0"/>
    </w:pPr>
    <w:rPr>
      <w:b/>
      <w:u w:val="single"/>
    </w:rPr>
  </w:style>
  <w:style w:type="paragraph" w:customStyle="1" w:styleId="Non-NumberedHdg2">
    <w:name w:val="_Non-Numbered Hdg 2"/>
    <w:basedOn w:val="Normal0"/>
    <w:pPr>
      <w:keepNext/>
      <w:keepLines/>
      <w:spacing w:after="240"/>
      <w:outlineLvl w:val="1"/>
    </w:pPr>
    <w:rPr>
      <w:b/>
      <w:u w:val="single"/>
    </w:rPr>
  </w:style>
  <w:style w:type="paragraph" w:customStyle="1" w:styleId="Non-NumberedHdg3">
    <w:name w:val="_Non-Numbered Hdg 3"/>
    <w:basedOn w:val="Normal0"/>
    <w:pPr>
      <w:keepNext/>
      <w:keepLines/>
      <w:spacing w:after="240"/>
      <w:ind w:left="720"/>
      <w:outlineLvl w:val="2"/>
    </w:pPr>
    <w:rPr>
      <w:u w:val="single"/>
    </w:rPr>
  </w:style>
  <w:style w:type="paragraph" w:customStyle="1" w:styleId="TableCentered">
    <w:name w:val="_Table Centered"/>
    <w:basedOn w:val="Normal0"/>
    <w:pPr>
      <w:jc w:val="center"/>
    </w:pPr>
  </w:style>
  <w:style w:type="paragraph" w:customStyle="1" w:styleId="TableDecimalAlign">
    <w:name w:val="_Table Decimal Align"/>
    <w:basedOn w:val="Normal0"/>
    <w:pPr>
      <w:tabs>
        <w:tab w:val="decimal" w:pos="1080"/>
      </w:tabs>
    </w:pPr>
  </w:style>
  <w:style w:type="paragraph" w:customStyle="1" w:styleId="TableDotLeader">
    <w:name w:val="_Table Dot Leader"/>
    <w:basedOn w:val="Normal0"/>
    <w:pPr>
      <w:tabs>
        <w:tab w:val="right" w:leader="dot" w:pos="2160"/>
      </w:tabs>
    </w:pPr>
  </w:style>
  <w:style w:type="paragraph" w:customStyle="1" w:styleId="TableHeadingCentered">
    <w:name w:val="_Table Heading Centered"/>
    <w:basedOn w:val="Normal0"/>
    <w:pPr>
      <w:keepNext/>
      <w:keepLines/>
      <w:jc w:val="center"/>
    </w:pPr>
    <w:rPr>
      <w:b/>
    </w:rPr>
  </w:style>
  <w:style w:type="paragraph" w:customStyle="1" w:styleId="TableHeadingLeft">
    <w:name w:val="_Table Heading Left"/>
    <w:basedOn w:val="Normal0"/>
    <w:pPr>
      <w:keepNext/>
      <w:keepLines/>
    </w:pPr>
    <w:rPr>
      <w:b/>
    </w:rPr>
  </w:style>
  <w:style w:type="paragraph" w:customStyle="1" w:styleId="TableHeadingRight">
    <w:name w:val="_Table Heading Right"/>
    <w:basedOn w:val="Normal0"/>
    <w:pPr>
      <w:keepNext/>
      <w:keepLines/>
      <w:jc w:val="right"/>
    </w:pPr>
    <w:rPr>
      <w:b/>
    </w:rPr>
  </w:style>
  <w:style w:type="paragraph" w:customStyle="1" w:styleId="TableLeftAlign">
    <w:name w:val="_Table Left Align"/>
    <w:basedOn w:val="Normal0"/>
  </w:style>
  <w:style w:type="paragraph" w:customStyle="1" w:styleId="TableRightAlign">
    <w:name w:val="_Table Right Align"/>
    <w:basedOn w:val="Normal0"/>
    <w:pPr>
      <w:jc w:val="right"/>
    </w:p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left="720" w:hanging="720"/>
    </w:pPr>
  </w:style>
  <w:style w:type="character" w:customStyle="1" w:styleId="FootnoteTextChar">
    <w:name w:val="Footnote Text Char"/>
    <w:basedOn w:val="DefaultParagraphFont"/>
    <w:link w:val="FootnoteText"/>
    <w:rPr>
      <w:rFonts w:ascii="Times New Roman" w:eastAsia="Times New Roman" w:hAnsi="Times New Roman" w:cs="Times New Roman"/>
      <w:sz w:val="24"/>
      <w:szCs w:val="20"/>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4"/>
      <w:szCs w:val="20"/>
    </w:rPr>
  </w:style>
  <w:style w:type="paragraph" w:styleId="TOC1">
    <w:name w:val="toc 1"/>
    <w:basedOn w:val="Normal"/>
    <w:next w:val="Normal"/>
    <w:autoRedefine/>
    <w:pPr>
      <w:tabs>
        <w:tab w:val="left" w:pos="720"/>
        <w:tab w:val="right" w:leader="dot" w:pos="9350"/>
      </w:tabs>
      <w:spacing w:before="240"/>
      <w:ind w:left="720" w:right="720" w:hanging="720"/>
    </w:pPr>
    <w:rPr>
      <w:szCs w:val="24"/>
    </w:rPr>
  </w:style>
  <w:style w:type="paragraph" w:styleId="TOC2">
    <w:name w:val="toc 2"/>
    <w:basedOn w:val="Normal"/>
    <w:next w:val="Normal"/>
    <w:autoRedefine/>
    <w:pPr>
      <w:tabs>
        <w:tab w:val="left" w:pos="1440"/>
        <w:tab w:val="left" w:pos="2160"/>
        <w:tab w:val="right" w:leader="dot" w:pos="9350"/>
      </w:tabs>
      <w:ind w:left="1440" w:right="720" w:hanging="720"/>
    </w:pPr>
    <w:rPr>
      <w:b/>
      <w:szCs w:val="24"/>
    </w:rPr>
  </w:style>
  <w:style w:type="paragraph" w:styleId="TOC3">
    <w:name w:val="toc 3"/>
    <w:basedOn w:val="Normal"/>
    <w:next w:val="Normal"/>
    <w:autoRedefine/>
    <w:pPr>
      <w:tabs>
        <w:tab w:val="left" w:pos="2160"/>
        <w:tab w:val="right" w:leader="dot" w:pos="9350"/>
      </w:tabs>
      <w:ind w:left="2160" w:right="720" w:hanging="720"/>
    </w:pPr>
    <w:rPr>
      <w:szCs w:val="24"/>
    </w:rPr>
  </w:style>
  <w:style w:type="paragraph" w:styleId="TOC4">
    <w:name w:val="toc 4"/>
    <w:basedOn w:val="Normal"/>
    <w:next w:val="Normal"/>
    <w:autoRedefine/>
    <w:pPr>
      <w:tabs>
        <w:tab w:val="left" w:pos="2880"/>
        <w:tab w:val="right" w:leader="dot" w:pos="9350"/>
      </w:tabs>
      <w:ind w:left="2880" w:right="720" w:hanging="720"/>
    </w:pPr>
    <w:rPr>
      <w:szCs w:val="24"/>
    </w:rPr>
  </w:style>
  <w:style w:type="paragraph" w:styleId="TOC5">
    <w:name w:val="toc 5"/>
    <w:basedOn w:val="Normal"/>
    <w:next w:val="Normal"/>
    <w:autoRedefine/>
    <w:pPr>
      <w:tabs>
        <w:tab w:val="left" w:pos="3600"/>
        <w:tab w:val="right" w:leader="dot" w:pos="9350"/>
      </w:tabs>
      <w:ind w:left="3600" w:right="720" w:hanging="720"/>
    </w:pPr>
    <w:rPr>
      <w:szCs w:val="24"/>
    </w:rPr>
  </w:style>
  <w:style w:type="paragraph" w:styleId="TOC6">
    <w:name w:val="toc 6"/>
    <w:basedOn w:val="Normal"/>
    <w:next w:val="Normal"/>
    <w:autoRedefine/>
    <w:pPr>
      <w:tabs>
        <w:tab w:val="left" w:pos="4320"/>
        <w:tab w:val="right" w:leader="dot" w:pos="9350"/>
      </w:tabs>
      <w:ind w:left="4320" w:right="720" w:hanging="720"/>
    </w:pPr>
    <w:rPr>
      <w:szCs w:val="24"/>
    </w:rPr>
  </w:style>
  <w:style w:type="paragraph" w:styleId="TOC7">
    <w:name w:val="toc 7"/>
    <w:basedOn w:val="Normal"/>
    <w:next w:val="Normal"/>
    <w:autoRedefine/>
    <w:pPr>
      <w:tabs>
        <w:tab w:val="left" w:pos="5040"/>
        <w:tab w:val="right" w:leader="dot" w:pos="9350"/>
      </w:tabs>
      <w:ind w:left="5040" w:right="720" w:hanging="720"/>
    </w:pPr>
    <w:rPr>
      <w:szCs w:val="24"/>
    </w:rPr>
  </w:style>
  <w:style w:type="paragraph" w:styleId="TOC8">
    <w:name w:val="toc 8"/>
    <w:basedOn w:val="Normal"/>
    <w:next w:val="Normal"/>
    <w:autoRedefine/>
    <w:pPr>
      <w:tabs>
        <w:tab w:val="left" w:pos="5760"/>
        <w:tab w:val="right" w:leader="dot" w:pos="9350"/>
      </w:tabs>
      <w:ind w:left="5760" w:right="720" w:hanging="720"/>
    </w:pPr>
    <w:rPr>
      <w:szCs w:val="24"/>
    </w:rPr>
  </w:style>
  <w:style w:type="paragraph" w:styleId="TOC9">
    <w:name w:val="toc 9"/>
    <w:basedOn w:val="Normal"/>
    <w:next w:val="Normal"/>
    <w:autoRedefine/>
    <w:pPr>
      <w:tabs>
        <w:tab w:val="left" w:pos="6147"/>
        <w:tab w:val="left" w:pos="6480"/>
        <w:tab w:val="right" w:leader="dot" w:pos="9350"/>
      </w:tabs>
      <w:ind w:left="6480" w:right="720" w:hanging="720"/>
    </w:pPr>
    <w:rPr>
      <w:szCs w:val="24"/>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ascii="Times New Roman" w:eastAsia="SimSun" w:hAnsi="Times New Roman" w:cs="Times New Roman"/>
      <w:sz w:val="20"/>
      <w:szCs w:val="20"/>
      <w:lang w:val="x-non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ascii="Times New Roman" w:eastAsia="SimSun" w:hAnsi="Times New Roman" w:cs="Times New Roman"/>
      <w:b/>
      <w:sz w:val="20"/>
      <w:szCs w:val="20"/>
      <w:lang w:val="x-none"/>
    </w:rPr>
  </w:style>
  <w:style w:type="paragraph" w:styleId="ListParagraph">
    <w:name w:val="List Paragraph"/>
    <w:basedOn w:val="Normal"/>
    <w:uiPriority w:val="34"/>
    <w:qFormat/>
    <w:pPr>
      <w:spacing w:after="160" w:line="259" w:lineRule="auto"/>
      <w:ind w:left="720"/>
      <w:contextualSpacing/>
    </w:pPr>
    <w:rPr>
      <w:rFonts w:asciiTheme="minorHAnsi" w:eastAsiaTheme="minorEastAsia" w:hAnsiTheme="minorHAnsi"/>
      <w:szCs w:val="22"/>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eastAsia="SimSun" w:hAnsi="Segoe UI" w:cs="Segoe UI"/>
      <w:sz w:val="18"/>
      <w:szCs w:val="18"/>
      <w:lang w:val="x-none"/>
    </w:rPr>
  </w:style>
  <w:style w:type="character" w:customStyle="1" w:styleId="Heading1Char">
    <w:name w:val="Heading 1 Char"/>
    <w:aliases w:val="H1 Char"/>
    <w:basedOn w:val="DefaultParagraphFont"/>
    <w:link w:val="Heading1"/>
    <w:rPr>
      <w:rFonts w:ascii="Times New Roman" w:eastAsia="Times New Roman" w:hAnsi="Times New Roman" w:cs="Times New Roman"/>
      <w:sz w:val="24"/>
      <w:szCs w:val="20"/>
    </w:rPr>
  </w:style>
  <w:style w:type="paragraph" w:styleId="BodyText">
    <w:name w:val="Body Text"/>
    <w:basedOn w:val="Normal"/>
    <w:next w:val="10sp1"/>
    <w:link w:val="BodyTextChar"/>
    <w:uiPriority w:val="99"/>
    <w:rPr>
      <w:rFonts w:eastAsiaTheme="minorEastAsia"/>
      <w:sz w:val="18"/>
    </w:rPr>
  </w:style>
  <w:style w:type="character" w:customStyle="1" w:styleId="BodyTextChar">
    <w:name w:val="Body Text Char"/>
    <w:basedOn w:val="DefaultParagraphFont"/>
    <w:link w:val="BodyText"/>
    <w:uiPriority w:val="99"/>
    <w:semiHidden/>
    <w:rPr>
      <w:rFonts w:ascii="Times New Roman" w:eastAsia="SimSun" w:hAnsi="Times New Roman" w:cs="Times New Roman"/>
      <w:szCs w:val="24"/>
    </w:rPr>
  </w:style>
  <w:style w:type="paragraph" w:styleId="DocumentMap">
    <w:name w:val="Document Map"/>
    <w:basedOn w:val="Normal"/>
    <w:next w:val="10spHanging15"/>
    <w:link w:val="DocumentMapChar"/>
    <w:uiPriority w:val="99"/>
    <w:pPr>
      <w:shd w:val="clear" w:color="auto" w:fill="000080"/>
    </w:pPr>
    <w:rPr>
      <w:rFonts w:ascii="Tahoma" w:eastAsiaTheme="minorEastAsia" w:hAnsi="Tahoma"/>
    </w:rPr>
  </w:style>
  <w:style w:type="character" w:customStyle="1" w:styleId="DocumentMapChar">
    <w:name w:val="Document Map Char"/>
    <w:basedOn w:val="DefaultParagraphFont"/>
    <w:link w:val="DocumentMap"/>
    <w:uiPriority w:val="99"/>
    <w:semiHidden/>
    <w:rPr>
      <w:rFonts w:ascii="Segoe UI" w:eastAsia="SimSun" w:hAnsi="Segoe UI" w:cs="Segoe UI"/>
      <w:sz w:val="16"/>
      <w:szCs w:val="16"/>
    </w:rPr>
  </w:style>
  <w:style w:type="character" w:customStyle="1" w:styleId="Heading2Char">
    <w:name w:val="Heading 2 Char"/>
    <w:aliases w:val="H2 Char"/>
    <w:basedOn w:val="DefaultParagraphFont"/>
    <w:link w:val="Heading2"/>
    <w:rPr>
      <w:rFonts w:ascii="Times New Roman" w:eastAsia="Times New Roman" w:hAnsi="Times New Roman" w:cs="Times New Roman"/>
      <w:sz w:val="24"/>
      <w:szCs w:val="20"/>
    </w:rPr>
  </w:style>
  <w:style w:type="character" w:customStyle="1" w:styleId="Heading4Char">
    <w:name w:val="Heading 4 Char"/>
    <w:aliases w:val="H4 Char"/>
    <w:basedOn w:val="DefaultParagraphFont"/>
    <w:link w:val="Heading4"/>
    <w:rPr>
      <w:rFonts w:ascii="Times New Roman" w:eastAsia="Times New Roman" w:hAnsi="Times New Roman" w:cs="Times New Roman"/>
      <w:sz w:val="24"/>
      <w:szCs w:val="20"/>
    </w:rPr>
  </w:style>
  <w:style w:type="character" w:customStyle="1" w:styleId="Heading5Char">
    <w:name w:val="Heading 5 Char"/>
    <w:aliases w:val="H5 Char"/>
    <w:basedOn w:val="DefaultParagraphFont"/>
    <w:link w:val="Heading5"/>
    <w:rPr>
      <w:rFonts w:ascii="Times New Roman" w:eastAsia="Times New Roman" w:hAnsi="Times New Roman" w:cs="Times New Roman"/>
      <w:sz w:val="24"/>
      <w:szCs w:val="20"/>
    </w:rPr>
  </w:style>
  <w:style w:type="character" w:customStyle="1" w:styleId="Heading6Char">
    <w:name w:val="Heading 6 Char"/>
    <w:aliases w:val="H6 Char"/>
    <w:basedOn w:val="DefaultParagraphFont"/>
    <w:link w:val="Heading6"/>
    <w:rPr>
      <w:rFonts w:ascii="Times New Roman" w:eastAsia="Times New Roman" w:hAnsi="Times New Roman" w:cs="Times New Roman"/>
      <w:sz w:val="24"/>
      <w:szCs w:val="20"/>
    </w:rPr>
  </w:style>
  <w:style w:type="character" w:customStyle="1" w:styleId="Heading7Char">
    <w:name w:val="Heading 7 Char"/>
    <w:aliases w:val="H7 Char"/>
    <w:basedOn w:val="DefaultParagraphFont"/>
    <w:link w:val="Heading7"/>
    <w:rPr>
      <w:rFonts w:ascii="Times New Roman" w:eastAsia="Times New Roman" w:hAnsi="Times New Roman" w:cs="Times New Roman"/>
      <w:sz w:val="24"/>
      <w:szCs w:val="20"/>
    </w:rPr>
  </w:style>
  <w:style w:type="character" w:customStyle="1" w:styleId="Heading8Char">
    <w:name w:val="Heading 8 Char"/>
    <w:aliases w:val="H8 Char"/>
    <w:basedOn w:val="DefaultParagraphFont"/>
    <w:link w:val="Heading8"/>
    <w:rPr>
      <w:rFonts w:ascii="Times New Roman" w:eastAsia="Times New Roman" w:hAnsi="Times New Roman" w:cs="Times New Roman"/>
      <w:sz w:val="24"/>
      <w:szCs w:val="20"/>
    </w:rPr>
  </w:style>
  <w:style w:type="character" w:customStyle="1" w:styleId="Heading9Char">
    <w:name w:val="Heading 9 Char"/>
    <w:aliases w:val="H9 Char"/>
    <w:basedOn w:val="DefaultParagraphFont"/>
    <w:link w:val="Heading9"/>
    <w:rPr>
      <w:rFonts w:ascii="Times New Roman" w:eastAsia="Times New Roman" w:hAnsi="Times New Roman" w:cs="Times New Roman"/>
      <w:sz w:val="24"/>
      <w:szCs w:val="20"/>
    </w:r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rPr>
  </w:style>
  <w:style w:type="character" w:styleId="PageNumber">
    <w:name w:val="page number"/>
    <w:basedOn w:val="DefaultParagraphFont"/>
    <w:semiHidden/>
  </w:style>
  <w:style w:type="paragraph" w:customStyle="1" w:styleId="FBlockQuote">
    <w:name w:val="FBlockQuote"/>
    <w:aliases w:val="BQ"/>
    <w:basedOn w:val="Normal"/>
    <w:next w:val="FBodyMain"/>
    <w:pPr>
      <w:spacing w:before="240"/>
      <w:ind w:left="720" w:right="720"/>
    </w:pPr>
  </w:style>
  <w:style w:type="paragraph" w:customStyle="1" w:styleId="FBodyMain">
    <w:name w:val="FBodyMain"/>
    <w:aliases w:val="BM"/>
    <w:basedOn w:val="Normal"/>
    <w:pPr>
      <w:spacing w:before="240"/>
    </w:pPr>
  </w:style>
  <w:style w:type="paragraph" w:customStyle="1" w:styleId="FClosingRight">
    <w:name w:val="FClosingRight"/>
    <w:aliases w:val="CR"/>
    <w:basedOn w:val="Normal"/>
    <w:next w:val="FBodyMain"/>
    <w:pPr>
      <w:keepNext/>
      <w:spacing w:before="240"/>
      <w:ind w:left="5040"/>
    </w:pPr>
  </w:style>
  <w:style w:type="paragraph" w:customStyle="1" w:styleId="FHeadingRight">
    <w:name w:val="FHeadingRight"/>
    <w:aliases w:val="HR"/>
    <w:basedOn w:val="Normal"/>
    <w:next w:val="FBodyMain"/>
    <w:pPr>
      <w:spacing w:before="240"/>
      <w:jc w:val="right"/>
    </w:pPr>
  </w:style>
  <w:style w:type="paragraph" w:customStyle="1" w:styleId="FNotice">
    <w:name w:val="FNotice"/>
    <w:aliases w:val="FN"/>
    <w:basedOn w:val="Normal"/>
    <w:next w:val="FBodyMain"/>
    <w:pPr>
      <w:keepLines/>
      <w:spacing w:before="240"/>
      <w:ind w:left="2160" w:hanging="720"/>
    </w:pPr>
  </w:style>
  <w:style w:type="paragraph" w:customStyle="1" w:styleId="FHeadingCentered">
    <w:name w:val="FHeadingCentered"/>
    <w:aliases w:val="HC"/>
    <w:basedOn w:val="Normal"/>
    <w:next w:val="FBodyMain"/>
    <w:pPr>
      <w:spacing w:before="240"/>
      <w:jc w:val="center"/>
    </w:pPr>
    <w:rPr>
      <w:b/>
    </w:rPr>
  </w:style>
  <w:style w:type="paragraph" w:customStyle="1" w:styleId="FBodyContd">
    <w:name w:val="FBodyContd"/>
    <w:aliases w:val="BC"/>
    <w:basedOn w:val="Normal"/>
    <w:next w:val="FBodyMain"/>
    <w:pPr>
      <w:spacing w:before="240"/>
    </w:pPr>
  </w:style>
  <w:style w:type="paragraph" w:customStyle="1" w:styleId="FHeadingLeft">
    <w:name w:val="FHeadingLeft"/>
    <w:aliases w:val="HL"/>
    <w:basedOn w:val="Normal"/>
    <w:next w:val="FBodyMain"/>
    <w:pPr>
      <w:keepNext/>
      <w:spacing w:before="240"/>
    </w:pPr>
  </w:style>
  <w:style w:type="paragraph" w:customStyle="1" w:styleId="FClosingLeft">
    <w:name w:val="FClosingLeft"/>
    <w:aliases w:val="CL"/>
    <w:basedOn w:val="Normal"/>
    <w:next w:val="FBodyMain"/>
    <w:pPr>
      <w:spacing w:before="240"/>
    </w:pPr>
  </w:style>
  <w:style w:type="paragraph" w:customStyle="1" w:styleId="Fwitnesseth">
    <w:name w:val="Fwitnesseth"/>
    <w:aliases w:val="FW"/>
    <w:basedOn w:val="Normal"/>
    <w:next w:val="FBodyMain"/>
    <w:pPr>
      <w:spacing w:before="240"/>
      <w:jc w:val="center"/>
    </w:pPr>
    <w:rPr>
      <w:u w:val="words"/>
    </w:rPr>
  </w:style>
  <w:style w:type="paragraph" w:customStyle="1" w:styleId="FBodyMainDouble">
    <w:name w:val="FBodyMainDouble"/>
    <w:aliases w:val="BD"/>
    <w:basedOn w:val="Normal"/>
    <w:pPr>
      <w:spacing w:line="540" w:lineRule="exact"/>
    </w:pPr>
  </w:style>
  <w:style w:type="paragraph" w:customStyle="1" w:styleId="FHeadingCenteredTOC">
    <w:name w:val="FHeadingCenteredTOC"/>
    <w:aliases w:val="HT"/>
    <w:basedOn w:val="Normal"/>
    <w:pPr>
      <w:keepNext/>
      <w:spacing w:before="240"/>
      <w:jc w:val="center"/>
    </w:pPr>
    <w:rPr>
      <w:b/>
      <w:bCs/>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rPr>
  </w:style>
  <w:style w:type="paragraph" w:customStyle="1" w:styleId="Normal00">
    <w:name w:val="Normal0"/>
    <w:qFormat/>
    <w:pPr>
      <w:widowControl w:val="0"/>
      <w:autoSpaceDE w:val="0"/>
      <w:autoSpaceDN w:val="0"/>
      <w:adjustRightInd w:val="0"/>
      <w:spacing w:after="0" w:line="240" w:lineRule="auto"/>
    </w:pPr>
    <w:rPr>
      <w:rFonts w:ascii="Times NewRoman" w:eastAsia="Times" w:hAnsi="Times NewRoman"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9579">
      <w:bodyDiv w:val="1"/>
      <w:marLeft w:val="0"/>
      <w:marRight w:val="0"/>
      <w:marTop w:val="0"/>
      <w:marBottom w:val="0"/>
      <w:divBdr>
        <w:top w:val="none" w:sz="0" w:space="0" w:color="auto"/>
        <w:left w:val="none" w:sz="0" w:space="0" w:color="auto"/>
        <w:bottom w:val="none" w:sz="0" w:space="0" w:color="auto"/>
        <w:right w:val="none" w:sz="0" w:space="0" w:color="auto"/>
      </w:divBdr>
      <w:divsChild>
        <w:div w:id="770129988">
          <w:marLeft w:val="0"/>
          <w:marRight w:val="0"/>
          <w:marTop w:val="0"/>
          <w:marBottom w:val="0"/>
          <w:divBdr>
            <w:top w:val="none" w:sz="0" w:space="0" w:color="auto"/>
            <w:left w:val="none" w:sz="0" w:space="0" w:color="auto"/>
            <w:bottom w:val="none" w:sz="0" w:space="0" w:color="auto"/>
            <w:right w:val="none" w:sz="0" w:space="0" w:color="auto"/>
          </w:divBdr>
          <w:divsChild>
            <w:div w:id="457796320">
              <w:marLeft w:val="0"/>
              <w:marRight w:val="0"/>
              <w:marTop w:val="0"/>
              <w:marBottom w:val="0"/>
              <w:divBdr>
                <w:top w:val="none" w:sz="0" w:space="0" w:color="auto"/>
                <w:left w:val="none" w:sz="0" w:space="0" w:color="auto"/>
                <w:bottom w:val="none" w:sz="0" w:space="0" w:color="auto"/>
                <w:right w:val="none" w:sz="0" w:space="0" w:color="auto"/>
              </w:divBdr>
              <w:divsChild>
                <w:div w:id="1184513645">
                  <w:marLeft w:val="0"/>
                  <w:marRight w:val="0"/>
                  <w:marTop w:val="0"/>
                  <w:marBottom w:val="0"/>
                  <w:divBdr>
                    <w:top w:val="none" w:sz="0" w:space="0" w:color="auto"/>
                    <w:left w:val="none" w:sz="0" w:space="0" w:color="auto"/>
                    <w:bottom w:val="none" w:sz="0" w:space="0" w:color="auto"/>
                    <w:right w:val="none" w:sz="0" w:space="0" w:color="auto"/>
                  </w:divBdr>
                  <w:divsChild>
                    <w:div w:id="2135561933">
                      <w:marLeft w:val="0"/>
                      <w:marRight w:val="0"/>
                      <w:marTop w:val="0"/>
                      <w:marBottom w:val="0"/>
                      <w:divBdr>
                        <w:top w:val="none" w:sz="0" w:space="0" w:color="auto"/>
                        <w:left w:val="none" w:sz="0" w:space="0" w:color="auto"/>
                        <w:bottom w:val="none" w:sz="0" w:space="0" w:color="auto"/>
                        <w:right w:val="none" w:sz="0" w:space="0" w:color="auto"/>
                      </w:divBdr>
                    </w:div>
                  </w:divsChild>
                </w:div>
                <w:div w:id="401877502">
                  <w:marLeft w:val="0"/>
                  <w:marRight w:val="0"/>
                  <w:marTop w:val="0"/>
                  <w:marBottom w:val="0"/>
                  <w:divBdr>
                    <w:top w:val="none" w:sz="0" w:space="0" w:color="auto"/>
                    <w:left w:val="none" w:sz="0" w:space="0" w:color="auto"/>
                    <w:bottom w:val="none" w:sz="0" w:space="0" w:color="auto"/>
                    <w:right w:val="none" w:sz="0" w:space="0" w:color="auto"/>
                  </w:divBdr>
                  <w:divsChild>
                    <w:div w:id="198523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2648">
      <w:bodyDiv w:val="1"/>
      <w:marLeft w:val="0"/>
      <w:marRight w:val="0"/>
      <w:marTop w:val="0"/>
      <w:marBottom w:val="0"/>
      <w:divBdr>
        <w:top w:val="none" w:sz="0" w:space="0" w:color="auto"/>
        <w:left w:val="none" w:sz="0" w:space="0" w:color="auto"/>
        <w:bottom w:val="none" w:sz="0" w:space="0" w:color="auto"/>
        <w:right w:val="none" w:sz="0" w:space="0" w:color="auto"/>
      </w:divBdr>
    </w:div>
    <w:div w:id="559677867">
      <w:bodyDiv w:val="1"/>
      <w:marLeft w:val="0"/>
      <w:marRight w:val="0"/>
      <w:marTop w:val="0"/>
      <w:marBottom w:val="0"/>
      <w:divBdr>
        <w:top w:val="none" w:sz="0" w:space="0" w:color="auto"/>
        <w:left w:val="none" w:sz="0" w:space="0" w:color="auto"/>
        <w:bottom w:val="none" w:sz="0" w:space="0" w:color="auto"/>
        <w:right w:val="none" w:sz="0" w:space="0" w:color="auto"/>
      </w:divBdr>
    </w:div>
    <w:div w:id="608005690">
      <w:bodyDiv w:val="1"/>
      <w:marLeft w:val="0"/>
      <w:marRight w:val="0"/>
      <w:marTop w:val="0"/>
      <w:marBottom w:val="0"/>
      <w:divBdr>
        <w:top w:val="none" w:sz="0" w:space="0" w:color="auto"/>
        <w:left w:val="none" w:sz="0" w:space="0" w:color="auto"/>
        <w:bottom w:val="none" w:sz="0" w:space="0" w:color="auto"/>
        <w:right w:val="none" w:sz="0" w:space="0" w:color="auto"/>
      </w:divBdr>
    </w:div>
    <w:div w:id="656760497">
      <w:bodyDiv w:val="1"/>
      <w:marLeft w:val="0"/>
      <w:marRight w:val="0"/>
      <w:marTop w:val="0"/>
      <w:marBottom w:val="0"/>
      <w:divBdr>
        <w:top w:val="none" w:sz="0" w:space="0" w:color="auto"/>
        <w:left w:val="none" w:sz="0" w:space="0" w:color="auto"/>
        <w:bottom w:val="none" w:sz="0" w:space="0" w:color="auto"/>
        <w:right w:val="none" w:sz="0" w:space="0" w:color="auto"/>
      </w:divBdr>
    </w:div>
    <w:div w:id="752556025">
      <w:bodyDiv w:val="1"/>
      <w:marLeft w:val="0"/>
      <w:marRight w:val="0"/>
      <w:marTop w:val="0"/>
      <w:marBottom w:val="0"/>
      <w:divBdr>
        <w:top w:val="none" w:sz="0" w:space="0" w:color="auto"/>
        <w:left w:val="none" w:sz="0" w:space="0" w:color="auto"/>
        <w:bottom w:val="none" w:sz="0" w:space="0" w:color="auto"/>
        <w:right w:val="none" w:sz="0" w:space="0" w:color="auto"/>
      </w:divBdr>
    </w:div>
    <w:div w:id="1005011358">
      <w:bodyDiv w:val="1"/>
      <w:marLeft w:val="0"/>
      <w:marRight w:val="0"/>
      <w:marTop w:val="0"/>
      <w:marBottom w:val="0"/>
      <w:divBdr>
        <w:top w:val="none" w:sz="0" w:space="0" w:color="auto"/>
        <w:left w:val="none" w:sz="0" w:space="0" w:color="auto"/>
        <w:bottom w:val="none" w:sz="0" w:space="0" w:color="auto"/>
        <w:right w:val="none" w:sz="0" w:space="0" w:color="auto"/>
      </w:divBdr>
      <w:divsChild>
        <w:div w:id="1747532382">
          <w:marLeft w:val="0"/>
          <w:marRight w:val="0"/>
          <w:marTop w:val="0"/>
          <w:marBottom w:val="0"/>
          <w:divBdr>
            <w:top w:val="none" w:sz="0" w:space="0" w:color="auto"/>
            <w:left w:val="none" w:sz="0" w:space="0" w:color="auto"/>
            <w:bottom w:val="none" w:sz="0" w:space="0" w:color="auto"/>
            <w:right w:val="none" w:sz="0" w:space="0" w:color="auto"/>
          </w:divBdr>
          <w:divsChild>
            <w:div w:id="1775707812">
              <w:marLeft w:val="0"/>
              <w:marRight w:val="0"/>
              <w:marTop w:val="0"/>
              <w:marBottom w:val="0"/>
              <w:divBdr>
                <w:top w:val="none" w:sz="0" w:space="0" w:color="auto"/>
                <w:left w:val="none" w:sz="0" w:space="0" w:color="auto"/>
                <w:bottom w:val="none" w:sz="0" w:space="0" w:color="auto"/>
                <w:right w:val="none" w:sz="0" w:space="0" w:color="auto"/>
              </w:divBdr>
              <w:divsChild>
                <w:div w:id="563879290">
                  <w:marLeft w:val="0"/>
                  <w:marRight w:val="0"/>
                  <w:marTop w:val="0"/>
                  <w:marBottom w:val="0"/>
                  <w:divBdr>
                    <w:top w:val="none" w:sz="0" w:space="0" w:color="auto"/>
                    <w:left w:val="none" w:sz="0" w:space="0" w:color="auto"/>
                    <w:bottom w:val="none" w:sz="0" w:space="0" w:color="auto"/>
                    <w:right w:val="none" w:sz="0" w:space="0" w:color="auto"/>
                  </w:divBdr>
                  <w:divsChild>
                    <w:div w:id="2852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757302">
      <w:bodyDiv w:val="1"/>
      <w:marLeft w:val="0"/>
      <w:marRight w:val="0"/>
      <w:marTop w:val="0"/>
      <w:marBottom w:val="0"/>
      <w:divBdr>
        <w:top w:val="none" w:sz="0" w:space="0" w:color="auto"/>
        <w:left w:val="none" w:sz="0" w:space="0" w:color="auto"/>
        <w:bottom w:val="none" w:sz="0" w:space="0" w:color="auto"/>
        <w:right w:val="none" w:sz="0" w:space="0" w:color="auto"/>
      </w:divBdr>
    </w:div>
    <w:div w:id="1598633304">
      <w:bodyDiv w:val="1"/>
      <w:marLeft w:val="0"/>
      <w:marRight w:val="0"/>
      <w:marTop w:val="0"/>
      <w:marBottom w:val="0"/>
      <w:divBdr>
        <w:top w:val="none" w:sz="0" w:space="0" w:color="auto"/>
        <w:left w:val="none" w:sz="0" w:space="0" w:color="auto"/>
        <w:bottom w:val="none" w:sz="0" w:space="0" w:color="auto"/>
        <w:right w:val="none" w:sz="0" w:space="0" w:color="auto"/>
      </w:divBdr>
    </w:div>
    <w:div w:id="1717655839">
      <w:bodyDiv w:val="1"/>
      <w:marLeft w:val="0"/>
      <w:marRight w:val="0"/>
      <w:marTop w:val="0"/>
      <w:marBottom w:val="0"/>
      <w:divBdr>
        <w:top w:val="none" w:sz="0" w:space="0" w:color="auto"/>
        <w:left w:val="none" w:sz="0" w:space="0" w:color="auto"/>
        <w:bottom w:val="none" w:sz="0" w:space="0" w:color="auto"/>
        <w:right w:val="none" w:sz="0" w:space="0" w:color="auto"/>
      </w:divBdr>
    </w:div>
    <w:div w:id="1924490009">
      <w:bodyDiv w:val="1"/>
      <w:marLeft w:val="0"/>
      <w:marRight w:val="0"/>
      <w:marTop w:val="0"/>
      <w:marBottom w:val="0"/>
      <w:divBdr>
        <w:top w:val="none" w:sz="0" w:space="0" w:color="auto"/>
        <w:left w:val="none" w:sz="0" w:space="0" w:color="auto"/>
        <w:bottom w:val="none" w:sz="0" w:space="0" w:color="auto"/>
        <w:right w:val="none" w:sz="0" w:space="0" w:color="auto"/>
      </w:divBdr>
    </w:div>
    <w:div w:id="1955863352">
      <w:bodyDiv w:val="1"/>
      <w:marLeft w:val="0"/>
      <w:marRight w:val="0"/>
      <w:marTop w:val="0"/>
      <w:marBottom w:val="0"/>
      <w:divBdr>
        <w:top w:val="none" w:sz="0" w:space="0" w:color="auto"/>
        <w:left w:val="none" w:sz="0" w:space="0" w:color="auto"/>
        <w:bottom w:val="none" w:sz="0" w:space="0" w:color="auto"/>
        <w:right w:val="none" w:sz="0" w:space="0" w:color="auto"/>
      </w:divBdr>
      <w:divsChild>
        <w:div w:id="822547053">
          <w:marLeft w:val="0"/>
          <w:marRight w:val="0"/>
          <w:marTop w:val="0"/>
          <w:marBottom w:val="0"/>
          <w:divBdr>
            <w:top w:val="none" w:sz="0" w:space="0" w:color="auto"/>
            <w:left w:val="none" w:sz="0" w:space="0" w:color="auto"/>
            <w:bottom w:val="none" w:sz="0" w:space="0" w:color="auto"/>
            <w:right w:val="none" w:sz="0" w:space="0" w:color="auto"/>
          </w:divBdr>
          <w:divsChild>
            <w:div w:id="285083900">
              <w:marLeft w:val="0"/>
              <w:marRight w:val="0"/>
              <w:marTop w:val="0"/>
              <w:marBottom w:val="0"/>
              <w:divBdr>
                <w:top w:val="none" w:sz="0" w:space="0" w:color="auto"/>
                <w:left w:val="none" w:sz="0" w:space="0" w:color="auto"/>
                <w:bottom w:val="none" w:sz="0" w:space="0" w:color="auto"/>
                <w:right w:val="none" w:sz="0" w:space="0" w:color="auto"/>
              </w:divBdr>
              <w:divsChild>
                <w:div w:id="90903550">
                  <w:marLeft w:val="0"/>
                  <w:marRight w:val="0"/>
                  <w:marTop w:val="0"/>
                  <w:marBottom w:val="0"/>
                  <w:divBdr>
                    <w:top w:val="none" w:sz="0" w:space="0" w:color="auto"/>
                    <w:left w:val="none" w:sz="0" w:space="0" w:color="auto"/>
                    <w:bottom w:val="none" w:sz="0" w:space="0" w:color="auto"/>
                    <w:right w:val="none" w:sz="0" w:space="0" w:color="auto"/>
                  </w:divBdr>
                  <w:divsChild>
                    <w:div w:id="1709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0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62EA8-0099-4008-A3CB-914F080C8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2864</Words>
  <Characters>16330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Roy D. Simon</cp:lastModifiedBy>
  <cp:revision>5</cp:revision>
  <dcterms:created xsi:type="dcterms:W3CDTF">2022-04-27T19:38:00Z</dcterms:created>
  <dcterms:modified xsi:type="dcterms:W3CDTF">2022-04-27T20:36:00Z</dcterms:modified>
</cp:coreProperties>
</file>