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0EBEFA18" w:rsidR="00963446" w:rsidRDefault="00A548B3" w:rsidP="00963446">
      <w:pPr>
        <w:pStyle w:val="Heading2"/>
        <w:numPr>
          <w:ilvl w:val="0"/>
          <w:numId w:val="0"/>
        </w:numPr>
        <w:rPr>
          <w:rFonts w:ascii="Stencil" w:hAnsi="Stencil" w:cs="Times New Roman"/>
          <w:b/>
        </w:rPr>
      </w:pPr>
      <w:r w:rsidRPr="00A548B3">
        <w:rPr>
          <w:rFonts w:ascii="Stencil" w:hAnsi="Stencil" w:cs="Times New Roman"/>
          <w:b/>
          <w:i/>
          <w:iCs/>
        </w:rPr>
        <w:t>NYSBA FAMILY LAW SECTION UPDATE</w:t>
      </w:r>
      <w:r w:rsidR="002F23FB" w:rsidRPr="00D47511">
        <w:rPr>
          <w:rFonts w:ascii="Stencil" w:hAnsi="Stencil" w:cs="Times New Roman"/>
          <w:b/>
        </w:rPr>
        <w:t xml:space="preserve">, </w:t>
      </w:r>
      <w:r w:rsidR="00787BAF">
        <w:rPr>
          <w:rFonts w:ascii="Stencil" w:hAnsi="Stencil" w:cs="Times New Roman"/>
          <w:b/>
        </w:rPr>
        <w:t>DECEMBER</w:t>
      </w:r>
      <w:r w:rsidR="00334BEE">
        <w:rPr>
          <w:rFonts w:ascii="Stencil" w:hAnsi="Stencil" w:cs="Times New Roman"/>
          <w:b/>
        </w:rPr>
        <w:t xml:space="preserve"> </w:t>
      </w:r>
      <w:r w:rsidR="00654971" w:rsidRPr="00D47511">
        <w:rPr>
          <w:rFonts w:ascii="Stencil" w:hAnsi="Stencil" w:cs="Times New Roman"/>
          <w:b/>
        </w:rPr>
        <w:t>2</w:t>
      </w:r>
      <w:r w:rsidR="00963446" w:rsidRPr="00D47511">
        <w:rPr>
          <w:rFonts w:ascii="Stencil" w:hAnsi="Stencil" w:cs="Times New Roman"/>
          <w:b/>
        </w:rPr>
        <w:t>02</w:t>
      </w:r>
      <w:r w:rsidR="00654971" w:rsidRPr="00D47511">
        <w:rPr>
          <w:rFonts w:ascii="Stencil" w:hAnsi="Stencil" w:cs="Times New Roman"/>
          <w:b/>
        </w:rPr>
        <w:t>5</w:t>
      </w:r>
    </w:p>
    <w:p w14:paraId="09CCB385" w14:textId="23D9C2FB"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773ECFB8" w14:textId="61F7F386" w:rsidR="00792DC9" w:rsidRDefault="00963446" w:rsidP="006C66A9">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&amp; Montgomery County Family Courts</w:t>
      </w:r>
    </w:p>
    <w:p w14:paraId="2885762B" w14:textId="77777777" w:rsidR="00F82A3C" w:rsidRDefault="00F82A3C" w:rsidP="00F82A3C">
      <w:pPr>
        <w:pStyle w:val="Heading2"/>
        <w:numPr>
          <w:ilvl w:val="0"/>
          <w:numId w:val="0"/>
        </w:numPr>
        <w:jc w:val="both"/>
        <w:rPr>
          <w:rFonts w:ascii="Times New Roman" w:hAnsi="Times New Roman" w:cs="Times New Roman"/>
          <w:b/>
          <w:bCs/>
        </w:rPr>
      </w:pPr>
      <w:r w:rsidRPr="00ED5113">
        <w:rPr>
          <w:rFonts w:ascii="Times New Roman" w:hAnsi="Times New Roman" w:cs="Times New Roman"/>
          <w:b/>
          <w:bCs/>
          <w:u w:val="single"/>
        </w:rPr>
        <w:t>COURT OF APPEALS NOTE</w:t>
      </w:r>
      <w:r>
        <w:rPr>
          <w:rFonts w:ascii="Times New Roman" w:hAnsi="Times New Roman" w:cs="Times New Roman"/>
          <w:b/>
          <w:bCs/>
        </w:rPr>
        <w:t>: INEFFECTIVE ASSISTANCE OF COUNSEL</w:t>
      </w:r>
    </w:p>
    <w:p w14:paraId="0C440521" w14:textId="5D364DBC" w:rsidR="00F82A3C" w:rsidRDefault="00F82A3C" w:rsidP="00F82A3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F82A3C">
        <w:rPr>
          <w:rFonts w:ascii="Times New Roman" w:hAnsi="Times New Roman" w:cs="Times New Roman"/>
          <w:b/>
          <w:bCs/>
          <w:i/>
          <w:iCs/>
        </w:rPr>
        <w:t>Matter of Parker J. (Beth F.)</w:t>
      </w:r>
      <w:r>
        <w:rPr>
          <w:rFonts w:ascii="Times New Roman" w:hAnsi="Times New Roman" w:cs="Times New Roman"/>
        </w:rPr>
        <w:t>, 2025 Westlaw 3272327 (Nov. 25, 2025), a proceeding commenced in 2022 to terminate the parental rights of the mother of twins born in 2020, the issue was: “whether assigned counsel was ineffective when counsel did not speak with a parent before a Family Court hearing to terminate the parent’s parental rights”; counsel then advised the Court “that he would therefore remain silent”; “[t]he court informed him he would have to proceed regardless”; and “counsel did not seek an adjournment in which to speak with the parent until the fact-finding hearing had already begun.”  Family Court terminated the mother’s parental rights so that the children could be adopted by their foster family.  The Appellate Division affirmed, 232 AD3d 1244 (4</w:t>
      </w:r>
      <w:r w:rsidRPr="00737BF3">
        <w:rPr>
          <w:rFonts w:ascii="Times New Roman" w:hAnsi="Times New Roman" w:cs="Times New Roman"/>
          <w:vertAlign w:val="superscript"/>
        </w:rPr>
        <w:t>th</w:t>
      </w:r>
      <w:r>
        <w:rPr>
          <w:rFonts w:ascii="Times New Roman" w:hAnsi="Times New Roman" w:cs="Times New Roman"/>
        </w:rPr>
        <w:t xml:space="preserve"> Dept. 2024). The Court of Appeals granted the mother leave to appeal, 43 NY3d 984 (2024) and reversed (5-2)</w:t>
      </w:r>
      <w:r w:rsidR="0084263A">
        <w:rPr>
          <w:rFonts w:ascii="Times New Roman" w:hAnsi="Times New Roman" w:cs="Times New Roman"/>
        </w:rPr>
        <w:t xml:space="preserve"> </w:t>
      </w:r>
      <w:bookmarkStart w:id="0" w:name="_Hlk215217372"/>
      <w:r w:rsidR="0084263A">
        <w:rPr>
          <w:rFonts w:ascii="Times New Roman" w:hAnsi="Times New Roman" w:cs="Times New Roman"/>
        </w:rPr>
        <w:t>and remitted to Family Court for a new hearing</w:t>
      </w:r>
      <w:bookmarkEnd w:id="0"/>
      <w:r>
        <w:rPr>
          <w:rFonts w:ascii="Times New Roman" w:hAnsi="Times New Roman" w:cs="Times New Roman"/>
        </w:rPr>
        <w:t>, holding “the mother was not afforded the effective assistance of counsel.”</w:t>
      </w:r>
    </w:p>
    <w:p w14:paraId="0AFD0AD1" w14:textId="77777777" w:rsidR="00F82A3C" w:rsidRDefault="00F82A3C" w:rsidP="00F82A3C">
      <w:pPr>
        <w:pStyle w:val="Heading2"/>
        <w:numPr>
          <w:ilvl w:val="0"/>
          <w:numId w:val="0"/>
        </w:numPr>
        <w:spacing w:line="240" w:lineRule="auto"/>
        <w:contextualSpacing/>
        <w:jc w:val="both"/>
        <w:rPr>
          <w:rFonts w:ascii="Verdana" w:hAnsi="Verdana" w:cs="Times New Roman"/>
          <w:b/>
          <w:bCs/>
        </w:rPr>
      </w:pPr>
    </w:p>
    <w:p w14:paraId="1FF6C363" w14:textId="77777777" w:rsidR="00B70B6C" w:rsidRPr="00B70B6C" w:rsidRDefault="00B70B6C" w:rsidP="00B70B6C">
      <w:pPr>
        <w:pStyle w:val="Heading2"/>
        <w:numPr>
          <w:ilvl w:val="0"/>
          <w:numId w:val="0"/>
        </w:numPr>
        <w:rPr>
          <w:b/>
          <w:bCs/>
        </w:rPr>
      </w:pPr>
      <w:r w:rsidRPr="00B70B6C">
        <w:rPr>
          <w:rFonts w:ascii="Times New Roman" w:hAnsi="Times New Roman" w:cs="Times New Roman"/>
          <w:b/>
          <w:bCs/>
        </w:rPr>
        <w:t>Adoption - Father’s Consent Not Required – Abandonment Established</w:t>
      </w:r>
    </w:p>
    <w:p w14:paraId="3A621F95" w14:textId="0ABA769C" w:rsidR="00B70B6C" w:rsidRDefault="00B70B6C" w:rsidP="00B70B6C">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B70B6C">
        <w:rPr>
          <w:rFonts w:ascii="Times New Roman" w:hAnsi="Times New Roman" w:cs="Times New Roman"/>
          <w:b/>
          <w:bCs/>
          <w:i/>
          <w:iCs/>
        </w:rPr>
        <w:t>Matter of Cason C. v. James E.C.</w:t>
      </w:r>
      <w:r>
        <w:rPr>
          <w:rFonts w:ascii="Times New Roman" w:hAnsi="Times New Roman" w:cs="Times New Roman"/>
        </w:rPr>
        <w:t>, 2025 Westlaw 3249811 (4</w:t>
      </w:r>
      <w:r w:rsidRPr="000C4B82">
        <w:rPr>
          <w:rFonts w:ascii="Times New Roman" w:hAnsi="Times New Roman" w:cs="Times New Roman"/>
          <w:vertAlign w:val="superscript"/>
        </w:rPr>
        <w:t>th</w:t>
      </w:r>
      <w:r>
        <w:rPr>
          <w:rFonts w:ascii="Times New Roman" w:hAnsi="Times New Roman" w:cs="Times New Roman"/>
        </w:rPr>
        <w:t xml:space="preserve"> Dept. Nov. 21, 2025), the father appealed from a February 2024 Family Court order which, after a hearing, determined that his consent to the adoption of the subject child</w:t>
      </w:r>
      <w:r w:rsidR="006A3CE8">
        <w:rPr>
          <w:rFonts w:ascii="Times New Roman" w:hAnsi="Times New Roman" w:cs="Times New Roman"/>
        </w:rPr>
        <w:t>ren</w:t>
      </w:r>
      <w:r>
        <w:rPr>
          <w:rFonts w:ascii="Times New Roman" w:hAnsi="Times New Roman" w:cs="Times New Roman"/>
        </w:rPr>
        <w:t xml:space="preserve"> was not required pursuant to DRL 111(2)(a). The Fourth Department affirmed, rejecting the father’s contention that “the adoption proceedings amount to a collateral attack on *** the Texas divorce decree that *** provided [him] with supervised visitation rights[,]” noting that “New York does not recognize an adoption proceeding as a custody proceeding (citations omitted)” and “the court has subject matter jurisdiction over proceedings to adopt children born in other states and to adjudicate disputes between residents and nonresidents (citations omitted).” The Appellate Division held that Family Court “properly dispensed with [the father’s] consent inasmuch as petitioner established by clear and convincing evidence that the father abandoned the children by his failure for a period of six months to visit the child[ren] or person having legal custody of the child[ren], although able to do so (internal quotations and citations omitted).” The Court concluded that “[t]he father’s incarceration does not excuse his failure to contact or communicate with the children” and “the record does not support the father’s assertion that the mother and petitioner thwarted the father’s efforts to contact the children ***.”</w:t>
      </w:r>
    </w:p>
    <w:p w14:paraId="18A5EAFE" w14:textId="77777777" w:rsidR="00B70B6C" w:rsidRDefault="00B70B6C" w:rsidP="00787BAF">
      <w:pPr>
        <w:pStyle w:val="Heading2"/>
        <w:numPr>
          <w:ilvl w:val="0"/>
          <w:numId w:val="0"/>
        </w:numPr>
        <w:spacing w:line="240" w:lineRule="auto"/>
        <w:contextualSpacing/>
        <w:jc w:val="both"/>
        <w:rPr>
          <w:rFonts w:ascii="Times New Roman" w:hAnsi="Times New Roman" w:cs="Times New Roman"/>
          <w:b/>
          <w:bCs/>
        </w:rPr>
      </w:pPr>
    </w:p>
    <w:p w14:paraId="4299B094" w14:textId="6162716A" w:rsidR="00787BAF" w:rsidRDefault="00787BAF" w:rsidP="00787BAF">
      <w:pPr>
        <w:pStyle w:val="Heading2"/>
        <w:numPr>
          <w:ilvl w:val="0"/>
          <w:numId w:val="0"/>
        </w:numPr>
        <w:spacing w:line="240" w:lineRule="auto"/>
        <w:contextualSpacing/>
        <w:jc w:val="both"/>
        <w:rPr>
          <w:rFonts w:ascii="Times New Roman" w:hAnsi="Times New Roman" w:cs="Times New Roman"/>
          <w:b/>
          <w:bCs/>
        </w:rPr>
      </w:pPr>
      <w:r w:rsidRPr="00787BAF">
        <w:rPr>
          <w:rFonts w:ascii="Times New Roman" w:hAnsi="Times New Roman" w:cs="Times New Roman"/>
          <w:b/>
          <w:bCs/>
        </w:rPr>
        <w:t>Child Support - College – Premature, Over Cap – Denied; Counsel Fees – After Trial; Equitable Distribution - Carrying Charges Pending Residence Sale</w:t>
      </w:r>
      <w:r>
        <w:rPr>
          <w:rFonts w:ascii="Times New Roman" w:hAnsi="Times New Roman" w:cs="Times New Roman"/>
          <w:b/>
          <w:bCs/>
        </w:rPr>
        <w:t>,</w:t>
      </w:r>
      <w:r w:rsidRPr="00787BAF">
        <w:rPr>
          <w:rFonts w:ascii="Times New Roman" w:hAnsi="Times New Roman" w:cs="Times New Roman"/>
          <w:b/>
          <w:bCs/>
        </w:rPr>
        <w:t xml:space="preserve"> Proportions – Business (35%)</w:t>
      </w:r>
      <w:r>
        <w:rPr>
          <w:rFonts w:ascii="Times New Roman" w:hAnsi="Times New Roman" w:cs="Times New Roman"/>
          <w:b/>
          <w:bCs/>
        </w:rPr>
        <w:t>,</w:t>
      </w:r>
      <w:r w:rsidRPr="00787BAF">
        <w:rPr>
          <w:rFonts w:ascii="Times New Roman" w:hAnsi="Times New Roman" w:cs="Times New Roman"/>
          <w:b/>
          <w:bCs/>
        </w:rPr>
        <w:t xml:space="preserve"> Separate Property Credit</w:t>
      </w:r>
      <w:r>
        <w:rPr>
          <w:rFonts w:ascii="Times New Roman" w:hAnsi="Times New Roman" w:cs="Times New Roman"/>
          <w:b/>
          <w:bCs/>
        </w:rPr>
        <w:t xml:space="preserve">, </w:t>
      </w:r>
      <w:r w:rsidRPr="00787BAF">
        <w:rPr>
          <w:rFonts w:ascii="Times New Roman" w:hAnsi="Times New Roman" w:cs="Times New Roman"/>
          <w:b/>
          <w:bCs/>
        </w:rPr>
        <w:t>Valuation – Business – Commencement; Maintenance – Durational</w:t>
      </w:r>
    </w:p>
    <w:p w14:paraId="3218AB0F" w14:textId="77777777" w:rsidR="00787BAF" w:rsidRPr="00787BAF" w:rsidRDefault="00787BAF" w:rsidP="00787BAF">
      <w:pPr>
        <w:pStyle w:val="Heading2"/>
        <w:numPr>
          <w:ilvl w:val="0"/>
          <w:numId w:val="0"/>
        </w:numPr>
        <w:spacing w:line="240" w:lineRule="auto"/>
        <w:contextualSpacing/>
        <w:jc w:val="both"/>
        <w:rPr>
          <w:rFonts w:ascii="Times New Roman" w:hAnsi="Times New Roman" w:cs="Times New Roman"/>
          <w:b/>
          <w:bCs/>
        </w:rPr>
      </w:pPr>
    </w:p>
    <w:p w14:paraId="11229099" w14:textId="1ABF24F9" w:rsidR="00787BAF" w:rsidRDefault="00787BAF" w:rsidP="00787BAF">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787BAF">
        <w:rPr>
          <w:rFonts w:ascii="Times New Roman" w:hAnsi="Times New Roman" w:cs="Times New Roman"/>
          <w:b/>
          <w:bCs/>
          <w:i/>
          <w:iCs/>
        </w:rPr>
        <w:t>Sun v. Zhou</w:t>
      </w:r>
      <w:r>
        <w:rPr>
          <w:rFonts w:ascii="Times New Roman" w:hAnsi="Times New Roman" w:cs="Times New Roman"/>
        </w:rPr>
        <w:t>, 2025 Westlaw 3153342 (2d Dept. Nov. 12, 2025), t</w:t>
      </w:r>
      <w:r w:rsidRPr="008E0C79">
        <w:rPr>
          <w:rFonts w:ascii="Times New Roman" w:hAnsi="Times New Roman" w:cs="Times New Roman"/>
        </w:rPr>
        <w:t xml:space="preserve">he parties were married </w:t>
      </w:r>
      <w:r>
        <w:rPr>
          <w:rFonts w:ascii="Times New Roman" w:hAnsi="Times New Roman" w:cs="Times New Roman"/>
        </w:rPr>
        <w:t xml:space="preserve">in </w:t>
      </w:r>
      <w:r w:rsidRPr="008E0C79">
        <w:rPr>
          <w:rFonts w:ascii="Times New Roman" w:hAnsi="Times New Roman" w:cs="Times New Roman"/>
        </w:rPr>
        <w:t>March 2009</w:t>
      </w:r>
      <w:r>
        <w:rPr>
          <w:rFonts w:ascii="Times New Roman" w:hAnsi="Times New Roman" w:cs="Times New Roman"/>
        </w:rPr>
        <w:t>,</w:t>
      </w:r>
      <w:r w:rsidRPr="008E0C79">
        <w:rPr>
          <w:rFonts w:ascii="Times New Roman" w:hAnsi="Times New Roman" w:cs="Times New Roman"/>
        </w:rPr>
        <w:t xml:space="preserve"> and have one child</w:t>
      </w:r>
      <w:r>
        <w:rPr>
          <w:rFonts w:ascii="Times New Roman" w:hAnsi="Times New Roman" w:cs="Times New Roman"/>
        </w:rPr>
        <w:t>, age 5 as of the time of trial</w:t>
      </w:r>
      <w:r w:rsidRPr="008E0C79">
        <w:rPr>
          <w:rFonts w:ascii="Times New Roman" w:hAnsi="Times New Roman" w:cs="Times New Roman"/>
        </w:rPr>
        <w:t>.</w:t>
      </w:r>
      <w:r>
        <w:rPr>
          <w:rFonts w:ascii="Times New Roman" w:hAnsi="Times New Roman" w:cs="Times New Roman"/>
        </w:rPr>
        <w:t xml:space="preserve"> The wife appealed from a January 2021 Supreme Court judgment, which, upon a January 2020 decision following trial of the wife’s </w:t>
      </w:r>
      <w:r>
        <w:rPr>
          <w:rFonts w:ascii="Times New Roman" w:hAnsi="Times New Roman" w:cs="Times New Roman"/>
        </w:rPr>
        <w:lastRenderedPageBreak/>
        <w:t xml:space="preserve">January 2017 action: </w:t>
      </w:r>
      <w:r w:rsidRPr="008E0C79">
        <w:rPr>
          <w:rFonts w:ascii="Times New Roman" w:hAnsi="Times New Roman" w:cs="Times New Roman"/>
        </w:rPr>
        <w:t xml:space="preserve">(1) awarded the </w:t>
      </w:r>
      <w:r>
        <w:rPr>
          <w:rFonts w:ascii="Times New Roman" w:hAnsi="Times New Roman" w:cs="Times New Roman"/>
        </w:rPr>
        <w:t xml:space="preserve">husband </w:t>
      </w:r>
      <w:r w:rsidRPr="008E0C79">
        <w:rPr>
          <w:rFonts w:ascii="Times New Roman" w:hAnsi="Times New Roman" w:cs="Times New Roman"/>
        </w:rPr>
        <w:t>a separate property credit of $2,117,650 with respect to the purchase of the marital residence</w:t>
      </w:r>
      <w:r>
        <w:rPr>
          <w:rFonts w:ascii="Times New Roman" w:hAnsi="Times New Roman" w:cs="Times New Roman"/>
        </w:rPr>
        <w:t>;</w:t>
      </w:r>
      <w:r w:rsidRPr="008E0C79">
        <w:rPr>
          <w:rFonts w:ascii="Times New Roman" w:hAnsi="Times New Roman" w:cs="Times New Roman"/>
        </w:rPr>
        <w:t xml:space="preserve"> (2) allocated selling and closing costs associated with the sale of the martial residence such that the </w:t>
      </w:r>
      <w:r>
        <w:rPr>
          <w:rFonts w:ascii="Times New Roman" w:hAnsi="Times New Roman" w:cs="Times New Roman"/>
        </w:rPr>
        <w:t xml:space="preserve">wife </w:t>
      </w:r>
      <w:r w:rsidRPr="008E0C79">
        <w:rPr>
          <w:rFonts w:ascii="Times New Roman" w:hAnsi="Times New Roman" w:cs="Times New Roman"/>
        </w:rPr>
        <w:t>would bear 45% of those costs upon the sale</w:t>
      </w:r>
      <w:r>
        <w:rPr>
          <w:rFonts w:ascii="Times New Roman" w:hAnsi="Times New Roman" w:cs="Times New Roman"/>
        </w:rPr>
        <w:t xml:space="preserve">; </w:t>
      </w:r>
      <w:r w:rsidRPr="008E0C79">
        <w:rPr>
          <w:rFonts w:ascii="Times New Roman" w:hAnsi="Times New Roman" w:cs="Times New Roman"/>
        </w:rPr>
        <w:t xml:space="preserve">(3) awarded the </w:t>
      </w:r>
      <w:r>
        <w:rPr>
          <w:rFonts w:ascii="Times New Roman" w:hAnsi="Times New Roman" w:cs="Times New Roman"/>
        </w:rPr>
        <w:t xml:space="preserve">wife </w:t>
      </w:r>
      <w:r w:rsidRPr="008E0C79">
        <w:rPr>
          <w:rFonts w:ascii="Times New Roman" w:hAnsi="Times New Roman" w:cs="Times New Roman"/>
        </w:rPr>
        <w:t>counsel fees of only $50,000</w:t>
      </w:r>
      <w:r>
        <w:rPr>
          <w:rFonts w:ascii="Times New Roman" w:hAnsi="Times New Roman" w:cs="Times New Roman"/>
        </w:rPr>
        <w:t>;</w:t>
      </w:r>
      <w:r w:rsidRPr="008E0C79">
        <w:rPr>
          <w:rFonts w:ascii="Times New Roman" w:hAnsi="Times New Roman" w:cs="Times New Roman"/>
        </w:rPr>
        <w:t xml:space="preserve"> and (4) failed to equitably distribute a New York 529 College Savings Plan account for the parties</w:t>
      </w:r>
      <w:r>
        <w:rPr>
          <w:rFonts w:ascii="Times New Roman" w:hAnsi="Times New Roman" w:cs="Times New Roman"/>
        </w:rPr>
        <w:t>’</w:t>
      </w:r>
      <w:r w:rsidRPr="008E0C79">
        <w:rPr>
          <w:rFonts w:ascii="Times New Roman" w:hAnsi="Times New Roman" w:cs="Times New Roman"/>
        </w:rPr>
        <w:t xml:space="preserve"> child. The </w:t>
      </w:r>
      <w:r>
        <w:rPr>
          <w:rFonts w:ascii="Times New Roman" w:hAnsi="Times New Roman" w:cs="Times New Roman"/>
        </w:rPr>
        <w:t xml:space="preserve">husband’s cross appeal challenged so much of the judgment as: </w:t>
      </w:r>
      <w:r w:rsidRPr="008E0C79">
        <w:rPr>
          <w:rFonts w:ascii="Times New Roman" w:hAnsi="Times New Roman" w:cs="Times New Roman"/>
        </w:rPr>
        <w:t xml:space="preserve">(1) awarded the </w:t>
      </w:r>
      <w:r>
        <w:rPr>
          <w:rFonts w:ascii="Times New Roman" w:hAnsi="Times New Roman" w:cs="Times New Roman"/>
        </w:rPr>
        <w:t xml:space="preserve">wife </w:t>
      </w:r>
      <w:r w:rsidRPr="008E0C79">
        <w:rPr>
          <w:rFonts w:ascii="Times New Roman" w:hAnsi="Times New Roman" w:cs="Times New Roman"/>
        </w:rPr>
        <w:t>maintenance in the sum of $4,000 per month for 17 months and child support in the sum of $3,500 per month</w:t>
      </w:r>
      <w:r>
        <w:rPr>
          <w:rFonts w:ascii="Times New Roman" w:hAnsi="Times New Roman" w:cs="Times New Roman"/>
        </w:rPr>
        <w:t xml:space="preserve">; </w:t>
      </w:r>
      <w:r w:rsidRPr="008E0C79">
        <w:rPr>
          <w:rFonts w:ascii="Times New Roman" w:hAnsi="Times New Roman" w:cs="Times New Roman"/>
        </w:rPr>
        <w:t xml:space="preserve"> (2) denied </w:t>
      </w:r>
      <w:r>
        <w:rPr>
          <w:rFonts w:ascii="Times New Roman" w:hAnsi="Times New Roman" w:cs="Times New Roman"/>
        </w:rPr>
        <w:t xml:space="preserve">him </w:t>
      </w:r>
      <w:r w:rsidRPr="008E0C79">
        <w:rPr>
          <w:rFonts w:ascii="Times New Roman" w:hAnsi="Times New Roman" w:cs="Times New Roman"/>
        </w:rPr>
        <w:t>separate property credits with respect to certain investment and brokerage accounts</w:t>
      </w:r>
      <w:r>
        <w:rPr>
          <w:rFonts w:ascii="Times New Roman" w:hAnsi="Times New Roman" w:cs="Times New Roman"/>
        </w:rPr>
        <w:t>;</w:t>
      </w:r>
      <w:r w:rsidRPr="008E0C79">
        <w:rPr>
          <w:rFonts w:ascii="Times New Roman" w:hAnsi="Times New Roman" w:cs="Times New Roman"/>
        </w:rPr>
        <w:t xml:space="preserve"> (3) valued </w:t>
      </w:r>
      <w:r>
        <w:rPr>
          <w:rFonts w:ascii="Times New Roman" w:hAnsi="Times New Roman" w:cs="Times New Roman"/>
        </w:rPr>
        <w:t xml:space="preserve">his </w:t>
      </w:r>
      <w:r w:rsidRPr="008E0C79">
        <w:rPr>
          <w:rFonts w:ascii="Times New Roman" w:hAnsi="Times New Roman" w:cs="Times New Roman"/>
        </w:rPr>
        <w:t xml:space="preserve">interest in a hedge fund investment company as of the commencement date of this action at the sum of $607,000 and awarded the </w:t>
      </w:r>
      <w:r>
        <w:rPr>
          <w:rFonts w:ascii="Times New Roman" w:hAnsi="Times New Roman" w:cs="Times New Roman"/>
        </w:rPr>
        <w:t xml:space="preserve">wife </w:t>
      </w:r>
      <w:r w:rsidRPr="008E0C79">
        <w:rPr>
          <w:rFonts w:ascii="Times New Roman" w:hAnsi="Times New Roman" w:cs="Times New Roman"/>
        </w:rPr>
        <w:t>35% thereof</w:t>
      </w:r>
      <w:r>
        <w:rPr>
          <w:rFonts w:ascii="Times New Roman" w:hAnsi="Times New Roman" w:cs="Times New Roman"/>
        </w:rPr>
        <w:t>; (</w:t>
      </w:r>
      <w:r w:rsidRPr="008E0C79">
        <w:rPr>
          <w:rFonts w:ascii="Times New Roman" w:hAnsi="Times New Roman" w:cs="Times New Roman"/>
        </w:rPr>
        <w:t xml:space="preserve">4) directed the </w:t>
      </w:r>
      <w:r>
        <w:rPr>
          <w:rFonts w:ascii="Times New Roman" w:hAnsi="Times New Roman" w:cs="Times New Roman"/>
        </w:rPr>
        <w:t xml:space="preserve">wife </w:t>
      </w:r>
      <w:r w:rsidRPr="008E0C79">
        <w:rPr>
          <w:rFonts w:ascii="Times New Roman" w:hAnsi="Times New Roman" w:cs="Times New Roman"/>
        </w:rPr>
        <w:t xml:space="preserve">to pay 35.51% and </w:t>
      </w:r>
      <w:r>
        <w:rPr>
          <w:rFonts w:ascii="Times New Roman" w:hAnsi="Times New Roman" w:cs="Times New Roman"/>
        </w:rPr>
        <w:t xml:space="preserve">him </w:t>
      </w:r>
      <w:r w:rsidRPr="008E0C79">
        <w:rPr>
          <w:rFonts w:ascii="Times New Roman" w:hAnsi="Times New Roman" w:cs="Times New Roman"/>
        </w:rPr>
        <w:t>to pay 64.49% of the child's undergraduate tuition up to a SUNY cap until emancipation if he should attend college</w:t>
      </w:r>
      <w:r>
        <w:rPr>
          <w:rFonts w:ascii="Times New Roman" w:hAnsi="Times New Roman" w:cs="Times New Roman"/>
        </w:rPr>
        <w:t>;</w:t>
      </w:r>
      <w:r w:rsidRPr="008E0C79">
        <w:rPr>
          <w:rFonts w:ascii="Times New Roman" w:hAnsi="Times New Roman" w:cs="Times New Roman"/>
        </w:rPr>
        <w:t xml:space="preserve"> and (5) directed </w:t>
      </w:r>
      <w:r>
        <w:rPr>
          <w:rFonts w:ascii="Times New Roman" w:hAnsi="Times New Roman" w:cs="Times New Roman"/>
        </w:rPr>
        <w:t xml:space="preserve">him </w:t>
      </w:r>
      <w:r w:rsidRPr="008E0C79">
        <w:rPr>
          <w:rFonts w:ascii="Times New Roman" w:hAnsi="Times New Roman" w:cs="Times New Roman"/>
        </w:rPr>
        <w:t>to pay 64.49% of the carrying charges on the marital residence pending its sale</w:t>
      </w:r>
      <w:r>
        <w:rPr>
          <w:rFonts w:ascii="Times New Roman" w:hAnsi="Times New Roman" w:cs="Times New Roman"/>
        </w:rPr>
        <w:t xml:space="preserve">. The Second Department </w:t>
      </w:r>
      <w:r w:rsidRPr="008E0C79">
        <w:rPr>
          <w:rFonts w:ascii="Times New Roman" w:hAnsi="Times New Roman" w:cs="Times New Roman"/>
        </w:rPr>
        <w:t>modified, on the law, on the facts, and in the exercise of discretion</w:t>
      </w:r>
      <w:r>
        <w:rPr>
          <w:rFonts w:ascii="Times New Roman" w:hAnsi="Times New Roman" w:cs="Times New Roman"/>
        </w:rPr>
        <w:t>, by:</w:t>
      </w:r>
      <w:r w:rsidRPr="008E0C79">
        <w:rPr>
          <w:rFonts w:ascii="Times New Roman" w:hAnsi="Times New Roman" w:cs="Times New Roman"/>
        </w:rPr>
        <w:t xml:space="preserve"> (1) deleting the </w:t>
      </w:r>
      <w:r>
        <w:rPr>
          <w:rFonts w:ascii="Times New Roman" w:hAnsi="Times New Roman" w:cs="Times New Roman"/>
        </w:rPr>
        <w:t>college payment directives;</w:t>
      </w:r>
      <w:r w:rsidRPr="008E0C79">
        <w:rPr>
          <w:rFonts w:ascii="Times New Roman" w:hAnsi="Times New Roman" w:cs="Times New Roman"/>
        </w:rPr>
        <w:t xml:space="preserve"> </w:t>
      </w:r>
      <w:r>
        <w:rPr>
          <w:rFonts w:ascii="Times New Roman" w:hAnsi="Times New Roman" w:cs="Times New Roman"/>
        </w:rPr>
        <w:t xml:space="preserve">and </w:t>
      </w:r>
      <w:r w:rsidRPr="008E0C79">
        <w:rPr>
          <w:rFonts w:ascii="Times New Roman" w:hAnsi="Times New Roman" w:cs="Times New Roman"/>
        </w:rPr>
        <w:t>(2)</w:t>
      </w:r>
      <w:r>
        <w:rPr>
          <w:rFonts w:ascii="Times New Roman" w:hAnsi="Times New Roman" w:cs="Times New Roman"/>
        </w:rPr>
        <w:t xml:space="preserve"> </w:t>
      </w:r>
      <w:r w:rsidRPr="008E0C79">
        <w:rPr>
          <w:rFonts w:ascii="Times New Roman" w:hAnsi="Times New Roman" w:cs="Times New Roman"/>
        </w:rPr>
        <w:t xml:space="preserve">adding a provision </w:t>
      </w:r>
      <w:r>
        <w:rPr>
          <w:rFonts w:ascii="Times New Roman" w:hAnsi="Times New Roman" w:cs="Times New Roman"/>
        </w:rPr>
        <w:t xml:space="preserve">determining </w:t>
      </w:r>
      <w:r w:rsidRPr="008E0C79">
        <w:rPr>
          <w:rFonts w:ascii="Times New Roman" w:hAnsi="Times New Roman" w:cs="Times New Roman"/>
        </w:rPr>
        <w:t xml:space="preserve">that </w:t>
      </w:r>
      <w:r w:rsidR="0084263A">
        <w:rPr>
          <w:rFonts w:ascii="Times New Roman" w:hAnsi="Times New Roman" w:cs="Times New Roman"/>
        </w:rPr>
        <w:t xml:space="preserve">the </w:t>
      </w:r>
      <w:r w:rsidRPr="008E0C79">
        <w:rPr>
          <w:rFonts w:ascii="Times New Roman" w:hAnsi="Times New Roman" w:cs="Times New Roman"/>
        </w:rPr>
        <w:t>529 College Savings Plan account is marital property</w:t>
      </w:r>
      <w:r>
        <w:rPr>
          <w:rFonts w:ascii="Times New Roman" w:hAnsi="Times New Roman" w:cs="Times New Roman"/>
        </w:rPr>
        <w:t xml:space="preserve"> and directing an equal sharing thereof</w:t>
      </w:r>
      <w:r w:rsidRPr="008E0C79">
        <w:rPr>
          <w:rFonts w:ascii="Times New Roman" w:hAnsi="Times New Roman" w:cs="Times New Roman"/>
        </w:rPr>
        <w:t>, with the parties sharing an equal interest therein</w:t>
      </w:r>
      <w:r>
        <w:rPr>
          <w:rFonts w:ascii="Times New Roman" w:hAnsi="Times New Roman" w:cs="Times New Roman"/>
        </w:rPr>
        <w:t xml:space="preserve">; and otherwise affirmed the judgment </w:t>
      </w:r>
      <w:r w:rsidRPr="008E0C79">
        <w:rPr>
          <w:rFonts w:ascii="Times New Roman" w:hAnsi="Times New Roman" w:cs="Times New Roman"/>
        </w:rPr>
        <w:t>as modified</w:t>
      </w:r>
      <w:r>
        <w:rPr>
          <w:rFonts w:ascii="Times New Roman" w:hAnsi="Times New Roman" w:cs="Times New Roman"/>
        </w:rPr>
        <w:t>. The Appellate Division held that “</w:t>
      </w:r>
      <w:r w:rsidRPr="008E0C79">
        <w:rPr>
          <w:rFonts w:ascii="Times New Roman" w:hAnsi="Times New Roman" w:cs="Times New Roman"/>
        </w:rPr>
        <w:t xml:space="preserve">Supreme Court providently exercised its discretion in awarding the </w:t>
      </w:r>
      <w:r>
        <w:rPr>
          <w:rFonts w:ascii="Times New Roman" w:hAnsi="Times New Roman" w:cs="Times New Roman"/>
        </w:rPr>
        <w:t xml:space="preserve">[husband] </w:t>
      </w:r>
      <w:r w:rsidRPr="008E0C79">
        <w:rPr>
          <w:rFonts w:ascii="Times New Roman" w:hAnsi="Times New Roman" w:cs="Times New Roman"/>
        </w:rPr>
        <w:t>a separate property credit in the sum of $2,117,650 with respect to the purchase of the marital residence</w:t>
      </w:r>
      <w:r>
        <w:rPr>
          <w:rFonts w:ascii="Times New Roman" w:hAnsi="Times New Roman" w:cs="Times New Roman"/>
        </w:rPr>
        <w:t>” given that “[t]</w:t>
      </w:r>
      <w:r w:rsidRPr="008E0C79">
        <w:rPr>
          <w:rFonts w:ascii="Times New Roman" w:hAnsi="Times New Roman" w:cs="Times New Roman"/>
        </w:rPr>
        <w:t xml:space="preserve">he record demonstrates that the balance due at closing was funded with monies gifted to the </w:t>
      </w:r>
      <w:r>
        <w:rPr>
          <w:rFonts w:ascii="Times New Roman" w:hAnsi="Times New Roman" w:cs="Times New Roman"/>
        </w:rPr>
        <w:t>[husband]</w:t>
      </w:r>
      <w:r w:rsidRPr="008E0C79">
        <w:rPr>
          <w:rFonts w:ascii="Times New Roman" w:hAnsi="Times New Roman" w:cs="Times New Roman"/>
        </w:rPr>
        <w:t xml:space="preserve"> from his parents, traced through </w:t>
      </w:r>
      <w:r>
        <w:rPr>
          <w:rFonts w:ascii="Times New Roman" w:hAnsi="Times New Roman" w:cs="Times New Roman"/>
        </w:rPr>
        <w:t xml:space="preserve">[his] </w:t>
      </w:r>
      <w:r w:rsidRPr="008E0C79">
        <w:rPr>
          <w:rFonts w:ascii="Times New Roman" w:hAnsi="Times New Roman" w:cs="Times New Roman"/>
        </w:rPr>
        <w:t xml:space="preserve">individual accounts, and used to satisfy the closing obligations. Similarly, the court providently exercised its discretion in directing that brokerage commissions and closing costs be deducted from the gross sale price of the marital residence before applying the separate property credit in favor of the </w:t>
      </w:r>
      <w:r w:rsidR="00402A62">
        <w:rPr>
          <w:rFonts w:ascii="Times New Roman" w:hAnsi="Times New Roman" w:cs="Times New Roman"/>
        </w:rPr>
        <w:t xml:space="preserve">[husband] </w:t>
      </w:r>
      <w:r w:rsidRPr="008E0C79">
        <w:rPr>
          <w:rFonts w:ascii="Times New Roman" w:hAnsi="Times New Roman" w:cs="Times New Roman"/>
        </w:rPr>
        <w:t>and distributing the remaining equity between the parties (</w:t>
      </w:r>
      <w:r>
        <w:rPr>
          <w:rFonts w:ascii="Times New Roman" w:hAnsi="Times New Roman" w:cs="Times New Roman"/>
        </w:rPr>
        <w:t>citations omitted).</w:t>
      </w:r>
      <w:r w:rsidRPr="008E0C79">
        <w:rPr>
          <w:rFonts w:ascii="Times New Roman" w:hAnsi="Times New Roman" w:cs="Times New Roman"/>
        </w:rPr>
        <w:t xml:space="preserve"> Furthermore, contrary to the defendant's contention, the court did not improvidently exercise its discretion in directing the defendant to pay 64.49% of the carrying charges on the marital residence until its sale, because this provision was expressly limited in duration and tracked the parties</w:t>
      </w:r>
      <w:r>
        <w:rPr>
          <w:rFonts w:ascii="Times New Roman" w:hAnsi="Times New Roman" w:cs="Times New Roman"/>
        </w:rPr>
        <w:t>’</w:t>
      </w:r>
      <w:r w:rsidRPr="008E0C79">
        <w:rPr>
          <w:rFonts w:ascii="Times New Roman" w:hAnsi="Times New Roman" w:cs="Times New Roman"/>
        </w:rPr>
        <w:t xml:space="preserve"> Child Support Standards Act pro rata shares, the evidence supported the conclusion that the </w:t>
      </w:r>
      <w:r>
        <w:rPr>
          <w:rFonts w:ascii="Times New Roman" w:hAnsi="Times New Roman" w:cs="Times New Roman"/>
        </w:rPr>
        <w:t xml:space="preserve">[husband] </w:t>
      </w:r>
      <w:r w:rsidRPr="008E0C79">
        <w:rPr>
          <w:rFonts w:ascii="Times New Roman" w:hAnsi="Times New Roman" w:cs="Times New Roman"/>
        </w:rPr>
        <w:t xml:space="preserve">possessed the financial ability to meet these expenses, and the directive incentivized cooperation among the parties to effectuate a sale </w:t>
      </w:r>
      <w:r>
        <w:rPr>
          <w:rFonts w:ascii="Times New Roman" w:hAnsi="Times New Roman" w:cs="Times New Roman"/>
        </w:rPr>
        <w:t>(citation omitted)</w:t>
      </w:r>
      <w:r w:rsidRPr="008E0C79">
        <w:rPr>
          <w:rFonts w:ascii="Times New Roman" w:hAnsi="Times New Roman" w:cs="Times New Roman"/>
        </w:rPr>
        <w:t>.</w:t>
      </w:r>
      <w:r>
        <w:rPr>
          <w:rFonts w:ascii="Times New Roman" w:hAnsi="Times New Roman" w:cs="Times New Roman"/>
        </w:rPr>
        <w:t>” The Second Department determined that “</w:t>
      </w:r>
      <w:r w:rsidRPr="008E0C79">
        <w:rPr>
          <w:rFonts w:ascii="Times New Roman" w:hAnsi="Times New Roman" w:cs="Times New Roman"/>
        </w:rPr>
        <w:t xml:space="preserve">Supreme Court providently exercised its discretion in valuing the </w:t>
      </w:r>
      <w:r>
        <w:rPr>
          <w:rFonts w:ascii="Times New Roman" w:hAnsi="Times New Roman" w:cs="Times New Roman"/>
        </w:rPr>
        <w:t>[husband’s]</w:t>
      </w:r>
      <w:r w:rsidRPr="008E0C79">
        <w:rPr>
          <w:rFonts w:ascii="Times New Roman" w:hAnsi="Times New Roman" w:cs="Times New Roman"/>
        </w:rPr>
        <w:t xml:space="preserve"> interest in </w:t>
      </w:r>
      <w:r>
        <w:rPr>
          <w:rFonts w:ascii="Times New Roman" w:hAnsi="Times New Roman" w:cs="Times New Roman"/>
        </w:rPr>
        <w:t xml:space="preserve">[the business] </w:t>
      </w:r>
      <w:r w:rsidRPr="008E0C79">
        <w:rPr>
          <w:rFonts w:ascii="Times New Roman" w:hAnsi="Times New Roman" w:cs="Times New Roman"/>
        </w:rPr>
        <w:t xml:space="preserve">at </w:t>
      </w:r>
      <w:r>
        <w:rPr>
          <w:rFonts w:ascii="Times New Roman" w:hAnsi="Times New Roman" w:cs="Times New Roman"/>
        </w:rPr>
        <w:t xml:space="preserve">*** </w:t>
      </w:r>
      <w:r w:rsidRPr="008E0C79">
        <w:rPr>
          <w:rFonts w:ascii="Times New Roman" w:hAnsi="Times New Roman" w:cs="Times New Roman"/>
        </w:rPr>
        <w:t xml:space="preserve">$607,000 as of the commencement date of this action for purposes of equitable distribution, rather than using a near-trial value </w:t>
      </w:r>
      <w:r>
        <w:rPr>
          <w:rFonts w:ascii="Times New Roman" w:hAnsi="Times New Roman" w:cs="Times New Roman"/>
        </w:rPr>
        <w:t xml:space="preserve">[thereof] *** </w:t>
      </w:r>
      <w:r w:rsidRPr="008E0C79">
        <w:rPr>
          <w:rFonts w:ascii="Times New Roman" w:hAnsi="Times New Roman" w:cs="Times New Roman"/>
        </w:rPr>
        <w:t xml:space="preserve">of $0 </w:t>
      </w:r>
      <w:r>
        <w:rPr>
          <w:rFonts w:ascii="Times New Roman" w:hAnsi="Times New Roman" w:cs="Times New Roman"/>
        </w:rPr>
        <w:t xml:space="preserve">(citations omitted). </w:t>
      </w:r>
      <w:r w:rsidRPr="008E0C79">
        <w:rPr>
          <w:rFonts w:ascii="Times New Roman" w:hAnsi="Times New Roman" w:cs="Times New Roman"/>
        </w:rPr>
        <w:t xml:space="preserve">The court likewise providently exercised its discretion in awarding the </w:t>
      </w:r>
      <w:r>
        <w:rPr>
          <w:rFonts w:ascii="Times New Roman" w:hAnsi="Times New Roman" w:cs="Times New Roman"/>
        </w:rPr>
        <w:t xml:space="preserve">[wife] </w:t>
      </w:r>
      <w:r w:rsidRPr="008E0C79">
        <w:rPr>
          <w:rFonts w:ascii="Times New Roman" w:hAnsi="Times New Roman" w:cs="Times New Roman"/>
        </w:rPr>
        <w:t xml:space="preserve">35% of that value </w:t>
      </w:r>
      <w:proofErr w:type="gramStart"/>
      <w:r w:rsidRPr="008E0C79">
        <w:rPr>
          <w:rFonts w:ascii="Times New Roman" w:hAnsi="Times New Roman" w:cs="Times New Roman"/>
        </w:rPr>
        <w:t>in light of</w:t>
      </w:r>
      <w:proofErr w:type="gramEnd"/>
      <w:r w:rsidRPr="008E0C79">
        <w:rPr>
          <w:rFonts w:ascii="Times New Roman" w:hAnsi="Times New Roman" w:cs="Times New Roman"/>
        </w:rPr>
        <w:t xml:space="preserve"> the relevant Domestic Relations Law §236(B) factors, including her indirect and nonremunerated contributions to the marriage</w:t>
      </w:r>
      <w:r>
        <w:rPr>
          <w:rFonts w:ascii="Times New Roman" w:hAnsi="Times New Roman" w:cs="Times New Roman"/>
        </w:rPr>
        <w:t xml:space="preserve"> (citations omitted)</w:t>
      </w:r>
      <w:r w:rsidRPr="008E0C79">
        <w:rPr>
          <w:rFonts w:ascii="Times New Roman" w:hAnsi="Times New Roman" w:cs="Times New Roman"/>
        </w:rPr>
        <w:t>.</w:t>
      </w:r>
      <w:r w:rsidR="00402A62">
        <w:rPr>
          <w:rFonts w:ascii="Times New Roman" w:hAnsi="Times New Roman" w:cs="Times New Roman"/>
        </w:rPr>
        <w:t>”</w:t>
      </w:r>
      <w:r>
        <w:rPr>
          <w:rFonts w:ascii="Times New Roman" w:hAnsi="Times New Roman" w:cs="Times New Roman"/>
        </w:rPr>
        <w:t xml:space="preserve"> The Second Department held that “</w:t>
      </w:r>
      <w:r w:rsidRPr="008E0C79">
        <w:rPr>
          <w:rFonts w:ascii="Times New Roman" w:hAnsi="Times New Roman" w:cs="Times New Roman"/>
        </w:rPr>
        <w:t xml:space="preserve">Supreme Court properly denied the </w:t>
      </w:r>
      <w:r>
        <w:rPr>
          <w:rFonts w:ascii="Times New Roman" w:hAnsi="Times New Roman" w:cs="Times New Roman"/>
        </w:rPr>
        <w:t xml:space="preserve">[husband’s] </w:t>
      </w:r>
      <w:r w:rsidRPr="008E0C79">
        <w:rPr>
          <w:rFonts w:ascii="Times New Roman" w:hAnsi="Times New Roman" w:cs="Times New Roman"/>
        </w:rPr>
        <w:t xml:space="preserve">application for a separate property credit in the sum of $500,000 with respect to funds given to the </w:t>
      </w:r>
      <w:r>
        <w:rPr>
          <w:rFonts w:ascii="Times New Roman" w:hAnsi="Times New Roman" w:cs="Times New Roman"/>
        </w:rPr>
        <w:t xml:space="preserve">[husband] </w:t>
      </w:r>
      <w:r w:rsidRPr="008E0C79">
        <w:rPr>
          <w:rFonts w:ascii="Times New Roman" w:hAnsi="Times New Roman" w:cs="Times New Roman"/>
        </w:rPr>
        <w:t xml:space="preserve">by his father </w:t>
      </w:r>
      <w:r>
        <w:rPr>
          <w:rFonts w:ascii="Times New Roman" w:hAnsi="Times New Roman" w:cs="Times New Roman"/>
        </w:rPr>
        <w:t xml:space="preserve">*** [because] the </w:t>
      </w:r>
      <w:r w:rsidRPr="008E0C79">
        <w:rPr>
          <w:rFonts w:ascii="Times New Roman" w:hAnsi="Times New Roman" w:cs="Times New Roman"/>
        </w:rPr>
        <w:t>record supports the findings that the money was intended for a joint purpose benefitting both parties, namely, establishing permanent residency through an EB-5 Immigrant Investor Program placement, and that the proceeds were later mixed with marital funds and placed in joint title.</w:t>
      </w:r>
      <w:r>
        <w:rPr>
          <w:rFonts w:ascii="Times New Roman" w:hAnsi="Times New Roman" w:cs="Times New Roman"/>
        </w:rPr>
        <w:t>” The Appellate Division further determined that Supreme Court “</w:t>
      </w:r>
      <w:r w:rsidRPr="008E0C79">
        <w:rPr>
          <w:rFonts w:ascii="Times New Roman" w:hAnsi="Times New Roman" w:cs="Times New Roman"/>
        </w:rPr>
        <w:t xml:space="preserve">properly denied the </w:t>
      </w:r>
      <w:r>
        <w:rPr>
          <w:rFonts w:ascii="Times New Roman" w:hAnsi="Times New Roman" w:cs="Times New Roman"/>
        </w:rPr>
        <w:t xml:space="preserve">[husband’s] </w:t>
      </w:r>
      <w:r w:rsidRPr="008E0C79">
        <w:rPr>
          <w:rFonts w:ascii="Times New Roman" w:hAnsi="Times New Roman" w:cs="Times New Roman"/>
        </w:rPr>
        <w:t>application for a separate property credit in the sum of $70,000 allegedly traced from a premarital Scottrade account into an Interactive Brokers account</w:t>
      </w:r>
      <w:r>
        <w:rPr>
          <w:rFonts w:ascii="Times New Roman" w:hAnsi="Times New Roman" w:cs="Times New Roman"/>
        </w:rPr>
        <w:t>.” As to counsel fees, the Second Department found that “</w:t>
      </w:r>
      <w:r w:rsidRPr="008E0C79">
        <w:rPr>
          <w:rFonts w:ascii="Times New Roman" w:hAnsi="Times New Roman" w:cs="Times New Roman"/>
        </w:rPr>
        <w:t xml:space="preserve">considering the equities and circumstances of this case, including the parties' respective financial conditions and their conduct, the Supreme Court providently exercised its discretion in awarding the </w:t>
      </w:r>
      <w:r>
        <w:rPr>
          <w:rFonts w:ascii="Times New Roman" w:hAnsi="Times New Roman" w:cs="Times New Roman"/>
        </w:rPr>
        <w:t>[wife]</w:t>
      </w:r>
      <w:r w:rsidRPr="008E0C79">
        <w:rPr>
          <w:rFonts w:ascii="Times New Roman" w:hAnsi="Times New Roman" w:cs="Times New Roman"/>
        </w:rPr>
        <w:t xml:space="preserve"> </w:t>
      </w:r>
      <w:r w:rsidRPr="008E0C79">
        <w:rPr>
          <w:rFonts w:ascii="Times New Roman" w:hAnsi="Times New Roman" w:cs="Times New Roman"/>
        </w:rPr>
        <w:lastRenderedPageBreak/>
        <w:t>counsel fees in the sum of $50,000</w:t>
      </w:r>
      <w:r>
        <w:rPr>
          <w:rFonts w:ascii="Times New Roman" w:hAnsi="Times New Roman" w:cs="Times New Roman"/>
        </w:rPr>
        <w:t>.” On the issue of maintenance, the Appellate Division found that “</w:t>
      </w:r>
      <w:r w:rsidRPr="008E0C79">
        <w:rPr>
          <w:rFonts w:ascii="Times New Roman" w:hAnsi="Times New Roman" w:cs="Times New Roman"/>
        </w:rPr>
        <w:t xml:space="preserve">Supreme Court's determination to impute annual income to the </w:t>
      </w:r>
      <w:r>
        <w:rPr>
          <w:rFonts w:ascii="Times New Roman" w:hAnsi="Times New Roman" w:cs="Times New Roman"/>
        </w:rPr>
        <w:t xml:space="preserve">[husband] *** </w:t>
      </w:r>
      <w:r w:rsidRPr="008E0C79">
        <w:rPr>
          <w:rFonts w:ascii="Times New Roman" w:hAnsi="Times New Roman" w:cs="Times New Roman"/>
        </w:rPr>
        <w:t>of $300,000 was warranted by the facts</w:t>
      </w:r>
      <w:r>
        <w:rPr>
          <w:rFonts w:ascii="Times New Roman" w:hAnsi="Times New Roman" w:cs="Times New Roman"/>
        </w:rPr>
        <w:t>” and “</w:t>
      </w:r>
      <w:r w:rsidRPr="008E0C79">
        <w:rPr>
          <w:rFonts w:ascii="Times New Roman" w:hAnsi="Times New Roman" w:cs="Times New Roman"/>
        </w:rPr>
        <w:t>considering the relevant statutory factors, including, among other things, the parties</w:t>
      </w:r>
      <w:r>
        <w:rPr>
          <w:rFonts w:ascii="Times New Roman" w:hAnsi="Times New Roman" w:cs="Times New Roman"/>
        </w:rPr>
        <w:t>’</w:t>
      </w:r>
      <w:r w:rsidRPr="008E0C79">
        <w:rPr>
          <w:rFonts w:ascii="Times New Roman" w:hAnsi="Times New Roman" w:cs="Times New Roman"/>
        </w:rPr>
        <w:t xml:space="preserve"> present and future earning capacities, the standard of living the parties established during the marriage, and the equitable distribution of the marital assets, the court's award of maintenance to the </w:t>
      </w:r>
      <w:r>
        <w:rPr>
          <w:rFonts w:ascii="Times New Roman" w:hAnsi="Times New Roman" w:cs="Times New Roman"/>
        </w:rPr>
        <w:t xml:space="preserve">[wife] *** </w:t>
      </w:r>
      <w:r w:rsidRPr="008E0C79">
        <w:rPr>
          <w:rFonts w:ascii="Times New Roman" w:hAnsi="Times New Roman" w:cs="Times New Roman"/>
        </w:rPr>
        <w:t>of $4,000 per month for 17 months was a provident exercise of discretion</w:t>
      </w:r>
      <w:r>
        <w:rPr>
          <w:rFonts w:ascii="Times New Roman" w:hAnsi="Times New Roman" w:cs="Times New Roman"/>
        </w:rPr>
        <w:t>.”  As to child support, the Second Department held that “</w:t>
      </w:r>
      <w:r w:rsidRPr="008E0C79">
        <w:rPr>
          <w:rFonts w:ascii="Times New Roman" w:hAnsi="Times New Roman" w:cs="Times New Roman"/>
        </w:rPr>
        <w:t>Supreme Court properly calculated the parties</w:t>
      </w:r>
      <w:r>
        <w:rPr>
          <w:rFonts w:ascii="Times New Roman" w:hAnsi="Times New Roman" w:cs="Times New Roman"/>
        </w:rPr>
        <w:t>’</w:t>
      </w:r>
      <w:r w:rsidRPr="008E0C79">
        <w:rPr>
          <w:rFonts w:ascii="Times New Roman" w:hAnsi="Times New Roman" w:cs="Times New Roman"/>
        </w:rPr>
        <w:t xml:space="preserve"> presumptive child support obligation up to the statutory cap </w:t>
      </w:r>
      <w:r>
        <w:rPr>
          <w:rFonts w:ascii="Times New Roman" w:hAnsi="Times New Roman" w:cs="Times New Roman"/>
        </w:rPr>
        <w:t xml:space="preserve">*** </w:t>
      </w:r>
      <w:r w:rsidRPr="008E0C79">
        <w:rPr>
          <w:rFonts w:ascii="Times New Roman" w:hAnsi="Times New Roman" w:cs="Times New Roman"/>
        </w:rPr>
        <w:t xml:space="preserve">and </w:t>
      </w:r>
      <w:r>
        <w:rPr>
          <w:rFonts w:ascii="Times New Roman" w:hAnsi="Times New Roman" w:cs="Times New Roman"/>
        </w:rPr>
        <w:t xml:space="preserve">*** </w:t>
      </w:r>
      <w:r w:rsidRPr="008E0C79">
        <w:rPr>
          <w:rFonts w:ascii="Times New Roman" w:hAnsi="Times New Roman" w:cs="Times New Roman"/>
        </w:rPr>
        <w:t>deviated upward with articulated reasons based on its consideration of the family</w:t>
      </w:r>
      <w:r>
        <w:rPr>
          <w:rFonts w:ascii="Times New Roman" w:hAnsi="Times New Roman" w:cs="Times New Roman"/>
        </w:rPr>
        <w:t xml:space="preserve">’s </w:t>
      </w:r>
      <w:r w:rsidRPr="008E0C79">
        <w:rPr>
          <w:rFonts w:ascii="Times New Roman" w:hAnsi="Times New Roman" w:cs="Times New Roman"/>
        </w:rPr>
        <w:t>standard of living during the marriage, the disparity in the parties</w:t>
      </w:r>
      <w:r>
        <w:rPr>
          <w:rFonts w:ascii="Times New Roman" w:hAnsi="Times New Roman" w:cs="Times New Roman"/>
        </w:rPr>
        <w:t>’</w:t>
      </w:r>
      <w:r w:rsidRPr="008E0C79">
        <w:rPr>
          <w:rFonts w:ascii="Times New Roman" w:hAnsi="Times New Roman" w:cs="Times New Roman"/>
        </w:rPr>
        <w:t xml:space="preserve"> incomes, and the </w:t>
      </w:r>
      <w:r>
        <w:rPr>
          <w:rFonts w:ascii="Times New Roman" w:hAnsi="Times New Roman" w:cs="Times New Roman"/>
        </w:rPr>
        <w:t xml:space="preserve">[husband’s] </w:t>
      </w:r>
      <w:r w:rsidRPr="008E0C79">
        <w:rPr>
          <w:rFonts w:ascii="Times New Roman" w:hAnsi="Times New Roman" w:cs="Times New Roman"/>
        </w:rPr>
        <w:t>foreign assets</w:t>
      </w:r>
      <w:r>
        <w:rPr>
          <w:rFonts w:ascii="Times New Roman" w:hAnsi="Times New Roman" w:cs="Times New Roman"/>
        </w:rPr>
        <w:t xml:space="preserve"> (citations omitted).”  The Appellate Division held that “</w:t>
      </w:r>
      <w:r w:rsidRPr="008E0C79">
        <w:rPr>
          <w:rFonts w:ascii="Times New Roman" w:hAnsi="Times New Roman" w:cs="Times New Roman"/>
        </w:rPr>
        <w:t>it was premature for the Supreme Court to direct the defendant to contribute to the college expenses of the parties</w:t>
      </w:r>
      <w:r>
        <w:rPr>
          <w:rFonts w:ascii="Times New Roman" w:hAnsi="Times New Roman" w:cs="Times New Roman"/>
        </w:rPr>
        <w:t>’</w:t>
      </w:r>
      <w:r w:rsidRPr="008E0C79">
        <w:rPr>
          <w:rFonts w:ascii="Times New Roman" w:hAnsi="Times New Roman" w:cs="Times New Roman"/>
        </w:rPr>
        <w:t xml:space="preserve"> child </w:t>
      </w:r>
      <w:r>
        <w:rPr>
          <w:rFonts w:ascii="Times New Roman" w:hAnsi="Times New Roman" w:cs="Times New Roman"/>
        </w:rPr>
        <w:t>because “</w:t>
      </w:r>
      <w:r w:rsidRPr="008E0C79">
        <w:rPr>
          <w:rFonts w:ascii="Times New Roman" w:hAnsi="Times New Roman" w:cs="Times New Roman"/>
        </w:rPr>
        <w:t xml:space="preserve">college is several years away, and no evidence </w:t>
      </w:r>
      <w:r>
        <w:rPr>
          <w:rFonts w:ascii="Times New Roman" w:hAnsi="Times New Roman" w:cs="Times New Roman"/>
        </w:rPr>
        <w:t xml:space="preserve">[was] </w:t>
      </w:r>
      <w:r w:rsidRPr="008E0C79">
        <w:rPr>
          <w:rFonts w:ascii="Times New Roman" w:hAnsi="Times New Roman" w:cs="Times New Roman"/>
        </w:rPr>
        <w:t>presented as to the child</w:t>
      </w:r>
      <w:r>
        <w:rPr>
          <w:rFonts w:ascii="Times New Roman" w:hAnsi="Times New Roman" w:cs="Times New Roman"/>
        </w:rPr>
        <w:t>’</w:t>
      </w:r>
      <w:r w:rsidRPr="008E0C79">
        <w:rPr>
          <w:rFonts w:ascii="Times New Roman" w:hAnsi="Times New Roman" w:cs="Times New Roman"/>
        </w:rPr>
        <w:t>s academic interests, ability, possible choice of college, or what his or her expenses might be,</w:t>
      </w:r>
      <w:r w:rsidR="00402A62">
        <w:rPr>
          <w:rFonts w:ascii="Times New Roman" w:hAnsi="Times New Roman" w:cs="Times New Roman"/>
        </w:rPr>
        <w:t xml:space="preserve"> </w:t>
      </w:r>
      <w:r w:rsidRPr="008E0C79">
        <w:rPr>
          <w:rFonts w:ascii="Times New Roman" w:hAnsi="Times New Roman" w:cs="Times New Roman"/>
        </w:rPr>
        <w:t>a directive compelling [a parent] to pay for those expenses is premature and not supported by the evidence</w:t>
      </w:r>
      <w:r>
        <w:rPr>
          <w:rFonts w:ascii="Times New Roman" w:hAnsi="Times New Roman" w:cs="Times New Roman"/>
        </w:rPr>
        <w:t>,” given that the child was 5 years old at the time of trial.</w:t>
      </w:r>
      <w:r w:rsidRPr="008E0C79">
        <w:rPr>
          <w:rFonts w:ascii="Times New Roman" w:hAnsi="Times New Roman" w:cs="Times New Roman"/>
        </w:rPr>
        <w:t xml:space="preserve"> </w:t>
      </w:r>
      <w:r>
        <w:rPr>
          <w:rFonts w:ascii="Times New Roman" w:hAnsi="Times New Roman" w:cs="Times New Roman"/>
        </w:rPr>
        <w:t>The Second Department observed that although “</w:t>
      </w:r>
      <w:r w:rsidRPr="008E0C79">
        <w:rPr>
          <w:rFonts w:ascii="Times New Roman" w:hAnsi="Times New Roman" w:cs="Times New Roman"/>
        </w:rPr>
        <w:t>Supreme Court did not equitably distribute the New York 529 College Savings Plan account for the child, the parties identified this account as marital property</w:t>
      </w:r>
      <w:r>
        <w:rPr>
          <w:rFonts w:ascii="Times New Roman" w:hAnsi="Times New Roman" w:cs="Times New Roman"/>
        </w:rPr>
        <w:t>” and modified the judgment to direct an equal sharing thereof.</w:t>
      </w:r>
    </w:p>
    <w:p w14:paraId="026B9C63" w14:textId="77777777" w:rsidR="00787BAF" w:rsidRDefault="00787BAF" w:rsidP="00787BAF">
      <w:pPr>
        <w:pStyle w:val="Heading2"/>
        <w:numPr>
          <w:ilvl w:val="0"/>
          <w:numId w:val="0"/>
        </w:numPr>
        <w:spacing w:line="240" w:lineRule="auto"/>
        <w:contextualSpacing/>
        <w:jc w:val="both"/>
        <w:rPr>
          <w:rFonts w:ascii="Times New Roman" w:hAnsi="Times New Roman" w:cs="Times New Roman"/>
        </w:rPr>
      </w:pPr>
    </w:p>
    <w:p w14:paraId="36B07E8D" w14:textId="77777777" w:rsidR="00787BAF" w:rsidRPr="00787BAF" w:rsidRDefault="00787BAF" w:rsidP="00787BAF">
      <w:pPr>
        <w:pStyle w:val="Heading2"/>
        <w:numPr>
          <w:ilvl w:val="0"/>
          <w:numId w:val="0"/>
        </w:numPr>
        <w:jc w:val="both"/>
        <w:rPr>
          <w:rFonts w:ascii="Times New Roman" w:hAnsi="Times New Roman" w:cs="Times New Roman"/>
          <w:b/>
          <w:bCs/>
        </w:rPr>
      </w:pPr>
      <w:r w:rsidRPr="00787BAF">
        <w:rPr>
          <w:rFonts w:ascii="Times New Roman" w:hAnsi="Times New Roman" w:cs="Times New Roman"/>
          <w:b/>
          <w:bCs/>
        </w:rPr>
        <w:t>Child Support - Modification – 15% - Denial Reversed and Remitted, Counsel Fees Vacated</w:t>
      </w:r>
    </w:p>
    <w:p w14:paraId="4418C484" w14:textId="2BF3C110" w:rsidR="00787BAF" w:rsidRDefault="00787BAF" w:rsidP="00787BAF">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787BAF">
        <w:rPr>
          <w:rFonts w:ascii="Times New Roman" w:hAnsi="Times New Roman" w:cs="Times New Roman"/>
          <w:b/>
          <w:bCs/>
          <w:i/>
          <w:iCs/>
        </w:rPr>
        <w:t>Shzu v. Marrelli</w:t>
      </w:r>
      <w:r>
        <w:rPr>
          <w:rFonts w:ascii="Times New Roman" w:hAnsi="Times New Roman" w:cs="Times New Roman"/>
        </w:rPr>
        <w:t>, 2025 Westlaw 3084977 (2d Dept. Nov. 5, 2025), the parties have 2 children and were divorced in October 2020. The father appealed from a May 2022 Supreme Court order which, among other things, denied his November 2021 motion for downward modification of child support and granted the mother $12,000 in counsel fees. The Second Department reversed, on the law, remitted for a new determination of the father’s motion, and vacated the counsel fee award. The Appellate Division found that the mother “conceded that her income had increased by more than 15% since the entry of the judgment of divorce, and warranted a new determination of the parties’ respective child support obligations ***, [but] “Supreme Court failed to find that [her income] had [so] increased ***, and, instead, found that the [father’s] representations regarding his income lacked credibility and denied *** his motion.” The Second Department held that “the increase in the [mother’s] income entitles the [father] to a new determination of the parties’ respective basic child support obligations, irrespective of whether any decrease in the [father’s] income may also be properly considered.”</w:t>
      </w:r>
    </w:p>
    <w:p w14:paraId="50E5B3AD" w14:textId="77777777" w:rsidR="00F82A3C" w:rsidRDefault="00F82A3C" w:rsidP="00787BAF">
      <w:pPr>
        <w:pStyle w:val="Heading2"/>
        <w:numPr>
          <w:ilvl w:val="0"/>
          <w:numId w:val="0"/>
        </w:numPr>
        <w:spacing w:line="240" w:lineRule="auto"/>
        <w:contextualSpacing/>
        <w:jc w:val="both"/>
        <w:rPr>
          <w:rFonts w:ascii="Times New Roman" w:hAnsi="Times New Roman" w:cs="Times New Roman"/>
        </w:rPr>
      </w:pPr>
    </w:p>
    <w:p w14:paraId="60BA03C1" w14:textId="16542C21" w:rsidR="00F82A3C" w:rsidRDefault="00F82A3C" w:rsidP="00787BAF">
      <w:pPr>
        <w:pStyle w:val="Heading2"/>
        <w:numPr>
          <w:ilvl w:val="0"/>
          <w:numId w:val="0"/>
        </w:numPr>
        <w:spacing w:line="240" w:lineRule="auto"/>
        <w:contextualSpacing/>
        <w:jc w:val="both"/>
        <w:rPr>
          <w:rFonts w:ascii="Times New Roman" w:hAnsi="Times New Roman" w:cs="Times New Roman"/>
          <w:b/>
          <w:bCs/>
        </w:rPr>
      </w:pPr>
      <w:r w:rsidRPr="00F82A3C">
        <w:rPr>
          <w:rFonts w:ascii="Times New Roman" w:hAnsi="Times New Roman" w:cs="Times New Roman"/>
          <w:b/>
          <w:bCs/>
        </w:rPr>
        <w:t>Counsel Fees – After Trial; Equitable Distribution - Denial of Business Shares and Credits for Stocks, Medical Expenses (Out of Network) and Monies Taken from Business; Maintenance – Durational – Extended on Appeal</w:t>
      </w:r>
    </w:p>
    <w:p w14:paraId="113BD106" w14:textId="77777777" w:rsidR="00F82A3C" w:rsidRDefault="00F82A3C" w:rsidP="00787BAF">
      <w:pPr>
        <w:pStyle w:val="Heading2"/>
        <w:numPr>
          <w:ilvl w:val="0"/>
          <w:numId w:val="0"/>
        </w:numPr>
        <w:spacing w:line="240" w:lineRule="auto"/>
        <w:contextualSpacing/>
        <w:jc w:val="both"/>
        <w:rPr>
          <w:rFonts w:ascii="Times New Roman" w:hAnsi="Times New Roman" w:cs="Times New Roman"/>
          <w:b/>
          <w:bCs/>
        </w:rPr>
      </w:pPr>
    </w:p>
    <w:p w14:paraId="15D11888" w14:textId="015EDAFF" w:rsidR="00F82A3C" w:rsidRDefault="00F82A3C" w:rsidP="00787BAF">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F82A3C">
        <w:rPr>
          <w:rFonts w:ascii="Times New Roman" w:hAnsi="Times New Roman" w:cs="Times New Roman"/>
          <w:b/>
          <w:bCs/>
          <w:i/>
          <w:iCs/>
        </w:rPr>
        <w:t>Rothman v. Rothman</w:t>
      </w:r>
      <w:r>
        <w:rPr>
          <w:rFonts w:ascii="Times New Roman" w:hAnsi="Times New Roman" w:cs="Times New Roman"/>
        </w:rPr>
        <w:t xml:space="preserve">, 2025 Westlaw 3290602 (2d Dept. Nov. 26, 2025), the parties were married in 1992 and have 2 emancipated children. The wife commenced the action for divorce in September 2016, the trial of which was scheduled to commence on March 17, 2020, but was adjourned due to the COVID-19 pandemic. In July 2020, the parties stipulated to waive their right to trial and to have the issues of equitable distribution, maintenance and credits claimed by the parties determined by submission of papers in lieu of testimony. The wife appealed from a </w:t>
      </w:r>
      <w:r w:rsidRPr="008A4503">
        <w:rPr>
          <w:rFonts w:ascii="Times New Roman" w:hAnsi="Times New Roman" w:cs="Times New Roman"/>
        </w:rPr>
        <w:lastRenderedPageBreak/>
        <w:t xml:space="preserve">January 2022 judgment of divorce, </w:t>
      </w:r>
      <w:r>
        <w:rPr>
          <w:rFonts w:ascii="Times New Roman" w:hAnsi="Times New Roman" w:cs="Times New Roman"/>
        </w:rPr>
        <w:t>which:</w:t>
      </w:r>
      <w:r w:rsidRPr="008A4503">
        <w:rPr>
          <w:rFonts w:ascii="Times New Roman" w:hAnsi="Times New Roman" w:cs="Times New Roman"/>
        </w:rPr>
        <w:t xml:space="preserve"> (1) directed the </w:t>
      </w:r>
      <w:r>
        <w:rPr>
          <w:rFonts w:ascii="Times New Roman" w:hAnsi="Times New Roman" w:cs="Times New Roman"/>
        </w:rPr>
        <w:t xml:space="preserve">husband </w:t>
      </w:r>
      <w:r w:rsidRPr="008A4503">
        <w:rPr>
          <w:rFonts w:ascii="Times New Roman" w:hAnsi="Times New Roman" w:cs="Times New Roman"/>
        </w:rPr>
        <w:t xml:space="preserve">to pay </w:t>
      </w:r>
      <w:r>
        <w:rPr>
          <w:rFonts w:ascii="Times New Roman" w:hAnsi="Times New Roman" w:cs="Times New Roman"/>
        </w:rPr>
        <w:t xml:space="preserve">her </w:t>
      </w:r>
      <w:r w:rsidRPr="008A4503">
        <w:rPr>
          <w:rFonts w:ascii="Times New Roman" w:hAnsi="Times New Roman" w:cs="Times New Roman"/>
        </w:rPr>
        <w:t>maintenance for a period of only two years in the sum of only $12,000 per month and thereafter, for a period of only three years in the sum of only $11,000 per month</w:t>
      </w:r>
      <w:r>
        <w:rPr>
          <w:rFonts w:ascii="Times New Roman" w:hAnsi="Times New Roman" w:cs="Times New Roman"/>
        </w:rPr>
        <w:t>;</w:t>
      </w:r>
      <w:r w:rsidRPr="008A4503">
        <w:rPr>
          <w:rFonts w:ascii="Times New Roman" w:hAnsi="Times New Roman" w:cs="Times New Roman"/>
        </w:rPr>
        <w:t xml:space="preserve"> (2) declined to award </w:t>
      </w:r>
      <w:r>
        <w:rPr>
          <w:rFonts w:ascii="Times New Roman" w:hAnsi="Times New Roman" w:cs="Times New Roman"/>
        </w:rPr>
        <w:t xml:space="preserve">her </w:t>
      </w:r>
      <w:r w:rsidRPr="008A4503">
        <w:rPr>
          <w:rFonts w:ascii="Times New Roman" w:hAnsi="Times New Roman" w:cs="Times New Roman"/>
        </w:rPr>
        <w:t xml:space="preserve">50% of the alleged value of the office furniture, equipment, and scrap metal of the marital business, (3) directed that the </w:t>
      </w:r>
      <w:r>
        <w:rPr>
          <w:rFonts w:ascii="Times New Roman" w:hAnsi="Times New Roman" w:cs="Times New Roman"/>
        </w:rPr>
        <w:t xml:space="preserve">husband </w:t>
      </w:r>
      <w:r w:rsidRPr="008A4503">
        <w:rPr>
          <w:rFonts w:ascii="Times New Roman" w:hAnsi="Times New Roman" w:cs="Times New Roman"/>
        </w:rPr>
        <w:t xml:space="preserve">be awarded his business interest in his new business and declined to award </w:t>
      </w:r>
      <w:r>
        <w:rPr>
          <w:rFonts w:ascii="Times New Roman" w:hAnsi="Times New Roman" w:cs="Times New Roman"/>
        </w:rPr>
        <w:t xml:space="preserve">her </w:t>
      </w:r>
      <w:r w:rsidRPr="008A4503">
        <w:rPr>
          <w:rFonts w:ascii="Times New Roman" w:hAnsi="Times New Roman" w:cs="Times New Roman"/>
        </w:rPr>
        <w:t xml:space="preserve">any interest in the </w:t>
      </w:r>
      <w:r>
        <w:rPr>
          <w:rFonts w:ascii="Times New Roman" w:hAnsi="Times New Roman" w:cs="Times New Roman"/>
        </w:rPr>
        <w:t>husband</w:t>
      </w:r>
      <w:r w:rsidRPr="008A4503">
        <w:rPr>
          <w:rFonts w:ascii="Times New Roman" w:hAnsi="Times New Roman" w:cs="Times New Roman"/>
        </w:rPr>
        <w:t xml:space="preserve">'s new business, (4) declined to award the </w:t>
      </w:r>
      <w:r>
        <w:rPr>
          <w:rFonts w:ascii="Times New Roman" w:hAnsi="Times New Roman" w:cs="Times New Roman"/>
        </w:rPr>
        <w:t xml:space="preserve">wife </w:t>
      </w:r>
      <w:r w:rsidRPr="008A4503">
        <w:rPr>
          <w:rFonts w:ascii="Times New Roman" w:hAnsi="Times New Roman" w:cs="Times New Roman"/>
        </w:rPr>
        <w:t xml:space="preserve">a credit for one half of the present day value of marital stocks, (5) declined to award the </w:t>
      </w:r>
      <w:r>
        <w:rPr>
          <w:rFonts w:ascii="Times New Roman" w:hAnsi="Times New Roman" w:cs="Times New Roman"/>
        </w:rPr>
        <w:t xml:space="preserve">wife </w:t>
      </w:r>
      <w:r w:rsidRPr="008A4503">
        <w:rPr>
          <w:rFonts w:ascii="Times New Roman" w:hAnsi="Times New Roman" w:cs="Times New Roman"/>
        </w:rPr>
        <w:t xml:space="preserve">credits for certain medical expenses incurred and certain sums the </w:t>
      </w:r>
      <w:r>
        <w:rPr>
          <w:rFonts w:ascii="Times New Roman" w:hAnsi="Times New Roman" w:cs="Times New Roman"/>
        </w:rPr>
        <w:t xml:space="preserve">husband </w:t>
      </w:r>
      <w:r w:rsidRPr="008A4503">
        <w:rPr>
          <w:rFonts w:ascii="Times New Roman" w:hAnsi="Times New Roman" w:cs="Times New Roman"/>
        </w:rPr>
        <w:t xml:space="preserve">took from the marital business, and (6) awarded </w:t>
      </w:r>
      <w:r>
        <w:rPr>
          <w:rFonts w:ascii="Times New Roman" w:hAnsi="Times New Roman" w:cs="Times New Roman"/>
        </w:rPr>
        <w:t xml:space="preserve">her </w:t>
      </w:r>
      <w:r w:rsidRPr="008A4503">
        <w:rPr>
          <w:rFonts w:ascii="Times New Roman" w:hAnsi="Times New Roman" w:cs="Times New Roman"/>
        </w:rPr>
        <w:t>only $125,000 in counsel fees.</w:t>
      </w:r>
      <w:r>
        <w:rPr>
          <w:rFonts w:ascii="Times New Roman" w:hAnsi="Times New Roman" w:cs="Times New Roman"/>
        </w:rPr>
        <w:t xml:space="preserve">  The Second Department </w:t>
      </w:r>
      <w:r w:rsidRPr="00975F39">
        <w:rPr>
          <w:rFonts w:ascii="Times New Roman" w:hAnsi="Times New Roman" w:cs="Times New Roman"/>
        </w:rPr>
        <w:t xml:space="preserve"> modified, on the law, on the facts, and in the exercise of discretion, by directing the </w:t>
      </w:r>
      <w:r>
        <w:rPr>
          <w:rFonts w:ascii="Times New Roman" w:hAnsi="Times New Roman" w:cs="Times New Roman"/>
        </w:rPr>
        <w:t xml:space="preserve">husband </w:t>
      </w:r>
      <w:r w:rsidRPr="00975F39">
        <w:rPr>
          <w:rFonts w:ascii="Times New Roman" w:hAnsi="Times New Roman" w:cs="Times New Roman"/>
        </w:rPr>
        <w:t xml:space="preserve">to pay the </w:t>
      </w:r>
      <w:r>
        <w:rPr>
          <w:rFonts w:ascii="Times New Roman" w:hAnsi="Times New Roman" w:cs="Times New Roman"/>
        </w:rPr>
        <w:t xml:space="preserve">wife </w:t>
      </w:r>
      <w:r w:rsidRPr="00975F39">
        <w:rPr>
          <w:rFonts w:ascii="Times New Roman" w:hAnsi="Times New Roman" w:cs="Times New Roman"/>
        </w:rPr>
        <w:t>maintenance for a period of two years in the sum of $12,000 per month, and thereafter, for a period of three years in the sum of $11,000 per month, and thereafter, for a period of seven years in the sum of $8,000 per month</w:t>
      </w:r>
      <w:r>
        <w:rPr>
          <w:rFonts w:ascii="Times New Roman" w:hAnsi="Times New Roman" w:cs="Times New Roman"/>
        </w:rPr>
        <w:t xml:space="preserve">, and otherwise </w:t>
      </w:r>
      <w:r w:rsidRPr="00975F39">
        <w:rPr>
          <w:rFonts w:ascii="Times New Roman" w:hAnsi="Times New Roman" w:cs="Times New Roman"/>
        </w:rPr>
        <w:t>affirmed</w:t>
      </w:r>
      <w:r>
        <w:rPr>
          <w:rFonts w:ascii="Times New Roman" w:hAnsi="Times New Roman" w:cs="Times New Roman"/>
        </w:rPr>
        <w:t xml:space="preserve">. The Appellate Division held that </w:t>
      </w:r>
      <w:r w:rsidRPr="00975F39">
        <w:rPr>
          <w:rFonts w:ascii="Times New Roman" w:hAnsi="Times New Roman" w:cs="Times New Roman"/>
        </w:rPr>
        <w:t xml:space="preserve">Supreme Court </w:t>
      </w:r>
      <w:r>
        <w:rPr>
          <w:rFonts w:ascii="Times New Roman" w:hAnsi="Times New Roman" w:cs="Times New Roman"/>
        </w:rPr>
        <w:t>“</w:t>
      </w:r>
      <w:r w:rsidRPr="00975F39">
        <w:rPr>
          <w:rFonts w:ascii="Times New Roman" w:hAnsi="Times New Roman" w:cs="Times New Roman"/>
        </w:rPr>
        <w:t>improvidently exercised its discretion in awarding maintenance for a total period of only five years. Taking into account the length of the marriage and the parties predivorce standard of living, as well as the facts that the plaintiff was 57 years old at the time of the parties' submissions, largely had been absent from the workforce for almost 20 years, and suffered from physical and mental health issues, some of which resulted from the defendant's infliction of domestic violence upon the plaintiff, it was unrealistic to believe that the plaintiff would be able to achieve a level of financial independence that would eliminate her need to rely on the defendant's support after only 5 years (</w:t>
      </w:r>
      <w:r>
        <w:rPr>
          <w:rFonts w:ascii="Times New Roman" w:hAnsi="Times New Roman" w:cs="Times New Roman"/>
        </w:rPr>
        <w:t>citations omitted).” The Court determined “</w:t>
      </w:r>
      <w:r w:rsidRPr="00975F39">
        <w:rPr>
          <w:rFonts w:ascii="Times New Roman" w:hAnsi="Times New Roman" w:cs="Times New Roman"/>
        </w:rPr>
        <w:t>that an award of maintenance for an additional seven years in the sum of $8,000 per month is appropriate (</w:t>
      </w:r>
      <w:r>
        <w:rPr>
          <w:rFonts w:ascii="Times New Roman" w:hAnsi="Times New Roman" w:cs="Times New Roman"/>
        </w:rPr>
        <w:t>citations omitted).”  As to the distribution and credit issues, the Second Department held: “</w:t>
      </w:r>
      <w:r w:rsidRPr="00DF697D">
        <w:rPr>
          <w:rFonts w:ascii="Times New Roman" w:hAnsi="Times New Roman" w:cs="Times New Roman"/>
        </w:rPr>
        <w:t xml:space="preserve">Supreme Court providently exercised its discretion in declining to award the </w:t>
      </w:r>
      <w:r>
        <w:rPr>
          <w:rFonts w:ascii="Times New Roman" w:hAnsi="Times New Roman" w:cs="Times New Roman"/>
        </w:rPr>
        <w:t>[the wife]</w:t>
      </w:r>
      <w:r w:rsidRPr="00DF697D">
        <w:rPr>
          <w:rFonts w:ascii="Times New Roman" w:hAnsi="Times New Roman" w:cs="Times New Roman"/>
        </w:rPr>
        <w:t xml:space="preserve"> a credit for one half of the </w:t>
      </w:r>
      <w:proofErr w:type="gramStart"/>
      <w:r w:rsidRPr="00DF697D">
        <w:rPr>
          <w:rFonts w:ascii="Times New Roman" w:hAnsi="Times New Roman" w:cs="Times New Roman"/>
        </w:rPr>
        <w:t>present day</w:t>
      </w:r>
      <w:proofErr w:type="gramEnd"/>
      <w:r w:rsidRPr="00DF697D">
        <w:rPr>
          <w:rFonts w:ascii="Times New Roman" w:hAnsi="Times New Roman" w:cs="Times New Roman"/>
        </w:rPr>
        <w:t xml:space="preserve"> value of marital stocks, as there was insufficient evidence to enable the court to award </w:t>
      </w:r>
      <w:r>
        <w:rPr>
          <w:rFonts w:ascii="Times New Roman" w:hAnsi="Times New Roman" w:cs="Times New Roman"/>
        </w:rPr>
        <w:t xml:space="preserve">[her] </w:t>
      </w:r>
      <w:r w:rsidRPr="00DF697D">
        <w:rPr>
          <w:rFonts w:ascii="Times New Roman" w:hAnsi="Times New Roman" w:cs="Times New Roman"/>
        </w:rPr>
        <w:t>a credit (</w:t>
      </w:r>
      <w:r>
        <w:rPr>
          <w:rFonts w:ascii="Times New Roman" w:hAnsi="Times New Roman" w:cs="Times New Roman"/>
        </w:rPr>
        <w:t>citation omitted)</w:t>
      </w:r>
      <w:r w:rsidRPr="00DF697D">
        <w:rPr>
          <w:rFonts w:ascii="Times New Roman" w:hAnsi="Times New Roman" w:cs="Times New Roman"/>
        </w:rPr>
        <w:t xml:space="preserve">. Likewise, the court providently exercised its discretion in declining to award the </w:t>
      </w:r>
      <w:r>
        <w:rPr>
          <w:rFonts w:ascii="Times New Roman" w:hAnsi="Times New Roman" w:cs="Times New Roman"/>
        </w:rPr>
        <w:t xml:space="preserve">[wife] </w:t>
      </w:r>
      <w:r w:rsidRPr="00DF697D">
        <w:rPr>
          <w:rFonts w:ascii="Times New Roman" w:hAnsi="Times New Roman" w:cs="Times New Roman"/>
        </w:rPr>
        <w:t xml:space="preserve">a credit for one half of the debt paid to the </w:t>
      </w:r>
      <w:r>
        <w:rPr>
          <w:rFonts w:ascii="Times New Roman" w:hAnsi="Times New Roman" w:cs="Times New Roman"/>
        </w:rPr>
        <w:t>[husband</w:t>
      </w:r>
      <w:r w:rsidRPr="00DF697D">
        <w:rPr>
          <w:rFonts w:ascii="Times New Roman" w:hAnsi="Times New Roman" w:cs="Times New Roman"/>
        </w:rPr>
        <w:t>'s</w:t>
      </w:r>
      <w:r>
        <w:rPr>
          <w:rFonts w:ascii="Times New Roman" w:hAnsi="Times New Roman" w:cs="Times New Roman"/>
        </w:rPr>
        <w:t>]</w:t>
      </w:r>
      <w:r w:rsidRPr="00DF697D">
        <w:rPr>
          <w:rFonts w:ascii="Times New Roman" w:hAnsi="Times New Roman" w:cs="Times New Roman"/>
        </w:rPr>
        <w:t xml:space="preserve"> brother, as there was insufficient evidence to establish that the </w:t>
      </w:r>
      <w:r>
        <w:rPr>
          <w:rFonts w:ascii="Times New Roman" w:hAnsi="Times New Roman" w:cs="Times New Roman"/>
        </w:rPr>
        <w:t xml:space="preserve">[husband] </w:t>
      </w:r>
      <w:r w:rsidRPr="00DF697D">
        <w:rPr>
          <w:rFonts w:ascii="Times New Roman" w:hAnsi="Times New Roman" w:cs="Times New Roman"/>
        </w:rPr>
        <w:t>was engaged in the wasteful dissipation of marital assets (</w:t>
      </w:r>
      <w:r>
        <w:rPr>
          <w:rFonts w:ascii="Times New Roman" w:hAnsi="Times New Roman" w:cs="Times New Roman"/>
        </w:rPr>
        <w:t>citation omitted)</w:t>
      </w:r>
      <w:r w:rsidRPr="00DF697D">
        <w:rPr>
          <w:rFonts w:ascii="Times New Roman" w:hAnsi="Times New Roman" w:cs="Times New Roman"/>
        </w:rPr>
        <w:t xml:space="preserve">. The court also did not err in determining that the </w:t>
      </w:r>
      <w:r>
        <w:rPr>
          <w:rFonts w:ascii="Times New Roman" w:hAnsi="Times New Roman" w:cs="Times New Roman"/>
        </w:rPr>
        <w:t>[husband]</w:t>
      </w:r>
      <w:r w:rsidRPr="00DF697D">
        <w:rPr>
          <w:rFonts w:ascii="Times New Roman" w:hAnsi="Times New Roman" w:cs="Times New Roman"/>
        </w:rPr>
        <w:t xml:space="preserve">, who had paid the </w:t>
      </w:r>
      <w:r>
        <w:rPr>
          <w:rFonts w:ascii="Times New Roman" w:hAnsi="Times New Roman" w:cs="Times New Roman"/>
        </w:rPr>
        <w:t>[wife</w:t>
      </w:r>
      <w:r w:rsidRPr="00DF697D">
        <w:rPr>
          <w:rFonts w:ascii="Times New Roman" w:hAnsi="Times New Roman" w:cs="Times New Roman"/>
        </w:rPr>
        <w:t>'s</w:t>
      </w:r>
      <w:r>
        <w:rPr>
          <w:rFonts w:ascii="Times New Roman" w:hAnsi="Times New Roman" w:cs="Times New Roman"/>
        </w:rPr>
        <w:t>]</w:t>
      </w:r>
      <w:r w:rsidRPr="00DF697D">
        <w:rPr>
          <w:rFonts w:ascii="Times New Roman" w:hAnsi="Times New Roman" w:cs="Times New Roman"/>
        </w:rPr>
        <w:t xml:space="preserve"> health insurance premiums, was not required to reimburse the </w:t>
      </w:r>
      <w:r>
        <w:rPr>
          <w:rFonts w:ascii="Times New Roman" w:hAnsi="Times New Roman" w:cs="Times New Roman"/>
        </w:rPr>
        <w:t xml:space="preserve">[wife] </w:t>
      </w:r>
      <w:r w:rsidRPr="00DF697D">
        <w:rPr>
          <w:rFonts w:ascii="Times New Roman" w:hAnsi="Times New Roman" w:cs="Times New Roman"/>
        </w:rPr>
        <w:t>for her medical expenses when she used an out-of-network provider (</w:t>
      </w:r>
      <w:r>
        <w:rPr>
          <w:rFonts w:ascii="Times New Roman" w:hAnsi="Times New Roman" w:cs="Times New Roman"/>
        </w:rPr>
        <w:t>citation omitted).”  Regarding the issue of counsel fees, the Appellate Division noted that considering “</w:t>
      </w:r>
      <w:r w:rsidRPr="00DF697D">
        <w:rPr>
          <w:rFonts w:ascii="Times New Roman" w:hAnsi="Times New Roman" w:cs="Times New Roman"/>
        </w:rPr>
        <w:t>the equities and circumstances of the particular case, including the parties</w:t>
      </w:r>
      <w:r>
        <w:rPr>
          <w:rFonts w:ascii="Times New Roman" w:hAnsi="Times New Roman" w:cs="Times New Roman"/>
        </w:rPr>
        <w:t>’</w:t>
      </w:r>
      <w:r w:rsidRPr="00DF697D">
        <w:rPr>
          <w:rFonts w:ascii="Times New Roman" w:hAnsi="Times New Roman" w:cs="Times New Roman"/>
        </w:rPr>
        <w:t xml:space="preserve"> respective financial conditions and the relative merit of their positions</w:t>
      </w:r>
      <w:r>
        <w:rPr>
          <w:rFonts w:ascii="Times New Roman" w:hAnsi="Times New Roman" w:cs="Times New Roman"/>
        </w:rPr>
        <w:t xml:space="preserve"> (citation omitted)” and “</w:t>
      </w:r>
      <w:r w:rsidRPr="00DF697D">
        <w:rPr>
          <w:rFonts w:ascii="Times New Roman" w:hAnsi="Times New Roman" w:cs="Times New Roman"/>
        </w:rPr>
        <w:t>whether either party has engaged in conduct or taken positions resulting in a delay of the proceedings or unnecessary litigation</w:t>
      </w:r>
      <w:r>
        <w:rPr>
          <w:rFonts w:ascii="Times New Roman" w:hAnsi="Times New Roman" w:cs="Times New Roman"/>
        </w:rPr>
        <w:t xml:space="preserve"> (citation omitted),” the $125,000 </w:t>
      </w:r>
      <w:r w:rsidRPr="00DF697D">
        <w:rPr>
          <w:rFonts w:ascii="Times New Roman" w:hAnsi="Times New Roman" w:cs="Times New Roman"/>
        </w:rPr>
        <w:t>counsel fee</w:t>
      </w:r>
      <w:r>
        <w:rPr>
          <w:rFonts w:ascii="Times New Roman" w:hAnsi="Times New Roman" w:cs="Times New Roman"/>
        </w:rPr>
        <w:t xml:space="preserve"> award was proper.</w:t>
      </w:r>
    </w:p>
    <w:p w14:paraId="52F4FF3F" w14:textId="77777777" w:rsidR="00F82A3C" w:rsidRDefault="00F82A3C" w:rsidP="00787BAF">
      <w:pPr>
        <w:pStyle w:val="Heading2"/>
        <w:numPr>
          <w:ilvl w:val="0"/>
          <w:numId w:val="0"/>
        </w:numPr>
        <w:spacing w:line="240" w:lineRule="auto"/>
        <w:contextualSpacing/>
        <w:jc w:val="both"/>
        <w:rPr>
          <w:rFonts w:ascii="Times New Roman" w:hAnsi="Times New Roman" w:cs="Times New Roman"/>
        </w:rPr>
      </w:pPr>
    </w:p>
    <w:p w14:paraId="0AB9BACB" w14:textId="77777777" w:rsidR="00F82A3C" w:rsidRPr="00F82A3C" w:rsidRDefault="00F82A3C" w:rsidP="00F82A3C">
      <w:pPr>
        <w:pStyle w:val="Heading2"/>
        <w:numPr>
          <w:ilvl w:val="0"/>
          <w:numId w:val="0"/>
        </w:numPr>
        <w:jc w:val="both"/>
        <w:rPr>
          <w:b/>
          <w:bCs/>
        </w:rPr>
      </w:pPr>
      <w:r w:rsidRPr="00F82A3C">
        <w:rPr>
          <w:rFonts w:ascii="Times New Roman" w:hAnsi="Times New Roman" w:cs="Times New Roman"/>
          <w:b/>
          <w:bCs/>
        </w:rPr>
        <w:t xml:space="preserve">Custody - Modification – Joint and Shared </w:t>
      </w:r>
      <w:proofErr w:type="gramStart"/>
      <w:r w:rsidRPr="00F82A3C">
        <w:rPr>
          <w:rFonts w:ascii="Times New Roman" w:hAnsi="Times New Roman" w:cs="Times New Roman"/>
          <w:b/>
          <w:bCs/>
        </w:rPr>
        <w:t>to</w:t>
      </w:r>
      <w:proofErr w:type="gramEnd"/>
      <w:r w:rsidRPr="00F82A3C">
        <w:rPr>
          <w:rFonts w:ascii="Times New Roman" w:hAnsi="Times New Roman" w:cs="Times New Roman"/>
          <w:b/>
          <w:bCs/>
        </w:rPr>
        <w:t xml:space="preserve"> Primary and Sole</w:t>
      </w:r>
    </w:p>
    <w:p w14:paraId="07552DCB" w14:textId="123FA157" w:rsidR="00F82A3C" w:rsidRDefault="00F82A3C" w:rsidP="00F82A3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D46095">
        <w:rPr>
          <w:rFonts w:ascii="Times New Roman" w:hAnsi="Times New Roman" w:cs="Times New Roman"/>
          <w:b/>
          <w:bCs/>
          <w:i/>
          <w:iCs/>
        </w:rPr>
        <w:t>Matter of Jaime KK. v. Monica JJ.</w:t>
      </w:r>
      <w:r>
        <w:rPr>
          <w:rFonts w:ascii="Times New Roman" w:hAnsi="Times New Roman" w:cs="Times New Roman"/>
        </w:rPr>
        <w:t xml:space="preserve">, 2025 Westlaw 3288155 (3d Dept. Nov. 26, 2025), the mother appealed from a January 2024 Supreme Court Order which, after fact-finding and </w:t>
      </w:r>
      <w:r w:rsidRPr="00C36504">
        <w:rPr>
          <w:rFonts w:ascii="Times New Roman" w:hAnsi="Times New Roman" w:cs="Times New Roman"/>
          <w:i/>
          <w:iCs/>
        </w:rPr>
        <w:t>Lincoln</w:t>
      </w:r>
      <w:r>
        <w:rPr>
          <w:rFonts w:ascii="Times New Roman" w:hAnsi="Times New Roman" w:cs="Times New Roman"/>
        </w:rPr>
        <w:t xml:space="preserve"> hearings, modified the custody provisions of a 2018 judgment of divorce (joint legal, shared physical) so as to award the father primary and legal custody of the parties’ child born in 2013, with 2 weekends per month, 2 hours on Wednesday evenings and alternating weeks in the summer to the mother, along with rights to receive information and records pertaining to the child. The Order further determined that the child would attend a certain school for the 2023-2024 school </w:t>
      </w:r>
      <w:r>
        <w:rPr>
          <w:rFonts w:ascii="Times New Roman" w:hAnsi="Times New Roman" w:cs="Times New Roman"/>
        </w:rPr>
        <w:lastRenderedPageBreak/>
        <w:t>year, with choice of school to be thereafter determined by the father, after consultation and meeting with the mother. The Third Department affirmed, finding that Supreme Court rendered “a lengthy and meticulous decision,” which “undertook an extremely detailed factual and legal analysis” concluding “that the father would provide more stability and structure to the child,” given that he “is retired and is able to provide structure for the child in the form of three meals eaten at a reasonable hour, a reasonable bedtime hour and the ability to oversee the child’s hygiene and general welfare and to consistently arrive timely for the child’s schooling, medical appointments and extracurricular activities.” The Appellate Division observed: “</w:t>
      </w:r>
      <w:r w:rsidRPr="00D744FF">
        <w:rPr>
          <w:rFonts w:ascii="Times New Roman" w:hAnsi="Times New Roman" w:cs="Times New Roman"/>
        </w:rPr>
        <w:t xml:space="preserve">In contrast, the mother's carefree lifestyle and her parenting style — which she describes as </w:t>
      </w:r>
      <w:r>
        <w:rPr>
          <w:rFonts w:ascii="Times New Roman" w:hAnsi="Times New Roman" w:cs="Times New Roman"/>
        </w:rPr>
        <w:t>‘</w:t>
      </w:r>
      <w:r w:rsidRPr="00D744FF">
        <w:rPr>
          <w:rFonts w:ascii="Times New Roman" w:hAnsi="Times New Roman" w:cs="Times New Roman"/>
        </w:rPr>
        <w:t>unconventional</w:t>
      </w:r>
      <w:r>
        <w:rPr>
          <w:rFonts w:ascii="Times New Roman" w:hAnsi="Times New Roman" w:cs="Times New Roman"/>
        </w:rPr>
        <w:t>’</w:t>
      </w:r>
      <w:r w:rsidRPr="00D744FF">
        <w:rPr>
          <w:rFonts w:ascii="Times New Roman" w:hAnsi="Times New Roman" w:cs="Times New Roman"/>
        </w:rPr>
        <w:t xml:space="preserve"> — has resulted in her residence being under the threat of foreclosure, her unemployment, and the child being consistently tardy to school and arriving at school looking disheveled and wearing ill-fitting clothes while under the mother's care. Perhaps of most concern, the mother has enrolled the child in three different schools in four years, resulting in the child lagging academically when initially enrolled in the Mater Christi school. Additionally, the record supports Supreme Court's finding that the mother has an intolerance and disdain for the father's </w:t>
      </w:r>
      <w:r>
        <w:rPr>
          <w:rFonts w:ascii="Times New Roman" w:hAnsi="Times New Roman" w:cs="Times New Roman"/>
        </w:rPr>
        <w:t>‘</w:t>
      </w:r>
      <w:r w:rsidRPr="00D744FF">
        <w:rPr>
          <w:rFonts w:ascii="Times New Roman" w:hAnsi="Times New Roman" w:cs="Times New Roman"/>
        </w:rPr>
        <w:t>structured</w:t>
      </w:r>
      <w:r>
        <w:rPr>
          <w:rFonts w:ascii="Times New Roman" w:hAnsi="Times New Roman" w:cs="Times New Roman"/>
        </w:rPr>
        <w:t>’</w:t>
      </w:r>
      <w:r w:rsidRPr="00D744FF">
        <w:rPr>
          <w:rFonts w:ascii="Times New Roman" w:hAnsi="Times New Roman" w:cs="Times New Roman"/>
        </w:rPr>
        <w:t xml:space="preserve"> and </w:t>
      </w:r>
      <w:r>
        <w:rPr>
          <w:rFonts w:ascii="Times New Roman" w:hAnsi="Times New Roman" w:cs="Times New Roman"/>
        </w:rPr>
        <w:t>‘</w:t>
      </w:r>
      <w:r w:rsidRPr="00D744FF">
        <w:rPr>
          <w:rFonts w:ascii="Times New Roman" w:hAnsi="Times New Roman" w:cs="Times New Roman"/>
        </w:rPr>
        <w:t>authoritarian</w:t>
      </w:r>
      <w:r>
        <w:rPr>
          <w:rFonts w:ascii="Times New Roman" w:hAnsi="Times New Roman" w:cs="Times New Roman"/>
        </w:rPr>
        <w:t>’</w:t>
      </w:r>
      <w:r w:rsidRPr="00D744FF">
        <w:rPr>
          <w:rFonts w:ascii="Times New Roman" w:hAnsi="Times New Roman" w:cs="Times New Roman"/>
        </w:rPr>
        <w:t xml:space="preserve"> style of parenting, which has resulted in a pattern of uncooperative and dismissive behavior toward the father, including consistently bringing the child late to exchanges for the father's parenting time, canceling the child's medical appointments that were made by the father and not rescheduling them, failing to advise the father in advance of the child's medical appointments, failing to timely respond to the father's questions posed on the coparenting application — which the mother insisted on utilizing — and cutting off the father's Face Time conversations with the child. Deferring to the credibility determinations rendered by the court, we find that a sound and substantial basis supports the determination awarding the father physical and legal custody of the child</w:t>
      </w:r>
      <w:r>
        <w:rPr>
          <w:rFonts w:ascii="Times New Roman" w:hAnsi="Times New Roman" w:cs="Times New Roman"/>
        </w:rPr>
        <w:t>.”</w:t>
      </w:r>
      <w:r w:rsidRPr="00D744FF">
        <w:rPr>
          <w:rFonts w:ascii="Times New Roman" w:hAnsi="Times New Roman" w:cs="Times New Roman"/>
        </w:rPr>
        <w:t> </w:t>
      </w:r>
    </w:p>
    <w:p w14:paraId="4457042F" w14:textId="77777777" w:rsidR="007940C4" w:rsidRPr="00F82A3C" w:rsidRDefault="007940C4" w:rsidP="00F82A3C">
      <w:pPr>
        <w:pStyle w:val="Heading2"/>
        <w:numPr>
          <w:ilvl w:val="0"/>
          <w:numId w:val="0"/>
        </w:numPr>
        <w:spacing w:line="240" w:lineRule="auto"/>
        <w:contextualSpacing/>
        <w:jc w:val="both"/>
        <w:rPr>
          <w:rFonts w:ascii="Times New Roman" w:hAnsi="Times New Roman" w:cs="Times New Roman"/>
          <w:b/>
          <w:bCs/>
        </w:rPr>
      </w:pPr>
    </w:p>
    <w:p w14:paraId="0B20FD07" w14:textId="77777777" w:rsidR="00787BAF" w:rsidRDefault="00787BAF" w:rsidP="00787BAF">
      <w:pPr>
        <w:pStyle w:val="Heading2"/>
        <w:numPr>
          <w:ilvl w:val="0"/>
          <w:numId w:val="0"/>
        </w:numPr>
        <w:spacing w:line="240" w:lineRule="auto"/>
        <w:contextualSpacing/>
        <w:jc w:val="both"/>
        <w:rPr>
          <w:rFonts w:ascii="Times New Roman" w:hAnsi="Times New Roman" w:cs="Times New Roman"/>
        </w:rPr>
      </w:pPr>
    </w:p>
    <w:p w14:paraId="2407E930" w14:textId="77777777" w:rsidR="00787BAF" w:rsidRPr="00787BAF" w:rsidRDefault="00787BAF" w:rsidP="00787BAF">
      <w:pPr>
        <w:pStyle w:val="Heading2"/>
        <w:numPr>
          <w:ilvl w:val="0"/>
          <w:numId w:val="0"/>
        </w:numPr>
        <w:jc w:val="both"/>
        <w:rPr>
          <w:b/>
          <w:bCs/>
        </w:rPr>
      </w:pPr>
      <w:r w:rsidRPr="00787BAF">
        <w:rPr>
          <w:rFonts w:ascii="Times New Roman" w:hAnsi="Times New Roman" w:cs="Times New Roman"/>
          <w:b/>
          <w:bCs/>
        </w:rPr>
        <w:t>Custody - Modification – Relocation – Radius Clause Not Determinative</w:t>
      </w:r>
    </w:p>
    <w:p w14:paraId="55B1A5AD" w14:textId="4387E9DF" w:rsidR="00787BAF" w:rsidRDefault="00787BAF" w:rsidP="00787BAF">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787BAF">
        <w:rPr>
          <w:rFonts w:ascii="Times New Roman" w:hAnsi="Times New Roman" w:cs="Times New Roman"/>
          <w:b/>
          <w:bCs/>
          <w:i/>
          <w:iCs/>
        </w:rPr>
        <w:t>Kataeva v. Kataev</w:t>
      </w:r>
      <w:r>
        <w:rPr>
          <w:rFonts w:ascii="Times New Roman" w:hAnsi="Times New Roman" w:cs="Times New Roman"/>
        </w:rPr>
        <w:t xml:space="preserve">, 2025 Westlaw 3084905 (2d Dept. Nov. 5, 2025), the parties were divorced in August 2020, have 2 children, and thereafter entered into a so-ordered stipulation in January 2022 which, among other things, provided for joint legal custody, primary residential custody to the mother for purposes of schooling, and prohibited the mother from relocating with the children more than 15 miles from the parties’ former marital residence in Garden City. The father appealed from a June 2022 Supreme Court order, which, without a hearing, denied his May 2022 motion to modify the stipulation to enjoin the mother from relocating to Massapequa, approximately 13 miles from the former marital residence and enrolling the children in that school district, and to grant him primary custody and to permit him to enroll the children in the Great Neck School District. The Second Department modified, on the law, and remitted for a hearing upon the father’s motion, holding that “Supreme Court erred in denying, without a hearing, *** the [father’s] motion without considering whether the [mother’s] relocation is in the best interests of the children.” The Appellate Division observed that: “the stipulation did not automatically permit moves within a 15-mile radius *** without the [father’s] consent”; </w:t>
      </w:r>
      <w:r w:rsidR="00402A62">
        <w:rPr>
          <w:rFonts w:ascii="Times New Roman" w:hAnsi="Times New Roman" w:cs="Times New Roman"/>
        </w:rPr>
        <w:t xml:space="preserve">and </w:t>
      </w:r>
      <w:r>
        <w:rPr>
          <w:rFonts w:ascii="Times New Roman" w:hAnsi="Times New Roman" w:cs="Times New Roman"/>
        </w:rPr>
        <w:t>“a stipulation’s geographic restriction on relocation is not dispositive, but rather, is a relevant factor to consider in determining whether relocation is in the best interests of the children.”</w:t>
      </w:r>
    </w:p>
    <w:p w14:paraId="49703CCA" w14:textId="77777777" w:rsidR="007940C4" w:rsidRDefault="007940C4" w:rsidP="00787BAF">
      <w:pPr>
        <w:pStyle w:val="Heading2"/>
        <w:numPr>
          <w:ilvl w:val="0"/>
          <w:numId w:val="0"/>
        </w:numPr>
        <w:spacing w:line="240" w:lineRule="auto"/>
        <w:contextualSpacing/>
        <w:jc w:val="both"/>
        <w:rPr>
          <w:rFonts w:ascii="Times New Roman" w:hAnsi="Times New Roman" w:cs="Times New Roman"/>
        </w:rPr>
      </w:pPr>
    </w:p>
    <w:p w14:paraId="3F194730" w14:textId="77777777" w:rsidR="007940C4" w:rsidRDefault="007940C4" w:rsidP="00787BAF">
      <w:pPr>
        <w:pStyle w:val="Heading2"/>
        <w:numPr>
          <w:ilvl w:val="0"/>
          <w:numId w:val="0"/>
        </w:numPr>
        <w:spacing w:line="240" w:lineRule="auto"/>
        <w:contextualSpacing/>
        <w:jc w:val="both"/>
        <w:rPr>
          <w:rFonts w:ascii="Times New Roman" w:hAnsi="Times New Roman" w:cs="Times New Roman"/>
        </w:rPr>
      </w:pPr>
    </w:p>
    <w:p w14:paraId="17735CE9" w14:textId="77777777" w:rsidR="007940C4" w:rsidRDefault="007940C4" w:rsidP="00787BAF">
      <w:pPr>
        <w:pStyle w:val="Heading2"/>
        <w:numPr>
          <w:ilvl w:val="0"/>
          <w:numId w:val="0"/>
        </w:numPr>
        <w:spacing w:line="240" w:lineRule="auto"/>
        <w:contextualSpacing/>
        <w:jc w:val="both"/>
        <w:rPr>
          <w:rFonts w:ascii="Times New Roman" w:hAnsi="Times New Roman" w:cs="Times New Roman"/>
        </w:rPr>
      </w:pPr>
    </w:p>
    <w:p w14:paraId="0CE77E83" w14:textId="19D48EE3" w:rsidR="00D757F2" w:rsidRDefault="00B70B6C" w:rsidP="00D757F2">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lastRenderedPageBreak/>
        <w:t xml:space="preserve">Custody - </w:t>
      </w:r>
      <w:r w:rsidR="00D757F2" w:rsidRPr="00D757F2">
        <w:rPr>
          <w:rFonts w:ascii="Times New Roman" w:hAnsi="Times New Roman" w:cs="Times New Roman"/>
          <w:b/>
          <w:bCs/>
        </w:rPr>
        <w:t>Third Party (Maternal Aunt) – Standing Dismissal Reversed, Remitted for Forensic and Hearing</w:t>
      </w:r>
    </w:p>
    <w:p w14:paraId="6135F511" w14:textId="77777777" w:rsidR="00D757F2" w:rsidRPr="00D757F2" w:rsidRDefault="00D757F2" w:rsidP="00D757F2">
      <w:pPr>
        <w:pStyle w:val="Heading2"/>
        <w:numPr>
          <w:ilvl w:val="0"/>
          <w:numId w:val="0"/>
        </w:numPr>
        <w:spacing w:line="240" w:lineRule="auto"/>
        <w:contextualSpacing/>
        <w:jc w:val="both"/>
        <w:rPr>
          <w:rFonts w:ascii="Times New Roman" w:hAnsi="Times New Roman" w:cs="Times New Roman"/>
          <w:b/>
          <w:bCs/>
        </w:rPr>
      </w:pPr>
    </w:p>
    <w:p w14:paraId="792D2C51" w14:textId="37A030F7" w:rsidR="00787BAF" w:rsidRDefault="00D757F2" w:rsidP="00D757F2">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D757F2">
        <w:rPr>
          <w:rFonts w:ascii="Times New Roman" w:hAnsi="Times New Roman" w:cs="Times New Roman"/>
          <w:b/>
          <w:bCs/>
          <w:i/>
          <w:iCs/>
        </w:rPr>
        <w:t>Matter of Dawn A.P.-T. v Sherwyn R.</w:t>
      </w:r>
      <w:r>
        <w:rPr>
          <w:rFonts w:ascii="Times New Roman" w:hAnsi="Times New Roman" w:cs="Times New Roman"/>
        </w:rPr>
        <w:t>, 2025 Westlaw 3084929 (2d Dept. Nov. 5, 2025), the child appealed from a February 2024 Family Court order which, without a hearing, granted the father’s motion for summary judgment and dismissed the maternal aunt’s May 2023 custody petition. By an order rendered in June 2024, the Second Department granted the child’s motion to stay enforcement of Family Court’s order and to remain in the custody of the maternal aunt pending appeal. The Appellate Division reversed, on the law, denied the father’s motion, reinstated the petition, and remitted to Family Court for forensic evaluations and a hearing. The Second Department noted the aunt’s petition alleged that: “the child was struggling with mental health issues following the death of her mother in 2021, including a crisis upon learning that she would have to leave New York to live with the father, and that the child had become acclimated to life in New York with her mother’s extended family after the mother’s death”; and “the child did not have a close relationship with the father,” which allegations, “if true, might support a finding that extraordinary circumstances exist.”  The Appellate Division concluded: “Under the circumstances of this case, the hearing on the existence of extraordinary circumstances should be preceded by forensic evaluations of the parties and the child (citations omitted).”</w:t>
      </w:r>
    </w:p>
    <w:p w14:paraId="102F922F" w14:textId="77777777" w:rsidR="00B70B6C" w:rsidRDefault="00B70B6C" w:rsidP="00D757F2">
      <w:pPr>
        <w:pStyle w:val="Heading2"/>
        <w:numPr>
          <w:ilvl w:val="0"/>
          <w:numId w:val="0"/>
        </w:numPr>
        <w:spacing w:line="240" w:lineRule="auto"/>
        <w:contextualSpacing/>
        <w:jc w:val="both"/>
        <w:rPr>
          <w:rFonts w:ascii="Times New Roman" w:hAnsi="Times New Roman" w:cs="Times New Roman"/>
        </w:rPr>
      </w:pPr>
    </w:p>
    <w:p w14:paraId="3D25E9B2" w14:textId="77777777" w:rsidR="00B70B6C" w:rsidRDefault="00B70B6C" w:rsidP="00B70B6C">
      <w:pPr>
        <w:pStyle w:val="Heading2"/>
        <w:numPr>
          <w:ilvl w:val="0"/>
          <w:numId w:val="0"/>
        </w:numPr>
        <w:spacing w:line="240" w:lineRule="auto"/>
        <w:jc w:val="both"/>
        <w:rPr>
          <w:rFonts w:ascii="Times New Roman" w:hAnsi="Times New Roman" w:cs="Times New Roman"/>
          <w:b/>
          <w:bCs/>
        </w:rPr>
      </w:pPr>
      <w:r w:rsidRPr="00B70B6C">
        <w:rPr>
          <w:rFonts w:ascii="Times New Roman" w:hAnsi="Times New Roman" w:cs="Times New Roman"/>
          <w:b/>
          <w:bCs/>
        </w:rPr>
        <w:t xml:space="preserve">Custody - Third Party (Maternal Uncle) – Granted; Ineffective Assistance of Counsel and </w:t>
      </w:r>
      <w:r w:rsidRPr="00B70B6C">
        <w:rPr>
          <w:rFonts w:ascii="Times New Roman" w:hAnsi="Times New Roman" w:cs="Times New Roman"/>
          <w:b/>
          <w:bCs/>
          <w:i/>
          <w:iCs/>
        </w:rPr>
        <w:t>Lincoln</w:t>
      </w:r>
      <w:r w:rsidRPr="00B70B6C">
        <w:rPr>
          <w:rFonts w:ascii="Times New Roman" w:hAnsi="Times New Roman" w:cs="Times New Roman"/>
          <w:b/>
          <w:bCs/>
        </w:rPr>
        <w:t xml:space="preserve"> Hearing Claims Rejected</w:t>
      </w:r>
    </w:p>
    <w:p w14:paraId="41CB726F" w14:textId="77777777" w:rsidR="00B70B6C" w:rsidRPr="00B70B6C" w:rsidRDefault="00B70B6C" w:rsidP="00B70B6C">
      <w:pPr>
        <w:pStyle w:val="Heading2"/>
        <w:numPr>
          <w:ilvl w:val="0"/>
          <w:numId w:val="0"/>
        </w:numPr>
        <w:spacing w:line="240" w:lineRule="auto"/>
        <w:jc w:val="both"/>
        <w:rPr>
          <w:rFonts w:ascii="Times New Roman" w:hAnsi="Times New Roman" w:cs="Times New Roman"/>
          <w:b/>
          <w:bCs/>
        </w:rPr>
      </w:pPr>
    </w:p>
    <w:p w14:paraId="2323E9B2" w14:textId="2D4053EF" w:rsidR="00B70B6C" w:rsidRDefault="00B70B6C" w:rsidP="00B70B6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B70B6C">
        <w:rPr>
          <w:rFonts w:ascii="Times New Roman" w:hAnsi="Times New Roman" w:cs="Times New Roman"/>
          <w:b/>
          <w:bCs/>
          <w:i/>
          <w:iCs/>
        </w:rPr>
        <w:t>Matter of Burley v. Richmond</w:t>
      </w:r>
      <w:r>
        <w:rPr>
          <w:rFonts w:ascii="Times New Roman" w:hAnsi="Times New Roman" w:cs="Times New Roman"/>
        </w:rPr>
        <w:t>, 2025 Westlaw 3250713 (4</w:t>
      </w:r>
      <w:r w:rsidRPr="0014374F">
        <w:rPr>
          <w:rFonts w:ascii="Times New Roman" w:hAnsi="Times New Roman" w:cs="Times New Roman"/>
          <w:vertAlign w:val="superscript"/>
        </w:rPr>
        <w:t>th</w:t>
      </w:r>
      <w:r>
        <w:rPr>
          <w:rFonts w:ascii="Times New Roman" w:hAnsi="Times New Roman" w:cs="Times New Roman"/>
        </w:rPr>
        <w:t xml:space="preserve"> Dept. Nov. 21, 2025), the father appealed from a January 2024 Family Court order, which confirmed a Referee report awarding the maternal uncle sole legal and primary physical custody of the subject child. The Fourth Department affirmed, rejecting the father’s ineffective assistance of counsel claims including the attorney’s failure “to object to the court’s admonishment regarding the father’s disruptive behavior” and “to make an expanded or follow-up request for a Lincoln hearing *** because those actions would have had little or no chance of success (internal quotation marks and citations omitted).” The Appellate Division observed that “the admonishment was not improper (citation omitted</w:t>
      </w:r>
      <w:r w:rsidR="00F2654A">
        <w:rPr>
          <w:rFonts w:ascii="Times New Roman" w:hAnsi="Times New Roman" w:cs="Times New Roman"/>
        </w:rPr>
        <w:t>),</w:t>
      </w:r>
      <w:r>
        <w:rPr>
          <w:rFonts w:ascii="Times New Roman" w:hAnsi="Times New Roman" w:cs="Times New Roman"/>
        </w:rPr>
        <w:t xml:space="preserve"> and the court properly exercised its discretion in declining to hold a </w:t>
      </w:r>
      <w:r w:rsidRPr="00BE14B6">
        <w:rPr>
          <w:rFonts w:ascii="Times New Roman" w:hAnsi="Times New Roman" w:cs="Times New Roman"/>
          <w:i/>
          <w:iCs/>
        </w:rPr>
        <w:t>Lincoln</w:t>
      </w:r>
      <w:r>
        <w:rPr>
          <w:rFonts w:ascii="Times New Roman" w:hAnsi="Times New Roman" w:cs="Times New Roman"/>
        </w:rPr>
        <w:t xml:space="preserve"> hearing (citation omitted).”  The Fourth Department determined that Family Court did not abuse its discretion “in denying [the father’s] request to substitute assigned counsel” in the absence of “good cause *** necessitating dismissal of assigned counsel (citations omitted).” The Court concluded, on the issue of extraordinary circumstances, that “it is undisputed that the subject child has lived with the uncle his entire life, and following the death of the child’s mother, the uncle has taken care of the child … and provided him with stability (internal quotation marks and citation omitted)” and “it was in the best interests of the child to award sole legal and primary physical custody to the uncle.”</w:t>
      </w:r>
    </w:p>
    <w:p w14:paraId="40793B06" w14:textId="77777777" w:rsidR="00B70B6C" w:rsidRDefault="00B70B6C" w:rsidP="00B70B6C">
      <w:pPr>
        <w:pStyle w:val="Heading2"/>
        <w:numPr>
          <w:ilvl w:val="0"/>
          <w:numId w:val="0"/>
        </w:numPr>
        <w:spacing w:line="240" w:lineRule="auto"/>
        <w:contextualSpacing/>
        <w:jc w:val="both"/>
        <w:rPr>
          <w:rFonts w:ascii="Times New Roman" w:hAnsi="Times New Roman" w:cs="Times New Roman"/>
        </w:rPr>
      </w:pPr>
    </w:p>
    <w:p w14:paraId="6C398804" w14:textId="77777777" w:rsidR="00B70B6C" w:rsidRPr="00B70B6C" w:rsidRDefault="00B70B6C" w:rsidP="00B70B6C">
      <w:pPr>
        <w:pStyle w:val="Heading2"/>
        <w:numPr>
          <w:ilvl w:val="0"/>
          <w:numId w:val="0"/>
        </w:numPr>
        <w:jc w:val="both"/>
        <w:rPr>
          <w:rFonts w:ascii="Times New Roman" w:hAnsi="Times New Roman" w:cs="Times New Roman"/>
          <w:b/>
          <w:bCs/>
        </w:rPr>
      </w:pPr>
      <w:r w:rsidRPr="00B70B6C">
        <w:rPr>
          <w:rFonts w:ascii="Times New Roman" w:hAnsi="Times New Roman" w:cs="Times New Roman"/>
          <w:b/>
          <w:bCs/>
        </w:rPr>
        <w:t>Custody - Visitation – Domestic Violence – Incarcerated Parent – Denied</w:t>
      </w:r>
    </w:p>
    <w:p w14:paraId="0EB43917" w14:textId="0FF57E52" w:rsidR="00F71E79" w:rsidRDefault="00B70B6C" w:rsidP="00B70B6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B70B6C">
        <w:rPr>
          <w:rFonts w:ascii="Times New Roman" w:hAnsi="Times New Roman" w:cs="Times New Roman"/>
          <w:b/>
          <w:bCs/>
          <w:i/>
          <w:iCs/>
        </w:rPr>
        <w:t>Matter of Brown v. Ruperto</w:t>
      </w:r>
      <w:r>
        <w:rPr>
          <w:rFonts w:ascii="Times New Roman" w:hAnsi="Times New Roman" w:cs="Times New Roman"/>
        </w:rPr>
        <w:t>, 2025 Westlaw 3250733 (4</w:t>
      </w:r>
      <w:r w:rsidRPr="00415AC1">
        <w:rPr>
          <w:rFonts w:ascii="Times New Roman" w:hAnsi="Times New Roman" w:cs="Times New Roman"/>
          <w:vertAlign w:val="superscript"/>
        </w:rPr>
        <w:t>th</w:t>
      </w:r>
      <w:r>
        <w:rPr>
          <w:rFonts w:ascii="Times New Roman" w:hAnsi="Times New Roman" w:cs="Times New Roman"/>
        </w:rPr>
        <w:t xml:space="preserve"> Dept. Nov. 21, 2025), the father appealed from a May 2024 Family Court order which, after a hearing, dismissed his petition seeking visitation with the subject child. The Fourth Department affirmed, finding that “Family Court’s determination that visitation as requested by the father would not be in the child’s best </w:t>
      </w:r>
      <w:r>
        <w:rPr>
          <w:rFonts w:ascii="Times New Roman" w:hAnsi="Times New Roman" w:cs="Times New Roman"/>
        </w:rPr>
        <w:lastRenderedPageBreak/>
        <w:t>interests has a sound and substantial basis in the record.” The Appellate Division noted: “evidence that the father committed acts of domestic violence against respondent mother, including tasing her one time when she was three months pregnant with the child and choking her another time when she was eight months pregnant with the child to the point where she lost consciousness and was hospitalized”; the father “repeatedly punched her during an incident while she was holding the two-month-old child”; and “there was testimony from the mother *** that the father, who has been incarcerated since the child was 11 months old, was seeking communication with the child only because he wanted to communicate with the mother.”</w:t>
      </w:r>
    </w:p>
    <w:p w14:paraId="15F50D2E" w14:textId="77777777" w:rsidR="00B33334" w:rsidRDefault="00B33334" w:rsidP="00D757F2">
      <w:pPr>
        <w:pStyle w:val="Heading2"/>
        <w:numPr>
          <w:ilvl w:val="0"/>
          <w:numId w:val="0"/>
        </w:numPr>
        <w:spacing w:line="240" w:lineRule="auto"/>
        <w:contextualSpacing/>
        <w:jc w:val="both"/>
        <w:rPr>
          <w:rFonts w:ascii="Times New Roman" w:hAnsi="Times New Roman" w:cs="Times New Roman"/>
        </w:rPr>
      </w:pPr>
    </w:p>
    <w:p w14:paraId="7B81BF8F" w14:textId="77777777" w:rsidR="00B33334" w:rsidRPr="00B33334" w:rsidRDefault="00B33334" w:rsidP="00B33334">
      <w:pPr>
        <w:pStyle w:val="Heading2"/>
        <w:numPr>
          <w:ilvl w:val="0"/>
          <w:numId w:val="0"/>
        </w:numPr>
        <w:jc w:val="both"/>
        <w:rPr>
          <w:b/>
          <w:bCs/>
        </w:rPr>
      </w:pPr>
      <w:r w:rsidRPr="00B33334">
        <w:rPr>
          <w:rFonts w:ascii="Times New Roman" w:hAnsi="Times New Roman" w:cs="Times New Roman"/>
          <w:b/>
          <w:bCs/>
        </w:rPr>
        <w:t xml:space="preserve">Enforcement - </w:t>
      </w:r>
      <w:bookmarkStart w:id="1" w:name="_Hlk214804300"/>
      <w:r w:rsidRPr="00B33334">
        <w:rPr>
          <w:rFonts w:ascii="Times New Roman" w:hAnsi="Times New Roman" w:cs="Times New Roman"/>
          <w:b/>
          <w:bCs/>
        </w:rPr>
        <w:t>Child Support – Failure to Award DRL 244-a Arrears is Error</w:t>
      </w:r>
      <w:bookmarkEnd w:id="1"/>
    </w:p>
    <w:p w14:paraId="354AF9F8" w14:textId="3B9EBDF8" w:rsidR="00B33334" w:rsidRDefault="00B33334" w:rsidP="00B33334">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B33334">
        <w:rPr>
          <w:rFonts w:ascii="Times New Roman" w:hAnsi="Times New Roman" w:cs="Times New Roman"/>
          <w:b/>
          <w:bCs/>
          <w:i/>
          <w:iCs/>
        </w:rPr>
        <w:t>Bajana v. Alvarado</w:t>
      </w:r>
      <w:r>
        <w:rPr>
          <w:rFonts w:ascii="Times New Roman" w:hAnsi="Times New Roman" w:cs="Times New Roman"/>
        </w:rPr>
        <w:t xml:space="preserve">, 2025 Westlaw 3084879 (2d Dept. Nov. 5, 2025), the parties were married in 2006 and have one child born in 2005. The mother commenced a divorce action in October 2023 and the parties </w:t>
      </w:r>
      <w:proofErr w:type="gramStart"/>
      <w:r>
        <w:rPr>
          <w:rFonts w:ascii="Times New Roman" w:hAnsi="Times New Roman" w:cs="Times New Roman"/>
        </w:rPr>
        <w:t>entered into</w:t>
      </w:r>
      <w:proofErr w:type="gramEnd"/>
      <w:r>
        <w:rPr>
          <w:rFonts w:ascii="Times New Roman" w:hAnsi="Times New Roman" w:cs="Times New Roman"/>
        </w:rPr>
        <w:t xml:space="preserve"> a stipulation in November 2023, which required the father to pay her $150 weekly in child support. The mother appealed from a December 2024 Supreme Court order, which granted her August 2024 motion to enforce the foregoing stipulation, only to the extent of awarding her $1,200 for arrears, which was the amount accrued over the 8 weeks prior to her motion. The Second Department reversed, on the law, and remitted to Supreme Court for a new determination of arrears owed, holding that “Supreme Court erred in determining that the [mother] was not entitled to be awarded child support arrears that had accrued after the date of her motion,” where, as here, the mother “gave written notice of her intention to include additional arrears that accrued since the commencement of the enforcement proceeding pursuant to Domestic Relations Law §244-a ***.”</w:t>
      </w:r>
    </w:p>
    <w:p w14:paraId="78F8FF9C" w14:textId="77777777" w:rsidR="00B33334" w:rsidRDefault="00B33334" w:rsidP="00B33334">
      <w:pPr>
        <w:pStyle w:val="Heading2"/>
        <w:numPr>
          <w:ilvl w:val="0"/>
          <w:numId w:val="0"/>
        </w:numPr>
        <w:spacing w:line="240" w:lineRule="auto"/>
        <w:contextualSpacing/>
        <w:jc w:val="both"/>
        <w:rPr>
          <w:rFonts w:ascii="Times New Roman" w:hAnsi="Times New Roman" w:cs="Times New Roman"/>
        </w:rPr>
      </w:pPr>
    </w:p>
    <w:p w14:paraId="1FAAD645" w14:textId="787D34E7" w:rsidR="00B33334" w:rsidRPr="00B33334" w:rsidRDefault="00B33334" w:rsidP="00B33334">
      <w:pPr>
        <w:pStyle w:val="Heading2"/>
        <w:numPr>
          <w:ilvl w:val="0"/>
          <w:numId w:val="0"/>
        </w:numPr>
        <w:jc w:val="both"/>
        <w:rPr>
          <w:b/>
          <w:bCs/>
        </w:rPr>
      </w:pPr>
      <w:r w:rsidRPr="00B33334">
        <w:rPr>
          <w:rFonts w:ascii="Times New Roman" w:hAnsi="Times New Roman" w:cs="Times New Roman"/>
          <w:b/>
          <w:bCs/>
        </w:rPr>
        <w:t>Enforcement - Child Support – Willful</w:t>
      </w:r>
    </w:p>
    <w:p w14:paraId="6FEC88BC" w14:textId="77EAE430" w:rsidR="00B33334" w:rsidRDefault="00B33334" w:rsidP="00B33334">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B33334">
        <w:rPr>
          <w:rFonts w:ascii="Times New Roman" w:hAnsi="Times New Roman" w:cs="Times New Roman"/>
          <w:b/>
          <w:bCs/>
          <w:i/>
          <w:iCs/>
        </w:rPr>
        <w:t>Matter of Tierney v. Tierney</w:t>
      </w:r>
      <w:r>
        <w:rPr>
          <w:rFonts w:ascii="Times New Roman" w:hAnsi="Times New Roman" w:cs="Times New Roman"/>
        </w:rPr>
        <w:t>, 2025 Westlaw 3153279 (2d Dept. Nov. 12, 2025), the parties have 2 children and were divorced pursuant to an August 2012 judgment, which incorporated a March 2012 stipulation requiring the father to pay the mother $680 bi-weekly in child support, plus maintenance for a period of time, during which period he was to pay the mother a percentage of any bonus he received as additional child support, and, further, upon the termination of maintenance, to pay the mother 25% of bonuses earned as additional child support. A July 2017 consent order modified the basic child support obligation to $1,248 bi-weekly. The father appealed from a March 2024 Family Court order, denying his objection to a November 2023 Support Magistrate order which, after a hearing, found that he willfully violated the aforesaid 25% bonus provisions for the years 2018-2022. The Second Department affirmed, noting: the father “does not contest that the mother’s testimony at the hearing established that [he] failed to pay” the bonuses for 2018-2022; “did not present any evidence that he did not earn any bonuses or of his inability to make the payments as ordered”; but contended that “the July 2017 order eliminated his obligation to pay 25% of the bonuses he earned as additional basic child support.” The Appellate Division concluded that “the July 2017 order did not modify or invalidate the provision of the judgment of divorce *** to pay 25% of the bonuses *** as additional basic child support.”</w:t>
      </w:r>
    </w:p>
    <w:p w14:paraId="1897DEE1" w14:textId="77777777" w:rsidR="00B70B6C" w:rsidRDefault="00B70B6C" w:rsidP="00B33334">
      <w:pPr>
        <w:pStyle w:val="Heading2"/>
        <w:numPr>
          <w:ilvl w:val="0"/>
          <w:numId w:val="0"/>
        </w:numPr>
        <w:spacing w:line="240" w:lineRule="auto"/>
        <w:contextualSpacing/>
        <w:jc w:val="both"/>
        <w:rPr>
          <w:rFonts w:ascii="Times New Roman" w:hAnsi="Times New Roman" w:cs="Times New Roman"/>
        </w:rPr>
      </w:pPr>
    </w:p>
    <w:p w14:paraId="1850DFAE" w14:textId="77777777" w:rsidR="00464212" w:rsidRPr="00464212" w:rsidRDefault="00B70B6C" w:rsidP="00464212">
      <w:pPr>
        <w:pStyle w:val="Heading2"/>
        <w:numPr>
          <w:ilvl w:val="0"/>
          <w:numId w:val="0"/>
        </w:numPr>
        <w:jc w:val="both"/>
        <w:rPr>
          <w:b/>
          <w:bCs/>
        </w:rPr>
      </w:pPr>
      <w:r w:rsidRPr="00464212">
        <w:rPr>
          <w:rFonts w:ascii="Times New Roman" w:hAnsi="Times New Roman" w:cs="Times New Roman"/>
          <w:b/>
          <w:bCs/>
        </w:rPr>
        <w:t xml:space="preserve">Enforcement - </w:t>
      </w:r>
      <w:r w:rsidR="00464212" w:rsidRPr="00464212">
        <w:rPr>
          <w:rFonts w:ascii="Times New Roman" w:hAnsi="Times New Roman" w:cs="Times New Roman"/>
          <w:b/>
          <w:bCs/>
        </w:rPr>
        <w:t xml:space="preserve">Child Support – Willful – </w:t>
      </w:r>
      <w:proofErr w:type="gramStart"/>
      <w:r w:rsidR="00464212" w:rsidRPr="00464212">
        <w:rPr>
          <w:rFonts w:ascii="Times New Roman" w:hAnsi="Times New Roman" w:cs="Times New Roman"/>
          <w:b/>
          <w:bCs/>
        </w:rPr>
        <w:t>Found;</w:t>
      </w:r>
      <w:proofErr w:type="gramEnd"/>
      <w:r w:rsidR="00464212" w:rsidRPr="00464212">
        <w:rPr>
          <w:rFonts w:ascii="Times New Roman" w:hAnsi="Times New Roman" w:cs="Times New Roman"/>
          <w:b/>
          <w:bCs/>
        </w:rPr>
        <w:t xml:space="preserve"> Insufficient Medical Evidence</w:t>
      </w:r>
    </w:p>
    <w:p w14:paraId="7055ECDF" w14:textId="71A1DF0A" w:rsidR="00B70B6C" w:rsidRDefault="00464212" w:rsidP="00464212">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64212">
        <w:rPr>
          <w:rFonts w:ascii="Times New Roman" w:hAnsi="Times New Roman" w:cs="Times New Roman"/>
          <w:b/>
          <w:bCs/>
          <w:i/>
          <w:iCs/>
        </w:rPr>
        <w:t>Matter of Steuben County DSS v. Schwartz</w:t>
      </w:r>
      <w:r>
        <w:rPr>
          <w:rFonts w:ascii="Times New Roman" w:hAnsi="Times New Roman" w:cs="Times New Roman"/>
        </w:rPr>
        <w:t>, 2025 Westlaw 3250420 (4</w:t>
      </w:r>
      <w:r w:rsidRPr="00E7045C">
        <w:rPr>
          <w:rFonts w:ascii="Times New Roman" w:hAnsi="Times New Roman" w:cs="Times New Roman"/>
          <w:vertAlign w:val="superscript"/>
        </w:rPr>
        <w:t>th</w:t>
      </w:r>
      <w:r>
        <w:rPr>
          <w:rFonts w:ascii="Times New Roman" w:hAnsi="Times New Roman" w:cs="Times New Roman"/>
        </w:rPr>
        <w:t xml:space="preserve"> Dept. Nov. </w:t>
      </w:r>
      <w:r>
        <w:rPr>
          <w:rFonts w:ascii="Times New Roman" w:hAnsi="Times New Roman" w:cs="Times New Roman"/>
        </w:rPr>
        <w:lastRenderedPageBreak/>
        <w:t>21, 2025), the father appealed from a July 2024 Family Court order which, after a hearing, found that he willfully violated a child support order and sentenced him to 60 days in jail. The Fourth Department affirmed, noting that while “the father testified that he could not work due to a shoulder injury, and he submitted two letters from a physician’s assistant stating that he was unable to work at this time,” the letters “did not identify the injuries sustained by the father or explain why he could not work” and “were dated August 10, 2023 and September 21, 2023, well after the father’s last support payment in April 2023.” The Appellate Division observed that “the father failed to pay any support from September 2021 to March 2023” and “offered no medical evidence to support his contention that he was physically unable to work prior to August 2023 (citations omitted).”</w:t>
      </w:r>
    </w:p>
    <w:p w14:paraId="5A73519B" w14:textId="77777777" w:rsidR="00480FC7" w:rsidRDefault="00480FC7" w:rsidP="00B33334">
      <w:pPr>
        <w:pStyle w:val="Heading2"/>
        <w:numPr>
          <w:ilvl w:val="0"/>
          <w:numId w:val="0"/>
        </w:numPr>
        <w:spacing w:line="240" w:lineRule="auto"/>
        <w:contextualSpacing/>
        <w:jc w:val="both"/>
        <w:rPr>
          <w:rFonts w:ascii="Times New Roman" w:hAnsi="Times New Roman" w:cs="Times New Roman"/>
        </w:rPr>
      </w:pPr>
    </w:p>
    <w:p w14:paraId="1666A47F" w14:textId="7A69418D" w:rsidR="00480FC7" w:rsidRPr="00480FC7" w:rsidRDefault="00480FC7" w:rsidP="00480FC7">
      <w:pPr>
        <w:pStyle w:val="Heading2"/>
        <w:numPr>
          <w:ilvl w:val="0"/>
          <w:numId w:val="0"/>
        </w:numPr>
        <w:jc w:val="both"/>
        <w:rPr>
          <w:b/>
          <w:bCs/>
        </w:rPr>
      </w:pPr>
      <w:r w:rsidRPr="00480FC7">
        <w:rPr>
          <w:rFonts w:ascii="Times New Roman" w:hAnsi="Times New Roman" w:cs="Times New Roman"/>
          <w:b/>
          <w:bCs/>
        </w:rPr>
        <w:t>Evidence - Child as Witness</w:t>
      </w:r>
      <w:r>
        <w:rPr>
          <w:rFonts w:ascii="Times New Roman" w:hAnsi="Times New Roman" w:cs="Times New Roman"/>
          <w:b/>
          <w:bCs/>
        </w:rPr>
        <w:t>,</w:t>
      </w:r>
      <w:r w:rsidRPr="00480FC7">
        <w:rPr>
          <w:rFonts w:ascii="Times New Roman" w:hAnsi="Times New Roman" w:cs="Times New Roman"/>
          <w:b/>
          <w:bCs/>
        </w:rPr>
        <w:t xml:space="preserve"> Police Records</w:t>
      </w:r>
    </w:p>
    <w:p w14:paraId="6C34D5AB" w14:textId="0017A7EE" w:rsidR="00480FC7" w:rsidRDefault="00480FC7" w:rsidP="00480FC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80FC7">
        <w:rPr>
          <w:rFonts w:ascii="Times New Roman" w:hAnsi="Times New Roman" w:cs="Times New Roman"/>
          <w:b/>
          <w:bCs/>
          <w:i/>
          <w:iCs/>
        </w:rPr>
        <w:t>Matter of Pontillo v. Pearce</w:t>
      </w:r>
      <w:r>
        <w:rPr>
          <w:rFonts w:ascii="Times New Roman" w:hAnsi="Times New Roman" w:cs="Times New Roman"/>
        </w:rPr>
        <w:t xml:space="preserve">, 2025 Westlaw 3223684 (2d Dept. Nov. 19, 2025), the father appealed from an October 2024 Family Court order, </w:t>
      </w:r>
      <w:r w:rsidR="00402A62">
        <w:rPr>
          <w:rFonts w:ascii="Times New Roman" w:hAnsi="Times New Roman" w:cs="Times New Roman"/>
        </w:rPr>
        <w:t xml:space="preserve">denying </w:t>
      </w:r>
      <w:r>
        <w:rPr>
          <w:rFonts w:ascii="Times New Roman" w:hAnsi="Times New Roman" w:cs="Times New Roman"/>
        </w:rPr>
        <w:t>his motion pursuant to CPLR 5015(a)(4) to vacate a February 2024 order of the same court, which, among other things, d</w:t>
      </w:r>
      <w:r w:rsidR="00402A62">
        <w:rPr>
          <w:rFonts w:ascii="Times New Roman" w:hAnsi="Times New Roman" w:cs="Times New Roman"/>
        </w:rPr>
        <w:t>ismissed</w:t>
      </w:r>
      <w:r>
        <w:rPr>
          <w:rFonts w:ascii="Times New Roman" w:hAnsi="Times New Roman" w:cs="Times New Roman"/>
        </w:rPr>
        <w:t xml:space="preserve"> his petitions to terminate his child support obligation for the parties’ 2 children arising from a January 2014 judgment of divorce. The Second Department affirmed, holding that “Family Court providently exercised its discretion in denying the father’s request to admit certain documents from the Dutchess County Sheriff’s Department into evidence, as those documents were not properly authenticated and the father failed to establish a proper foundation for their admission,” citing CPLR 4518. The Appellate Division further determined that Family Court “providently exercised its discretion in denying the father’s request to call the parties’ oldest child as a witness, as the father failed to demonstrate the relevance of this proposed testimony (citations omitted).”</w:t>
      </w:r>
    </w:p>
    <w:p w14:paraId="588B8773" w14:textId="77777777" w:rsidR="00480FC7" w:rsidRDefault="00480FC7" w:rsidP="00480FC7">
      <w:pPr>
        <w:pStyle w:val="Heading2"/>
        <w:numPr>
          <w:ilvl w:val="0"/>
          <w:numId w:val="0"/>
        </w:numPr>
        <w:spacing w:line="240" w:lineRule="auto"/>
        <w:contextualSpacing/>
        <w:jc w:val="both"/>
        <w:rPr>
          <w:rFonts w:ascii="Times New Roman" w:hAnsi="Times New Roman" w:cs="Times New Roman"/>
        </w:rPr>
      </w:pPr>
    </w:p>
    <w:p w14:paraId="1F22E7E9" w14:textId="77777777" w:rsidR="00480FC7" w:rsidRPr="00540F02" w:rsidRDefault="00480FC7" w:rsidP="00480FC7">
      <w:pPr>
        <w:pStyle w:val="Heading2"/>
        <w:numPr>
          <w:ilvl w:val="0"/>
          <w:numId w:val="0"/>
        </w:numPr>
        <w:jc w:val="both"/>
      </w:pPr>
      <w:r w:rsidRPr="00480FC7">
        <w:rPr>
          <w:rFonts w:ascii="Times New Roman" w:hAnsi="Times New Roman" w:cs="Times New Roman"/>
          <w:b/>
          <w:bCs/>
        </w:rPr>
        <w:t>Family Offense</w:t>
      </w:r>
      <w:r>
        <w:rPr>
          <w:rFonts w:ascii="Times New Roman" w:hAnsi="Times New Roman" w:cs="Times New Roman"/>
          <w:b/>
          <w:bCs/>
        </w:rPr>
        <w:t xml:space="preserve"> </w:t>
      </w:r>
      <w:r w:rsidRPr="000213AD">
        <w:rPr>
          <w:rFonts w:ascii="Times New Roman" w:hAnsi="Times New Roman" w:cs="Times New Roman"/>
          <w:b/>
          <w:bCs/>
        </w:rPr>
        <w:t>– Harassment 2d – Found</w:t>
      </w:r>
    </w:p>
    <w:p w14:paraId="7A2B68A3" w14:textId="31FA280B" w:rsidR="00480FC7" w:rsidRDefault="00480FC7" w:rsidP="00480FC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934AC">
        <w:rPr>
          <w:rFonts w:ascii="Times New Roman" w:hAnsi="Times New Roman" w:cs="Times New Roman"/>
          <w:b/>
          <w:bCs/>
          <w:i/>
          <w:iCs/>
        </w:rPr>
        <w:t>Matter of E.T. v. J.R</w:t>
      </w:r>
      <w:r w:rsidRPr="00480FC7">
        <w:rPr>
          <w:rFonts w:ascii="Times New Roman" w:hAnsi="Times New Roman" w:cs="Times New Roman"/>
        </w:rPr>
        <w:t>.</w:t>
      </w:r>
      <w:r>
        <w:rPr>
          <w:rFonts w:ascii="Times New Roman" w:hAnsi="Times New Roman" w:cs="Times New Roman"/>
        </w:rPr>
        <w:t>, 2025 Westlaw 3209989 (1</w:t>
      </w:r>
      <w:r w:rsidRPr="00540F02">
        <w:rPr>
          <w:rFonts w:ascii="Times New Roman" w:hAnsi="Times New Roman" w:cs="Times New Roman"/>
          <w:vertAlign w:val="superscript"/>
        </w:rPr>
        <w:t>st</w:t>
      </w:r>
      <w:r>
        <w:rPr>
          <w:rFonts w:ascii="Times New Roman" w:hAnsi="Times New Roman" w:cs="Times New Roman"/>
        </w:rPr>
        <w:t xml:space="preserve"> Dept. Nov. 18, 2025), respondent appealed from a February 2024 Family Court order which, after a hearing, determined that he had committed harassment 2d and granted a 6-month stay away order of protection in favor of petitioner. The First Department affirmed, finding that “[a] fair preponderance of the evidence established that respondent’s actions constituted” harassment 2d (PL 240.26[3]), and included: “accessing petitioner’s email account without permission and cancelling petitioner’s trips without petitioner’s knowledge”; “sending petitioner a text message asking if petitioner was having travel difficulties and telling him that he was going to be delayed or detained while traveling abroad”; and “appearing at petitioner’s place of employment, bus stop, and apartment building”; all of which were “done with the intent to alarm or seriously annoy petitioner and served no legitimate purpose (citation omitted</w:t>
      </w:r>
      <w:r w:rsidR="0084263A">
        <w:rPr>
          <w:rFonts w:ascii="Times New Roman" w:hAnsi="Times New Roman" w:cs="Times New Roman"/>
        </w:rPr>
        <w:t>)</w:t>
      </w:r>
      <w:r>
        <w:rPr>
          <w:rFonts w:ascii="Times New Roman" w:hAnsi="Times New Roman" w:cs="Times New Roman"/>
        </w:rPr>
        <w:t>.” The Appellate Division concluded that respondent’s “intent was fairly inferred from his actions.”</w:t>
      </w:r>
    </w:p>
    <w:p w14:paraId="06D114C7" w14:textId="77777777" w:rsidR="00F82A3C" w:rsidRDefault="00F82A3C" w:rsidP="00480FC7">
      <w:pPr>
        <w:pStyle w:val="Heading2"/>
        <w:numPr>
          <w:ilvl w:val="0"/>
          <w:numId w:val="0"/>
        </w:numPr>
        <w:spacing w:line="240" w:lineRule="auto"/>
        <w:contextualSpacing/>
        <w:jc w:val="both"/>
        <w:rPr>
          <w:rFonts w:ascii="Times New Roman" w:hAnsi="Times New Roman" w:cs="Times New Roman"/>
        </w:rPr>
      </w:pPr>
    </w:p>
    <w:p w14:paraId="29E407B6" w14:textId="77777777" w:rsidR="00F82A3C" w:rsidRPr="00F82A3C" w:rsidRDefault="00F82A3C" w:rsidP="00F82A3C">
      <w:pPr>
        <w:pStyle w:val="Heading2"/>
        <w:numPr>
          <w:ilvl w:val="0"/>
          <w:numId w:val="0"/>
        </w:numPr>
        <w:jc w:val="both"/>
        <w:rPr>
          <w:rFonts w:ascii="Times New Roman" w:hAnsi="Times New Roman" w:cs="Times New Roman"/>
          <w:b/>
          <w:bCs/>
        </w:rPr>
      </w:pPr>
      <w:r w:rsidRPr="00F82A3C">
        <w:rPr>
          <w:rFonts w:ascii="Times New Roman" w:hAnsi="Times New Roman" w:cs="Times New Roman"/>
          <w:b/>
          <w:bCs/>
        </w:rPr>
        <w:t>Family Offense - Violation of Order of Protection – Dismissed</w:t>
      </w:r>
    </w:p>
    <w:p w14:paraId="6DDC7E7E" w14:textId="000EF9A2" w:rsidR="00F82A3C" w:rsidRDefault="00F82A3C" w:rsidP="00F82A3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F82A3C">
        <w:rPr>
          <w:rFonts w:ascii="Times New Roman" w:hAnsi="Times New Roman" w:cs="Times New Roman"/>
          <w:b/>
          <w:bCs/>
          <w:i/>
          <w:iCs/>
        </w:rPr>
        <w:t>Matter of Pope v. Pope</w:t>
      </w:r>
      <w:r>
        <w:rPr>
          <w:rFonts w:ascii="Times New Roman" w:hAnsi="Times New Roman" w:cs="Times New Roman"/>
        </w:rPr>
        <w:t xml:space="preserve">, 2025 Westlaw 3293751 (2d Dept. Nov. 26, 2025), the mother appealed from an October 2022 Family Court order, which dismissed her petition alleging that the father violated a May 2021 order of protection by calling her cell phone. The Second Department </w:t>
      </w:r>
      <w:r>
        <w:rPr>
          <w:rFonts w:ascii="Times New Roman" w:hAnsi="Times New Roman" w:cs="Times New Roman"/>
        </w:rPr>
        <w:lastRenderedPageBreak/>
        <w:t>affirmed, holding that Family Court “did not err in finding the mother failed to prove by clear and convincing evidence that the father had violated the order of protection *** when he inadvertently ‘butt-dialed’ her.”</w:t>
      </w:r>
    </w:p>
    <w:p w14:paraId="407B679C" w14:textId="77777777" w:rsidR="00480FC7" w:rsidRDefault="00480FC7" w:rsidP="00480FC7">
      <w:pPr>
        <w:pStyle w:val="Heading2"/>
        <w:numPr>
          <w:ilvl w:val="0"/>
          <w:numId w:val="0"/>
        </w:numPr>
        <w:spacing w:line="240" w:lineRule="auto"/>
        <w:contextualSpacing/>
        <w:jc w:val="both"/>
        <w:rPr>
          <w:rFonts w:ascii="Times New Roman" w:hAnsi="Times New Roman" w:cs="Times New Roman"/>
        </w:rPr>
      </w:pPr>
    </w:p>
    <w:p w14:paraId="5873EA8D" w14:textId="77777777" w:rsidR="00480FC7" w:rsidRPr="00392A66" w:rsidRDefault="00480FC7" w:rsidP="00480FC7">
      <w:pPr>
        <w:pStyle w:val="Heading2"/>
        <w:numPr>
          <w:ilvl w:val="0"/>
          <w:numId w:val="0"/>
        </w:numPr>
      </w:pPr>
      <w:r w:rsidRPr="00480FC7">
        <w:rPr>
          <w:rFonts w:ascii="Times New Roman" w:hAnsi="Times New Roman" w:cs="Times New Roman"/>
          <w:b/>
          <w:bCs/>
        </w:rPr>
        <w:t>Pendente Lite</w:t>
      </w:r>
      <w:r>
        <w:rPr>
          <w:rFonts w:ascii="Times New Roman" w:hAnsi="Times New Roman" w:cs="Times New Roman"/>
          <w:b/>
          <w:bCs/>
        </w:rPr>
        <w:t xml:space="preserve"> </w:t>
      </w:r>
      <w:r w:rsidRPr="00480FC7">
        <w:rPr>
          <w:rFonts w:ascii="Times New Roman" w:hAnsi="Times New Roman" w:cs="Times New Roman"/>
          <w:b/>
          <w:bCs/>
        </w:rPr>
        <w:t>- Child Support, Counsel Fees, Half of Rent – Granted</w:t>
      </w:r>
    </w:p>
    <w:p w14:paraId="6E89509A" w14:textId="71FA1B2E" w:rsidR="00480FC7" w:rsidRDefault="00480FC7" w:rsidP="00480FC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80FC7">
        <w:rPr>
          <w:rFonts w:ascii="Times New Roman" w:hAnsi="Times New Roman" w:cs="Times New Roman"/>
          <w:b/>
          <w:bCs/>
          <w:i/>
          <w:iCs/>
        </w:rPr>
        <w:t>Glavan v. Glavan</w:t>
      </w:r>
      <w:r>
        <w:rPr>
          <w:rFonts w:ascii="Times New Roman" w:hAnsi="Times New Roman" w:cs="Times New Roman"/>
        </w:rPr>
        <w:t>, 2025 Westlaw 3084913 (2d Dept. Nov. 5, 2025), the parties were married in 2011 and have 2 children. The husband appealed from two December 2023 Supreme Court orders, which, in his July 2023 divorce action wherein the wife had been awarded temporary custody: (1) granted her motion for temporary relief to the extent of directing him to pay her counsel fees of $2,500; and (2) granted her motion for temporary relief to the extent of directing him to pay half of the rent due on the marital residence, plus $916.88 per month in child support and $200 per month toward retroactive child support. The Second Department affirmed, holding that the husband demonstrated no exigent circumstances warranting modification of the support components of temporary order and that “the record supports the court’s determination that the [wife] is the less monied spouse, and the court had a sufficient basis for the award of interim counsel fees.”</w:t>
      </w:r>
    </w:p>
    <w:p w14:paraId="55B761A7" w14:textId="77777777" w:rsidR="00427249" w:rsidRDefault="00427249" w:rsidP="00480FC7">
      <w:pPr>
        <w:pStyle w:val="Heading2"/>
        <w:numPr>
          <w:ilvl w:val="0"/>
          <w:numId w:val="0"/>
        </w:numPr>
        <w:spacing w:line="240" w:lineRule="auto"/>
        <w:contextualSpacing/>
        <w:jc w:val="both"/>
        <w:rPr>
          <w:rFonts w:ascii="Times New Roman" w:hAnsi="Times New Roman" w:cs="Times New Roman"/>
        </w:rPr>
      </w:pPr>
    </w:p>
    <w:p w14:paraId="74BE2F3E" w14:textId="77777777" w:rsidR="00427249" w:rsidRDefault="00427249" w:rsidP="00427249">
      <w:pPr>
        <w:pStyle w:val="Heading2"/>
        <w:numPr>
          <w:ilvl w:val="0"/>
          <w:numId w:val="0"/>
        </w:numPr>
        <w:spacing w:line="240" w:lineRule="auto"/>
        <w:contextualSpacing/>
        <w:jc w:val="both"/>
        <w:rPr>
          <w:rFonts w:ascii="Times New Roman" w:hAnsi="Times New Roman" w:cs="Times New Roman"/>
          <w:b/>
          <w:bCs/>
        </w:rPr>
      </w:pPr>
      <w:r w:rsidRPr="00427249">
        <w:rPr>
          <w:rFonts w:ascii="Times New Roman" w:hAnsi="Times New Roman" w:cs="Times New Roman"/>
          <w:b/>
          <w:bCs/>
        </w:rPr>
        <w:t>Pendente Lite - Post-Judgment Modification – College, Private School, Therapy – Reversed; No Compliance with 22 NYCRR 202.16(k)(2)</w:t>
      </w:r>
    </w:p>
    <w:p w14:paraId="4AA48DB6" w14:textId="77777777" w:rsidR="00427249" w:rsidRPr="00427249" w:rsidRDefault="00427249" w:rsidP="00427249">
      <w:pPr>
        <w:pStyle w:val="Heading2"/>
        <w:numPr>
          <w:ilvl w:val="0"/>
          <w:numId w:val="0"/>
        </w:numPr>
        <w:spacing w:line="240" w:lineRule="auto"/>
        <w:contextualSpacing/>
        <w:rPr>
          <w:b/>
          <w:bCs/>
        </w:rPr>
      </w:pPr>
    </w:p>
    <w:p w14:paraId="29444D2A" w14:textId="39818F75" w:rsidR="00427249" w:rsidRPr="00480FC7" w:rsidRDefault="00427249" w:rsidP="00427249">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427249">
        <w:rPr>
          <w:rFonts w:ascii="Times New Roman" w:hAnsi="Times New Roman" w:cs="Times New Roman"/>
          <w:b/>
          <w:bCs/>
          <w:i/>
          <w:iCs/>
        </w:rPr>
        <w:t>Molner v. Molner</w:t>
      </w:r>
      <w:r>
        <w:rPr>
          <w:rFonts w:ascii="Times New Roman" w:hAnsi="Times New Roman" w:cs="Times New Roman"/>
        </w:rPr>
        <w:t>, 2025 Westlaw 3274637 (1</w:t>
      </w:r>
      <w:r w:rsidRPr="00C907F6">
        <w:rPr>
          <w:rFonts w:ascii="Times New Roman" w:hAnsi="Times New Roman" w:cs="Times New Roman"/>
          <w:vertAlign w:val="superscript"/>
        </w:rPr>
        <w:t>st</w:t>
      </w:r>
      <w:r>
        <w:rPr>
          <w:rFonts w:ascii="Times New Roman" w:hAnsi="Times New Roman" w:cs="Times New Roman"/>
        </w:rPr>
        <w:t xml:space="preserve"> Dept. Nov. 25, 2025), the mother appealed from an August 2024 Supreme Court Order, which granted the father’s motion for interim relief pending a financial hearing, to the extent of ordering the mother to pay: 100% of the 2024-2025 college tuitions for the parties’ 2 sons, 50% of any future college expenses for the children, their daughter A.M.’s private school tuition, and their daughter G.M.’s therapeutic treatment, subject to reallocation. The First Department reversed, on the law, denied the father’s motion and remanded for further proceedings, except for the portion of the order directing the mother to pay 100% of the 2024-2025 college tuitions for the parties’ two sons, which was granted on consent and therefore not appealable. The Appellate Division held that Supreme Court “improperly granted [the father’s] application for interim relief by directing [the mother] to pay a percentage of certain child support add-on expenses, effectively modifying the parties’ financial agreement and judgment of divorce before the anticipated financial hearing *** [,] notwithstanding the [father’s] failure to attach a current sworn statement of net worth as required by 22 NYCRR 202.16(k)(2) and his failure to provide his most recently filed tax returns or any financial documentation (citation omitted).” The Court concluded “there was no basis for the court’s determination as to why deviation from the parties’ financial agreement, and the status quo, was needed ahead of the financial hearing before the Referee (citation omitted).”</w:t>
      </w:r>
    </w:p>
    <w:p w14:paraId="09F2AF22" w14:textId="77777777" w:rsidR="005854D5" w:rsidRPr="005854D5" w:rsidRDefault="005854D5" w:rsidP="005854D5">
      <w:pPr>
        <w:pStyle w:val="Heading1"/>
        <w:numPr>
          <w:ilvl w:val="0"/>
          <w:numId w:val="0"/>
        </w:numPr>
        <w:spacing w:line="240" w:lineRule="auto"/>
        <w:contextualSpacing/>
        <w:jc w:val="both"/>
        <w:rPr>
          <w:rFonts w:ascii="Times New Roman" w:hAnsi="Times New Roman" w:cs="Times New Roman"/>
          <w:b/>
          <w:bCs/>
        </w:rPr>
      </w:pPr>
    </w:p>
    <w:p w14:paraId="26086FBF" w14:textId="00CC7128" w:rsidR="003B59AD" w:rsidRPr="007555CE" w:rsidRDefault="003B59AD" w:rsidP="007555CE">
      <w:pPr>
        <w:pStyle w:val="Heading1"/>
        <w:numPr>
          <w:ilvl w:val="0"/>
          <w:numId w:val="0"/>
        </w:numPr>
        <w:ind w:left="720" w:hanging="720"/>
        <w:rPr>
          <w:b/>
          <w:bCs/>
          <w:u w:val="single"/>
        </w:rPr>
      </w:pPr>
      <w:r w:rsidRPr="007555CE">
        <w:rPr>
          <w:rFonts w:ascii="Times New Roman" w:hAnsi="Times New Roman" w:cs="Times New Roman"/>
          <w:b/>
          <w:bCs/>
          <w:u w:val="single"/>
        </w:rPr>
        <w:t>LEGISLATIVE AND COURT RULE ITEMS</w:t>
      </w:r>
    </w:p>
    <w:p w14:paraId="7B20E8B4" w14:textId="77777777" w:rsidR="00480FC7" w:rsidRPr="00CE60D4" w:rsidRDefault="00480FC7" w:rsidP="00480FC7">
      <w:pPr>
        <w:pStyle w:val="Heading2"/>
        <w:numPr>
          <w:ilvl w:val="0"/>
          <w:numId w:val="0"/>
        </w:numPr>
        <w:jc w:val="both"/>
        <w:rPr>
          <w:b/>
          <w:bCs/>
        </w:rPr>
      </w:pPr>
      <w:r w:rsidRPr="00CE60D4">
        <w:rPr>
          <w:rFonts w:ascii="Times New Roman" w:hAnsi="Times New Roman" w:cs="Times New Roman"/>
          <w:b/>
          <w:bCs/>
        </w:rPr>
        <w:t xml:space="preserve">Affirmation </w:t>
      </w:r>
      <w:r>
        <w:rPr>
          <w:rFonts w:ascii="Times New Roman" w:hAnsi="Times New Roman" w:cs="Times New Roman"/>
          <w:b/>
          <w:bCs/>
        </w:rPr>
        <w:t xml:space="preserve">Exclusion and </w:t>
      </w:r>
      <w:r w:rsidRPr="00CE60D4">
        <w:rPr>
          <w:rFonts w:ascii="Times New Roman" w:hAnsi="Times New Roman" w:cs="Times New Roman"/>
          <w:b/>
          <w:bCs/>
        </w:rPr>
        <w:t>Expansion; Exclusion of DRL 236(B)(3) Agreements</w:t>
      </w:r>
    </w:p>
    <w:p w14:paraId="388C49C3" w14:textId="77777777" w:rsidR="00480FC7" w:rsidRPr="00CE60D4" w:rsidRDefault="00480FC7" w:rsidP="00480FC7">
      <w:pPr>
        <w:pStyle w:val="Heading2"/>
        <w:numPr>
          <w:ilvl w:val="0"/>
          <w:numId w:val="0"/>
        </w:numPr>
        <w:spacing w:line="240" w:lineRule="auto"/>
        <w:contextualSpacing/>
        <w:jc w:val="both"/>
      </w:pPr>
      <w:r>
        <w:rPr>
          <w:rFonts w:ascii="Times New Roman" w:hAnsi="Times New Roman" w:cs="Times New Roman"/>
        </w:rPr>
        <w:tab/>
      </w:r>
      <w:r w:rsidRPr="004D46EB">
        <w:rPr>
          <w:rFonts w:ascii="Times New Roman" w:hAnsi="Times New Roman" w:cs="Times New Roman"/>
          <w:b/>
          <w:bCs/>
          <w:u w:val="single"/>
        </w:rPr>
        <w:t>Signed by the Governor on November 21, 2025</w:t>
      </w:r>
      <w:r>
        <w:rPr>
          <w:rFonts w:ascii="Times New Roman" w:hAnsi="Times New Roman" w:cs="Times New Roman"/>
          <w:b/>
          <w:bCs/>
          <w:u w:val="single"/>
        </w:rPr>
        <w:t xml:space="preserve"> and effective immediately</w:t>
      </w:r>
      <w:r>
        <w:rPr>
          <w:rFonts w:ascii="Times New Roman" w:hAnsi="Times New Roman" w:cs="Times New Roman"/>
        </w:rPr>
        <w:t xml:space="preserve">, this bill </w:t>
      </w:r>
      <w:r>
        <w:rPr>
          <w:rFonts w:ascii="Times New Roman" w:hAnsi="Times New Roman" w:cs="Times New Roman"/>
          <w:b/>
          <w:bCs/>
          <w:u w:val="single"/>
        </w:rPr>
        <w:t xml:space="preserve">(again) </w:t>
      </w:r>
      <w:r w:rsidRPr="00F30285">
        <w:rPr>
          <w:rFonts w:ascii="Times New Roman" w:hAnsi="Times New Roman" w:cs="Times New Roman"/>
          <w:b/>
          <w:bCs/>
          <w:u w:val="single"/>
        </w:rPr>
        <w:t>amend</w:t>
      </w:r>
      <w:r>
        <w:rPr>
          <w:rFonts w:ascii="Times New Roman" w:hAnsi="Times New Roman" w:cs="Times New Roman"/>
          <w:b/>
          <w:bCs/>
          <w:u w:val="single"/>
        </w:rPr>
        <w:t>s</w:t>
      </w:r>
      <w:r>
        <w:rPr>
          <w:rFonts w:ascii="Times New Roman" w:hAnsi="Times New Roman" w:cs="Times New Roman"/>
        </w:rPr>
        <w:t xml:space="preserve"> CPLR Rule 2106 to: (1) designate the existing statutory language as paragraph (a), while also excluding statements made </w:t>
      </w:r>
      <w:r w:rsidRPr="00CE60D4">
        <w:rPr>
          <w:rFonts w:ascii="Times New Roman" w:hAnsi="Times New Roman" w:cs="Times New Roman"/>
        </w:rPr>
        <w:t xml:space="preserve">“in a deposition, or an oath of office, or an oath required </w:t>
      </w:r>
      <w:r w:rsidRPr="00CE60D4">
        <w:rPr>
          <w:rFonts w:ascii="Times New Roman" w:hAnsi="Times New Roman" w:cs="Times New Roman"/>
        </w:rPr>
        <w:lastRenderedPageBreak/>
        <w:t>to be taken  before  a  specified  person other than a notary</w:t>
      </w:r>
      <w:r>
        <w:rPr>
          <w:rFonts w:ascii="Times New Roman" w:hAnsi="Times New Roman" w:cs="Times New Roman"/>
        </w:rPr>
        <w:t>”; (2) expand the permissible use of an affirmation to include “</w:t>
      </w:r>
      <w:r w:rsidRPr="00CE60D4">
        <w:rPr>
          <w:rFonts w:ascii="Times New Roman" w:hAnsi="Times New Roman" w:cs="Times New Roman"/>
        </w:rPr>
        <w:t>a certificate, a response to a notice to admit, an answer to interrogatories, a verification of a pleading</w:t>
      </w:r>
      <w:r>
        <w:rPr>
          <w:rFonts w:ascii="Times New Roman" w:hAnsi="Times New Roman" w:cs="Times New Roman"/>
        </w:rPr>
        <w:t xml:space="preserve"> [which essentially duplicates last December’s amendment to CPLR 3020(a)]</w:t>
      </w:r>
      <w:r w:rsidRPr="00CE60D4">
        <w:rPr>
          <w:rFonts w:ascii="Times New Roman" w:hAnsi="Times New Roman" w:cs="Times New Roman"/>
        </w:rPr>
        <w:t>, a bill of particulars and any other sworn statement</w:t>
      </w:r>
      <w:r>
        <w:rPr>
          <w:rFonts w:ascii="Times New Roman" w:hAnsi="Times New Roman" w:cs="Times New Roman"/>
        </w:rPr>
        <w:t>”; (3) amend the form of affirmation by adding the clause “</w:t>
      </w:r>
      <w:r w:rsidRPr="00F84AFF">
        <w:rPr>
          <w:rFonts w:ascii="Times New Roman" w:hAnsi="Times New Roman" w:cs="Times New Roman"/>
        </w:rPr>
        <w:t>except as to matters alleged on  information and belief and as to those matters I believe it to be true</w:t>
      </w:r>
      <w:r>
        <w:rPr>
          <w:rFonts w:ascii="Times New Roman" w:hAnsi="Times New Roman" w:cs="Times New Roman"/>
        </w:rPr>
        <w:t>”; and (4) to add a new paragraph (b) which provides: “</w:t>
      </w:r>
      <w:r w:rsidRPr="00F84AFF">
        <w:rPr>
          <w:rFonts w:ascii="Times New Roman" w:hAnsi="Times New Roman" w:cs="Times New Roman"/>
        </w:rPr>
        <w:t>Nothing in this rule shall be construed to eliminate any  requirement  under  the domestic relations law that matrimonial agreements must be acknowledged in the form of deed.</w:t>
      </w:r>
      <w:r>
        <w:rPr>
          <w:rFonts w:ascii="Times New Roman" w:hAnsi="Times New Roman" w:cs="Times New Roman"/>
        </w:rPr>
        <w:t>” A.08302/S.08195, Laws of 2025, Ch. 564.</w:t>
      </w:r>
    </w:p>
    <w:p w14:paraId="2A859716" w14:textId="77777777" w:rsidR="00480FC7" w:rsidRPr="008D7D4C" w:rsidRDefault="00480FC7" w:rsidP="00480FC7">
      <w:pPr>
        <w:pStyle w:val="Heading2"/>
        <w:numPr>
          <w:ilvl w:val="0"/>
          <w:numId w:val="0"/>
        </w:numPr>
        <w:spacing w:line="240" w:lineRule="auto"/>
        <w:contextualSpacing/>
        <w:jc w:val="both"/>
        <w:rPr>
          <w:b/>
          <w:bCs/>
        </w:rPr>
      </w:pPr>
    </w:p>
    <w:p w14:paraId="1BEF69D3" w14:textId="77777777" w:rsidR="00480FC7" w:rsidRDefault="00480FC7" w:rsidP="00480FC7">
      <w:pPr>
        <w:pStyle w:val="Heading2"/>
        <w:numPr>
          <w:ilvl w:val="0"/>
          <w:numId w:val="0"/>
        </w:numPr>
        <w:spacing w:line="240" w:lineRule="auto"/>
        <w:contextualSpacing/>
        <w:jc w:val="both"/>
        <w:rPr>
          <w:rFonts w:ascii="Times New Roman" w:hAnsi="Times New Roman" w:cs="Times New Roman"/>
          <w:b/>
          <w:bCs/>
        </w:rPr>
      </w:pPr>
      <w:r w:rsidRPr="000A5062">
        <w:rPr>
          <w:rFonts w:ascii="Times New Roman" w:hAnsi="Times New Roman" w:cs="Times New Roman"/>
          <w:b/>
          <w:bCs/>
        </w:rPr>
        <w:t>Appeals and Objections in Family Court – Service, Time Limits and Electronic Transmission</w:t>
      </w:r>
    </w:p>
    <w:p w14:paraId="406C6144" w14:textId="77777777" w:rsidR="00480FC7" w:rsidRPr="000A5062" w:rsidRDefault="00480FC7" w:rsidP="00480FC7">
      <w:pPr>
        <w:pStyle w:val="Heading2"/>
        <w:numPr>
          <w:ilvl w:val="0"/>
          <w:numId w:val="0"/>
        </w:numPr>
        <w:spacing w:line="240" w:lineRule="auto"/>
        <w:contextualSpacing/>
        <w:jc w:val="both"/>
        <w:rPr>
          <w:b/>
          <w:bCs/>
        </w:rPr>
      </w:pPr>
    </w:p>
    <w:p w14:paraId="4ABB76C1" w14:textId="77777777" w:rsidR="00480FC7" w:rsidRDefault="00480FC7" w:rsidP="00480FC7">
      <w:pPr>
        <w:pStyle w:val="Heading2"/>
        <w:numPr>
          <w:ilvl w:val="0"/>
          <w:numId w:val="0"/>
        </w:numPr>
        <w:spacing w:line="240" w:lineRule="auto"/>
        <w:contextualSpacing/>
        <w:jc w:val="both"/>
        <w:rPr>
          <w:rFonts w:ascii="Times New Roman" w:hAnsi="Times New Roman" w:cs="Times New Roman"/>
        </w:rPr>
      </w:pPr>
      <w:r>
        <w:rPr>
          <w:b/>
          <w:bCs/>
        </w:rPr>
        <w:tab/>
      </w:r>
      <w:r w:rsidRPr="00617BF7">
        <w:rPr>
          <w:rFonts w:ascii="Times New Roman" w:hAnsi="Times New Roman" w:cs="Times New Roman"/>
          <w:b/>
          <w:bCs/>
          <w:u w:val="single"/>
        </w:rPr>
        <w:t>Signed by the Governor on November 21, 2025</w:t>
      </w:r>
      <w:r>
        <w:rPr>
          <w:rFonts w:ascii="Times New Roman" w:hAnsi="Times New Roman" w:cs="Times New Roman"/>
        </w:rPr>
        <w:t xml:space="preserve">, and </w:t>
      </w:r>
      <w:r w:rsidRPr="0000020B">
        <w:rPr>
          <w:rFonts w:ascii="Times New Roman" w:hAnsi="Times New Roman" w:cs="Times New Roman"/>
          <w:b/>
          <w:bCs/>
          <w:u w:val="single"/>
        </w:rPr>
        <w:t>effective March 21, 2026</w:t>
      </w:r>
      <w:r>
        <w:rPr>
          <w:rFonts w:ascii="Times New Roman" w:hAnsi="Times New Roman" w:cs="Times New Roman"/>
        </w:rPr>
        <w:t xml:space="preserve">, this legislation </w:t>
      </w:r>
      <w:r w:rsidRPr="00617BF7">
        <w:rPr>
          <w:rFonts w:ascii="Times New Roman" w:hAnsi="Times New Roman" w:cs="Times New Roman"/>
          <w:b/>
          <w:bCs/>
          <w:u w:val="single"/>
        </w:rPr>
        <w:t>amends</w:t>
      </w:r>
      <w:r>
        <w:rPr>
          <w:rFonts w:ascii="Times New Roman" w:hAnsi="Times New Roman" w:cs="Times New Roman"/>
        </w:rPr>
        <w:t xml:space="preserve"> FCA </w:t>
      </w:r>
      <w:r w:rsidRPr="00A370B4">
        <w:rPr>
          <w:rFonts w:ascii="Times New Roman" w:hAnsi="Times New Roman" w:cs="Times New Roman"/>
        </w:rPr>
        <w:t>§§</w:t>
      </w:r>
      <w:r>
        <w:rPr>
          <w:rFonts w:ascii="Times New Roman" w:hAnsi="Times New Roman" w:cs="Times New Roman"/>
        </w:rPr>
        <w:t>439(e) and 1113 to provide: (1) the 35-day period for filing objections when the order is served by mail also applies to orders served by electronic transmission; (2) parties filing objections and rebuttals must arrange for service of the same upon the other party by a non-party over age 18; (3) the judge’s time for rendering a decision is changed to 35 days after the objections are filed [from the present 15 days after the rebuttal is filed or rebuttal time has expired]; and (4) the 35-day period for taking an appeal when the clerk of the court mails the order to the appellant, also applies to orders transmitted by the clerk to the appellant by electronic transmission. A.08298/S.08176, Laws of 2025, Ch. 534.</w:t>
      </w:r>
    </w:p>
    <w:p w14:paraId="19CAB691" w14:textId="77777777" w:rsidR="00480FC7" w:rsidRDefault="00480FC7" w:rsidP="00480FC7">
      <w:pPr>
        <w:pStyle w:val="Heading2"/>
        <w:numPr>
          <w:ilvl w:val="0"/>
          <w:numId w:val="0"/>
        </w:numPr>
        <w:spacing w:line="240" w:lineRule="auto"/>
        <w:contextualSpacing/>
        <w:rPr>
          <w:rFonts w:ascii="Times New Roman" w:hAnsi="Times New Roman" w:cs="Times New Roman"/>
          <w:b/>
          <w:bCs/>
        </w:rPr>
      </w:pPr>
    </w:p>
    <w:p w14:paraId="6C9DC63A" w14:textId="2DEDE082" w:rsidR="00480FC7" w:rsidRPr="007D202A" w:rsidRDefault="00480FC7" w:rsidP="00480FC7">
      <w:pPr>
        <w:pStyle w:val="Heading2"/>
        <w:numPr>
          <w:ilvl w:val="0"/>
          <w:numId w:val="0"/>
        </w:numPr>
        <w:spacing w:line="240" w:lineRule="auto"/>
        <w:contextualSpacing/>
        <w:rPr>
          <w:b/>
          <w:bCs/>
        </w:rPr>
      </w:pPr>
      <w:r w:rsidRPr="007D202A">
        <w:rPr>
          <w:rFonts w:ascii="Times New Roman" w:hAnsi="Times New Roman" w:cs="Times New Roman"/>
          <w:b/>
          <w:bCs/>
        </w:rPr>
        <w:t>Automatic Orders</w:t>
      </w:r>
    </w:p>
    <w:p w14:paraId="47D98A09" w14:textId="77777777" w:rsidR="00480FC7" w:rsidRDefault="00480FC7" w:rsidP="00480FC7">
      <w:pPr>
        <w:pStyle w:val="Heading2"/>
        <w:numPr>
          <w:ilvl w:val="0"/>
          <w:numId w:val="0"/>
        </w:numPr>
        <w:spacing w:line="240" w:lineRule="auto"/>
        <w:contextualSpacing/>
        <w:jc w:val="both"/>
        <w:rPr>
          <w:rFonts w:ascii="Times New Roman" w:hAnsi="Times New Roman" w:cs="Times New Roman"/>
          <w:b/>
          <w:bCs/>
        </w:rPr>
      </w:pPr>
    </w:p>
    <w:p w14:paraId="7BCAA2CA" w14:textId="10CA9C44" w:rsidR="00480FC7" w:rsidRPr="007D202A" w:rsidRDefault="00480FC7" w:rsidP="00480FC7">
      <w:pPr>
        <w:pStyle w:val="Heading2"/>
        <w:numPr>
          <w:ilvl w:val="0"/>
          <w:numId w:val="0"/>
        </w:numPr>
        <w:spacing w:line="240" w:lineRule="auto"/>
        <w:contextualSpacing/>
        <w:jc w:val="both"/>
      </w:pPr>
      <w:r>
        <w:rPr>
          <w:rFonts w:ascii="Times New Roman" w:hAnsi="Times New Roman" w:cs="Times New Roman"/>
          <w:b/>
          <w:bCs/>
        </w:rPr>
        <w:tab/>
      </w:r>
      <w:r w:rsidRPr="0000020B">
        <w:rPr>
          <w:rFonts w:ascii="Times New Roman" w:hAnsi="Times New Roman" w:cs="Times New Roman"/>
          <w:b/>
          <w:bCs/>
          <w:u w:val="single"/>
        </w:rPr>
        <w:t>Signed by the Governor on November 21, 2025</w:t>
      </w:r>
      <w:r>
        <w:rPr>
          <w:rFonts w:ascii="Times New Roman" w:hAnsi="Times New Roman" w:cs="Times New Roman"/>
        </w:rPr>
        <w:t xml:space="preserve">, this bill </w:t>
      </w:r>
      <w:r>
        <w:rPr>
          <w:rFonts w:ascii="Times New Roman" w:hAnsi="Times New Roman" w:cs="Times New Roman"/>
          <w:b/>
          <w:bCs/>
          <w:u w:val="single"/>
        </w:rPr>
        <w:t>amends</w:t>
      </w:r>
      <w:r>
        <w:rPr>
          <w:rFonts w:ascii="Times New Roman" w:hAnsi="Times New Roman" w:cs="Times New Roman"/>
        </w:rPr>
        <w:t xml:space="preserve"> DRL </w:t>
      </w:r>
      <w:r w:rsidRPr="00A370B4">
        <w:rPr>
          <w:rFonts w:ascii="Times New Roman" w:hAnsi="Times New Roman" w:cs="Times New Roman"/>
        </w:rPr>
        <w:t>§</w:t>
      </w:r>
      <w:r>
        <w:rPr>
          <w:rFonts w:ascii="Times New Roman" w:hAnsi="Times New Roman" w:cs="Times New Roman"/>
        </w:rPr>
        <w:t xml:space="preserve">236(B)(2)(b), </w:t>
      </w:r>
      <w:r w:rsidRPr="0000020B">
        <w:rPr>
          <w:rFonts w:ascii="Times New Roman" w:hAnsi="Times New Roman" w:cs="Times New Roman"/>
          <w:b/>
          <w:bCs/>
          <w:u w:val="single"/>
        </w:rPr>
        <w:t>effective January 20, 2026</w:t>
      </w:r>
      <w:r>
        <w:rPr>
          <w:rFonts w:ascii="Times New Roman" w:hAnsi="Times New Roman" w:cs="Times New Roman"/>
        </w:rPr>
        <w:t>, to provide that the automatic orders shall “take effect and” be binding upon plaintiff upon filing of the summons and “shall be binding” upon defendant upon service. [Language clarity, not a real substantive change]. The proposed amendments further provide that “each” automatic “order” shall remain in force and effect “until the judgment of divorce is entered or the action is dismissed, discontinued, or stayed, whichever shall occur first ***.” A new subparagraph (6) would be added, to provide that “if either party receives notice of a tax lien, foreclosure, bankruptcy, or litigation, or the filing of same, or of the lifting of a stay in bankruptcy, that could adversely affect the marital estate, that party shall, within ten days after receiving such notice, send written notice of such event to the other party.” A.08299/S.08270, Laws of 2025, Ch. 535.</w:t>
      </w:r>
    </w:p>
    <w:p w14:paraId="04DCCBF6" w14:textId="77777777" w:rsidR="00480FC7" w:rsidRDefault="00480FC7" w:rsidP="00480FC7">
      <w:pPr>
        <w:pStyle w:val="Heading2"/>
        <w:numPr>
          <w:ilvl w:val="0"/>
          <w:numId w:val="0"/>
        </w:numPr>
        <w:spacing w:line="240" w:lineRule="auto"/>
        <w:contextualSpacing/>
        <w:rPr>
          <w:rFonts w:ascii="Times New Roman" w:hAnsi="Times New Roman" w:cs="Times New Roman"/>
          <w:b/>
          <w:bCs/>
        </w:rPr>
      </w:pPr>
    </w:p>
    <w:p w14:paraId="27D42C2D" w14:textId="7F9150FC" w:rsidR="00480FC7" w:rsidRPr="00A370B4" w:rsidRDefault="00480FC7" w:rsidP="00480FC7">
      <w:pPr>
        <w:pStyle w:val="Heading2"/>
        <w:numPr>
          <w:ilvl w:val="0"/>
          <w:numId w:val="0"/>
        </w:numPr>
        <w:spacing w:line="240" w:lineRule="auto"/>
        <w:contextualSpacing/>
        <w:rPr>
          <w:b/>
          <w:bCs/>
        </w:rPr>
      </w:pPr>
      <w:r>
        <w:rPr>
          <w:rFonts w:ascii="Times New Roman" w:hAnsi="Times New Roman" w:cs="Times New Roman"/>
          <w:b/>
          <w:bCs/>
        </w:rPr>
        <w:t>Child Support – Pilot ADR Program</w:t>
      </w:r>
    </w:p>
    <w:p w14:paraId="5106C223" w14:textId="77777777" w:rsidR="00464212" w:rsidRDefault="00464212" w:rsidP="00480FC7">
      <w:pPr>
        <w:pStyle w:val="Heading2"/>
        <w:numPr>
          <w:ilvl w:val="0"/>
          <w:numId w:val="0"/>
        </w:numPr>
        <w:spacing w:line="240" w:lineRule="auto"/>
        <w:contextualSpacing/>
        <w:jc w:val="both"/>
        <w:rPr>
          <w:rFonts w:ascii="Times New Roman" w:hAnsi="Times New Roman" w:cs="Times New Roman"/>
          <w:b/>
          <w:bCs/>
        </w:rPr>
      </w:pPr>
    </w:p>
    <w:p w14:paraId="11AF7984" w14:textId="58A87113" w:rsidR="00480FC7" w:rsidRPr="00F93CA6" w:rsidRDefault="00480FC7" w:rsidP="00480FC7">
      <w:pPr>
        <w:pStyle w:val="Heading2"/>
        <w:numPr>
          <w:ilvl w:val="0"/>
          <w:numId w:val="0"/>
        </w:numPr>
        <w:spacing w:line="240" w:lineRule="auto"/>
        <w:contextualSpacing/>
        <w:jc w:val="both"/>
        <w:rPr>
          <w:b/>
          <w:bCs/>
        </w:rPr>
      </w:pPr>
      <w:r w:rsidRPr="00F93CA6">
        <w:rPr>
          <w:rFonts w:ascii="Times New Roman" w:hAnsi="Times New Roman" w:cs="Times New Roman"/>
          <w:b/>
          <w:bCs/>
        </w:rPr>
        <w:tab/>
      </w:r>
      <w:r w:rsidRPr="00F93CA6">
        <w:rPr>
          <w:rFonts w:ascii="Times New Roman" w:hAnsi="Times New Roman" w:cs="Times New Roman"/>
          <w:b/>
          <w:bCs/>
          <w:u w:val="single"/>
        </w:rPr>
        <w:t>Signed by the Governor on November 21, 2025</w:t>
      </w:r>
      <w:r w:rsidRPr="00F93CA6">
        <w:rPr>
          <w:rFonts w:ascii="Times New Roman" w:hAnsi="Times New Roman" w:cs="Times New Roman"/>
        </w:rPr>
        <w:t xml:space="preserve">, this bill </w:t>
      </w:r>
      <w:r w:rsidRPr="00F93CA6">
        <w:rPr>
          <w:rFonts w:ascii="Times New Roman" w:hAnsi="Times New Roman" w:cs="Times New Roman"/>
          <w:b/>
          <w:bCs/>
          <w:u w:val="single"/>
        </w:rPr>
        <w:t>amends</w:t>
      </w:r>
      <w:r w:rsidRPr="00F93CA6">
        <w:rPr>
          <w:rFonts w:ascii="Times New Roman" w:hAnsi="Times New Roman" w:cs="Times New Roman"/>
        </w:rPr>
        <w:t xml:space="preserve"> FCA §425 and Judiciary Law §§849-b &amp; 849-d, </w:t>
      </w:r>
      <w:r w:rsidRPr="00F93CA6">
        <w:rPr>
          <w:rFonts w:ascii="Times New Roman" w:hAnsi="Times New Roman" w:cs="Times New Roman"/>
          <w:b/>
          <w:bCs/>
          <w:u w:val="single"/>
        </w:rPr>
        <w:t>effective August 18, 2026</w:t>
      </w:r>
      <w:r w:rsidRPr="00F93CA6">
        <w:rPr>
          <w:rFonts w:ascii="Times New Roman" w:hAnsi="Times New Roman" w:cs="Times New Roman"/>
          <w:b/>
          <w:bCs/>
        </w:rPr>
        <w:t>,</w:t>
      </w:r>
      <w:r w:rsidRPr="00F93CA6">
        <w:rPr>
          <w:rFonts w:ascii="Times New Roman" w:hAnsi="Times New Roman" w:cs="Times New Roman"/>
        </w:rPr>
        <w:t xml:space="preserve"> to establish a pilot program to provide ADR and “navigator services” to litigants in Family Court child support matters, under the umbrella of the Community Dispute Resolution Center Program.</w:t>
      </w:r>
      <w:r>
        <w:rPr>
          <w:rFonts w:ascii="Times New Roman" w:hAnsi="Times New Roman" w:cs="Times New Roman"/>
        </w:rPr>
        <w:t xml:space="preserve"> </w:t>
      </w:r>
      <w:r w:rsidRPr="00F93CA6">
        <w:rPr>
          <w:rFonts w:ascii="Times New Roman" w:hAnsi="Times New Roman" w:cs="Times New Roman"/>
        </w:rPr>
        <w:t xml:space="preserve">The stated intent calls for implementation of pilot programs in at least 2 NYC counties and at least 1 county outside NYC. </w:t>
      </w:r>
      <w:r>
        <w:rPr>
          <w:rFonts w:ascii="Times New Roman" w:hAnsi="Times New Roman" w:cs="Times New Roman"/>
        </w:rPr>
        <w:t>The legislation provides: “</w:t>
      </w:r>
      <w:r w:rsidRPr="00F93CA6">
        <w:rPr>
          <w:rFonts w:ascii="Times New Roman" w:hAnsi="Times New Roman" w:cs="Times New Roman"/>
        </w:rPr>
        <w:t>Effective</w:t>
      </w:r>
      <w:r>
        <w:rPr>
          <w:rFonts w:ascii="Times New Roman" w:hAnsi="Times New Roman" w:cs="Times New Roman"/>
        </w:rPr>
        <w:t xml:space="preserve"> </w:t>
      </w:r>
      <w:r w:rsidRPr="00F93CA6">
        <w:rPr>
          <w:rFonts w:ascii="Times New Roman" w:hAnsi="Times New Roman" w:cs="Times New Roman"/>
        </w:rPr>
        <w:t>immediatel</w:t>
      </w:r>
      <w:r>
        <w:rPr>
          <w:rFonts w:ascii="Times New Roman" w:hAnsi="Times New Roman" w:cs="Times New Roman"/>
        </w:rPr>
        <w:t>y</w:t>
      </w:r>
      <w:r w:rsidRPr="00F93CA6">
        <w:rPr>
          <w:rFonts w:ascii="Times New Roman" w:hAnsi="Times New Roman" w:cs="Times New Roman"/>
        </w:rPr>
        <w:t>,</w:t>
      </w:r>
      <w:r>
        <w:rPr>
          <w:rFonts w:ascii="Times New Roman" w:hAnsi="Times New Roman" w:cs="Times New Roman"/>
        </w:rPr>
        <w:t xml:space="preserve"> </w:t>
      </w:r>
      <w:r w:rsidRPr="00F93CA6">
        <w:rPr>
          <w:rFonts w:ascii="Times New Roman" w:hAnsi="Times New Roman" w:cs="Times New Roman"/>
        </w:rPr>
        <w:t>the</w:t>
      </w:r>
      <w:r>
        <w:rPr>
          <w:rFonts w:ascii="Times New Roman" w:hAnsi="Times New Roman" w:cs="Times New Roman"/>
        </w:rPr>
        <w:t xml:space="preserve"> </w:t>
      </w:r>
      <w:r w:rsidRPr="00F93CA6">
        <w:rPr>
          <w:rFonts w:ascii="Times New Roman" w:hAnsi="Times New Roman" w:cs="Times New Roman"/>
        </w:rPr>
        <w:t>chief administrator of the courts is authorized to promulgate any rules and/or</w:t>
      </w:r>
      <w:r w:rsidRPr="00AE6F55">
        <w:rPr>
          <w:rFonts w:ascii="Times New Roman" w:hAnsi="Times New Roman" w:cs="Times New Roman"/>
        </w:rPr>
        <w:t xml:space="preserve"> </w:t>
      </w:r>
      <w:r w:rsidRPr="00F93CA6">
        <w:rPr>
          <w:rFonts w:ascii="Times New Roman" w:hAnsi="Times New Roman" w:cs="Times New Roman"/>
        </w:rPr>
        <w:t>protocols</w:t>
      </w:r>
      <w:r>
        <w:rPr>
          <w:rFonts w:ascii="Times New Roman" w:hAnsi="Times New Roman" w:cs="Times New Roman"/>
        </w:rPr>
        <w:t xml:space="preserve"> </w:t>
      </w:r>
      <w:r w:rsidRPr="00F93CA6">
        <w:rPr>
          <w:rFonts w:ascii="Times New Roman" w:hAnsi="Times New Roman" w:cs="Times New Roman"/>
        </w:rPr>
        <w:t>necessary</w:t>
      </w:r>
      <w:r>
        <w:rPr>
          <w:rFonts w:ascii="Times New Roman" w:hAnsi="Times New Roman" w:cs="Times New Roman"/>
        </w:rPr>
        <w:t xml:space="preserve"> </w:t>
      </w:r>
      <w:r w:rsidRPr="00F93CA6">
        <w:rPr>
          <w:rFonts w:ascii="Times New Roman" w:hAnsi="Times New Roman" w:cs="Times New Roman"/>
        </w:rPr>
        <w:t>for</w:t>
      </w:r>
      <w:r>
        <w:rPr>
          <w:rFonts w:ascii="Times New Roman" w:hAnsi="Times New Roman" w:cs="Times New Roman"/>
        </w:rPr>
        <w:t xml:space="preserve"> </w:t>
      </w:r>
      <w:r w:rsidRPr="00F93CA6">
        <w:rPr>
          <w:rFonts w:ascii="Times New Roman" w:hAnsi="Times New Roman" w:cs="Times New Roman"/>
        </w:rPr>
        <w:t>implementation</w:t>
      </w:r>
      <w:r>
        <w:rPr>
          <w:rFonts w:ascii="Times New Roman" w:hAnsi="Times New Roman" w:cs="Times New Roman"/>
        </w:rPr>
        <w:t xml:space="preserve"> </w:t>
      </w:r>
      <w:r w:rsidRPr="00F93CA6">
        <w:rPr>
          <w:rFonts w:ascii="Times New Roman" w:hAnsi="Times New Roman" w:cs="Times New Roman"/>
        </w:rPr>
        <w:t>of the provisions of this act on</w:t>
      </w:r>
      <w:r w:rsidRPr="00AE6F55">
        <w:rPr>
          <w:rFonts w:ascii="Times New Roman" w:hAnsi="Times New Roman" w:cs="Times New Roman"/>
        </w:rPr>
        <w:t xml:space="preserve"> </w:t>
      </w:r>
      <w:r w:rsidRPr="00F93CA6">
        <w:rPr>
          <w:rFonts w:ascii="Times New Roman" w:hAnsi="Times New Roman" w:cs="Times New Roman"/>
        </w:rPr>
        <w:t>or before such effective date.</w:t>
      </w:r>
      <w:r>
        <w:rPr>
          <w:rFonts w:ascii="Times New Roman" w:hAnsi="Times New Roman" w:cs="Times New Roman"/>
        </w:rPr>
        <w:t xml:space="preserve">” </w:t>
      </w:r>
      <w:r w:rsidRPr="00F93CA6">
        <w:rPr>
          <w:rFonts w:ascii="Times New Roman" w:hAnsi="Times New Roman" w:cs="Times New Roman"/>
        </w:rPr>
        <w:t>A.08297/S.08374, Laws of 2025, Ch. 571.</w:t>
      </w:r>
    </w:p>
    <w:p w14:paraId="6F79F41D" w14:textId="77777777" w:rsidR="00F71E79" w:rsidRDefault="00F71E79" w:rsidP="00F71E79">
      <w:pPr>
        <w:pStyle w:val="Heading2"/>
        <w:numPr>
          <w:ilvl w:val="0"/>
          <w:numId w:val="0"/>
        </w:numPr>
        <w:jc w:val="both"/>
        <w:rPr>
          <w:rFonts w:ascii="Times New Roman" w:hAnsi="Times New Roman" w:cs="Times New Roman"/>
          <w:b/>
          <w:bCs/>
        </w:rPr>
      </w:pPr>
      <w:bookmarkStart w:id="2" w:name="_Hlk215223166"/>
      <w:r>
        <w:rPr>
          <w:rFonts w:ascii="Times New Roman" w:hAnsi="Times New Roman" w:cs="Times New Roman"/>
          <w:b/>
          <w:bCs/>
        </w:rPr>
        <w:lastRenderedPageBreak/>
        <w:t xml:space="preserve">Court of Appeals – Rules Relating to </w:t>
      </w:r>
      <w:r w:rsidRPr="00896F6E">
        <w:rPr>
          <w:rFonts w:ascii="Times New Roman" w:hAnsi="Times New Roman" w:cs="Times New Roman"/>
          <w:b/>
          <w:bCs/>
          <w:i/>
          <w:iCs/>
        </w:rPr>
        <w:t>Amicus Curiae</w:t>
      </w:r>
      <w:r>
        <w:rPr>
          <w:rFonts w:ascii="Times New Roman" w:hAnsi="Times New Roman" w:cs="Times New Roman"/>
          <w:b/>
          <w:bCs/>
        </w:rPr>
        <w:t xml:space="preserve"> Relief</w:t>
      </w:r>
      <w:bookmarkEnd w:id="2"/>
    </w:p>
    <w:p w14:paraId="1C31B573" w14:textId="7EC41DD9" w:rsidR="00F71E79" w:rsidRDefault="00F71E79" w:rsidP="0088124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bookmarkStart w:id="3" w:name="_Hlk215223187"/>
      <w:r>
        <w:rPr>
          <w:rFonts w:ascii="Times New Roman" w:hAnsi="Times New Roman" w:cs="Times New Roman"/>
        </w:rPr>
        <w:t xml:space="preserve">“The Court of Appeals has amended its rules relating to </w:t>
      </w:r>
      <w:r w:rsidRPr="00896F6E">
        <w:rPr>
          <w:rFonts w:ascii="Times New Roman" w:hAnsi="Times New Roman" w:cs="Times New Roman"/>
          <w:i/>
          <w:iCs/>
        </w:rPr>
        <w:t>amicus curiae</w:t>
      </w:r>
      <w:r>
        <w:rPr>
          <w:rFonts w:ascii="Times New Roman" w:hAnsi="Times New Roman" w:cs="Times New Roman"/>
        </w:rPr>
        <w:t xml:space="preserve"> relief, </w:t>
      </w:r>
      <w:r w:rsidRPr="0088124E">
        <w:rPr>
          <w:rFonts w:ascii="Times New Roman" w:hAnsi="Times New Roman" w:cs="Times New Roman"/>
          <w:b/>
          <w:bCs/>
          <w:u w:val="single"/>
        </w:rPr>
        <w:t>effective December 10, 2025</w:t>
      </w:r>
      <w:r>
        <w:rPr>
          <w:rFonts w:ascii="Times New Roman" w:hAnsi="Times New Roman" w:cs="Times New Roman"/>
        </w:rPr>
        <w:t>.”</w:t>
      </w:r>
      <w:r w:rsidR="0088124E">
        <w:rPr>
          <w:rFonts w:ascii="Times New Roman" w:hAnsi="Times New Roman" w:cs="Times New Roman"/>
        </w:rPr>
        <w:t xml:space="preserve"> (</w:t>
      </w:r>
      <w:r w:rsidR="0088124E" w:rsidRPr="0088124E">
        <w:rPr>
          <w:rFonts w:ascii="Times New Roman" w:hAnsi="Times New Roman" w:cs="Times New Roman"/>
          <w:i/>
          <w:iCs/>
        </w:rPr>
        <w:t>See</w:t>
      </w:r>
      <w:r w:rsidR="0088124E">
        <w:rPr>
          <w:rFonts w:ascii="Times New Roman" w:hAnsi="Times New Roman" w:cs="Times New Roman"/>
        </w:rPr>
        <w:t xml:space="preserve"> Notice to the Bar dated November 24, 2025, emphasis added). Among other revisions, new 22 NYCRR </w:t>
      </w:r>
      <w:r w:rsidR="0088124E" w:rsidRPr="00F93CA6">
        <w:rPr>
          <w:rFonts w:ascii="Times New Roman" w:hAnsi="Times New Roman" w:cs="Times New Roman"/>
        </w:rPr>
        <w:t>§</w:t>
      </w:r>
      <w:r w:rsidR="0088124E">
        <w:rPr>
          <w:rFonts w:ascii="Times New Roman" w:hAnsi="Times New Roman" w:cs="Times New Roman"/>
        </w:rPr>
        <w:t>500.23(a)(1)(iii) provides:</w:t>
      </w:r>
    </w:p>
    <w:p w14:paraId="44BAED11" w14:textId="77777777" w:rsidR="0088124E" w:rsidRDefault="0088124E" w:rsidP="0088124E">
      <w:pPr>
        <w:pStyle w:val="Heading2"/>
        <w:numPr>
          <w:ilvl w:val="0"/>
          <w:numId w:val="0"/>
        </w:numPr>
        <w:spacing w:line="240" w:lineRule="auto"/>
        <w:contextualSpacing/>
        <w:jc w:val="both"/>
        <w:rPr>
          <w:rFonts w:ascii="Times New Roman" w:hAnsi="Times New Roman" w:cs="Times New Roman"/>
        </w:rPr>
      </w:pPr>
    </w:p>
    <w:p w14:paraId="24A444DD" w14:textId="73A0039B" w:rsidR="0088124E" w:rsidRDefault="0088124E" w:rsidP="00896F6E">
      <w:pPr>
        <w:pStyle w:val="Heading2"/>
        <w:numPr>
          <w:ilvl w:val="0"/>
          <w:numId w:val="0"/>
        </w:numPr>
        <w:spacing w:line="240" w:lineRule="auto"/>
        <w:ind w:left="1440"/>
        <w:contextualSpacing/>
        <w:jc w:val="both"/>
        <w:rPr>
          <w:rFonts w:ascii="Times New Roman" w:hAnsi="Times New Roman" w:cs="Times New Roman"/>
        </w:rPr>
      </w:pPr>
      <w:r w:rsidRPr="0088124E">
        <w:rPr>
          <w:rFonts w:ascii="Times New Roman" w:hAnsi="Times New Roman" w:cs="Times New Roman"/>
        </w:rPr>
        <w:t>In matters that involve statutory construction and legislative intent, proposed amici may address the statutory language and canons of statutory construction, including publicly available contemporaneous legislative history. Proposed amici shall not present the views of individual lawmaker(s) outside of the publicly available contemporaneous legislative history to address legislative intent</w:t>
      </w:r>
      <w:r>
        <w:rPr>
          <w:rFonts w:ascii="Times New Roman" w:hAnsi="Times New Roman" w:cs="Times New Roman"/>
        </w:rPr>
        <w:t>.</w:t>
      </w:r>
    </w:p>
    <w:p w14:paraId="122A172D" w14:textId="16E71524" w:rsidR="0088124E" w:rsidRDefault="0088124E" w:rsidP="0088124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For the complete text of the Notice to the Bar, Order dated November 19, 2025 and the amendments, see </w:t>
      </w:r>
      <w:hyperlink r:id="rId7" w:history="1">
        <w:r w:rsidRPr="0088124E">
          <w:rPr>
            <w:rStyle w:val="Hyperlink"/>
            <w:rFonts w:ascii="Times New Roman" w:hAnsi="Times New Roman" w:cs="Times New Roman"/>
          </w:rPr>
          <w:t>nottobar-Amicus112425.pdf</w:t>
        </w:r>
      </w:hyperlink>
      <w:bookmarkEnd w:id="3"/>
    </w:p>
    <w:p w14:paraId="4626C0BF" w14:textId="77777777" w:rsidR="0088124E" w:rsidRDefault="0088124E" w:rsidP="0088124E">
      <w:pPr>
        <w:pStyle w:val="Heading2"/>
        <w:numPr>
          <w:ilvl w:val="0"/>
          <w:numId w:val="0"/>
        </w:numPr>
        <w:spacing w:line="240" w:lineRule="auto"/>
        <w:contextualSpacing/>
        <w:jc w:val="both"/>
        <w:rPr>
          <w:rFonts w:ascii="Times New Roman" w:hAnsi="Times New Roman" w:cs="Times New Roman"/>
        </w:rPr>
      </w:pPr>
    </w:p>
    <w:p w14:paraId="57FBD1BA" w14:textId="2656EAC9" w:rsidR="00F71E79" w:rsidRPr="008C7F20" w:rsidRDefault="00F71E79" w:rsidP="00F71E79">
      <w:pPr>
        <w:pStyle w:val="Heading2"/>
        <w:numPr>
          <w:ilvl w:val="0"/>
          <w:numId w:val="0"/>
        </w:numPr>
        <w:jc w:val="both"/>
        <w:rPr>
          <w:b/>
          <w:bCs/>
        </w:rPr>
      </w:pPr>
      <w:r w:rsidRPr="008C7F20">
        <w:rPr>
          <w:rFonts w:ascii="Times New Roman" w:hAnsi="Times New Roman" w:cs="Times New Roman"/>
          <w:b/>
          <w:bCs/>
        </w:rPr>
        <w:t>E-Filing – Mandatory – Expansion</w:t>
      </w:r>
      <w:r>
        <w:rPr>
          <w:rFonts w:ascii="Times New Roman" w:hAnsi="Times New Roman" w:cs="Times New Roman"/>
          <w:b/>
          <w:bCs/>
        </w:rPr>
        <w:t xml:space="preserve"> – Erie County</w:t>
      </w:r>
    </w:p>
    <w:p w14:paraId="72A9A06A" w14:textId="77777777" w:rsidR="00F71E79" w:rsidRDefault="00F71E79" w:rsidP="00F71E79">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sidRPr="008C7F20">
        <w:rPr>
          <w:rFonts w:ascii="Times New Roman" w:hAnsi="Times New Roman" w:cs="Times New Roman"/>
          <w:b/>
          <w:bCs/>
          <w:u w:val="single"/>
        </w:rPr>
        <w:t>Effective January 1, 2026</w:t>
      </w:r>
      <w:r>
        <w:rPr>
          <w:rFonts w:ascii="Times New Roman" w:hAnsi="Times New Roman" w:cs="Times New Roman"/>
          <w:b/>
          <w:bCs/>
        </w:rPr>
        <w:t xml:space="preserve">, </w:t>
      </w:r>
      <w:r>
        <w:rPr>
          <w:rFonts w:ascii="Times New Roman" w:hAnsi="Times New Roman" w:cs="Times New Roman"/>
        </w:rPr>
        <w:t xml:space="preserve">in accordance with the recent amendments to CPLR Article 21-A, which authorize the Chief Administrative Judge to implement mandatory or consensual e-filing programs for all courts and case types, see CPLR §§2111(a) and (b), </w:t>
      </w:r>
      <w:r>
        <w:rPr>
          <w:rFonts w:ascii="Times New Roman" w:hAnsi="Times New Roman" w:cs="Times New Roman"/>
          <w:b/>
          <w:bCs/>
        </w:rPr>
        <w:t>“</w:t>
      </w:r>
      <w:r>
        <w:rPr>
          <w:rFonts w:ascii="Times New Roman" w:hAnsi="Times New Roman" w:cs="Times New Roman"/>
        </w:rPr>
        <w:t>Erie County Supreme Court – Civil Term will expand its mandatory e-filing program to include case types that were previously eligible only for consensual e-filing.” (</w:t>
      </w:r>
      <w:r w:rsidRPr="00E3274B">
        <w:rPr>
          <w:rFonts w:ascii="Times New Roman" w:hAnsi="Times New Roman" w:cs="Times New Roman"/>
          <w:i/>
          <w:iCs/>
        </w:rPr>
        <w:t>See</w:t>
      </w:r>
      <w:r>
        <w:rPr>
          <w:rFonts w:ascii="Times New Roman" w:hAnsi="Times New Roman" w:cs="Times New Roman"/>
        </w:rPr>
        <w:t xml:space="preserve"> </w:t>
      </w:r>
      <w:r w:rsidRPr="00E3274B">
        <w:rPr>
          <w:rFonts w:ascii="Times New Roman" w:hAnsi="Times New Roman" w:cs="Times New Roman"/>
          <w:u w:val="single"/>
        </w:rPr>
        <w:t>Memorandum</w:t>
      </w:r>
      <w:r>
        <w:rPr>
          <w:rFonts w:ascii="Times New Roman" w:hAnsi="Times New Roman" w:cs="Times New Roman"/>
        </w:rPr>
        <w:t xml:space="preserve">, Hon. Joseph A. Zayas, dated October 22, </w:t>
      </w:r>
      <w:proofErr w:type="gramStart"/>
      <w:r>
        <w:rPr>
          <w:rFonts w:ascii="Times New Roman" w:hAnsi="Times New Roman" w:cs="Times New Roman"/>
        </w:rPr>
        <w:t>2025</w:t>
      </w:r>
      <w:proofErr w:type="gramEnd"/>
      <w:r>
        <w:rPr>
          <w:rFonts w:ascii="Times New Roman" w:hAnsi="Times New Roman" w:cs="Times New Roman"/>
        </w:rPr>
        <w:t xml:space="preserve"> at 1). </w:t>
      </w:r>
      <w:r w:rsidRPr="008C7F20">
        <w:rPr>
          <w:rFonts w:ascii="Times New Roman" w:hAnsi="Times New Roman" w:cs="Times New Roman"/>
          <w:b/>
          <w:bCs/>
          <w:u w:val="single"/>
        </w:rPr>
        <w:t>Effective January 1, 2026</w:t>
      </w:r>
      <w:r>
        <w:rPr>
          <w:rFonts w:ascii="Times New Roman" w:hAnsi="Times New Roman" w:cs="Times New Roman"/>
        </w:rPr>
        <w:t xml:space="preserve">, </w:t>
      </w:r>
      <w:r w:rsidRPr="008C7F20">
        <w:rPr>
          <w:rFonts w:ascii="Times New Roman" w:hAnsi="Times New Roman" w:cs="Times New Roman"/>
          <w:b/>
          <w:bCs/>
          <w:u w:val="single"/>
        </w:rPr>
        <w:t>matrimonial matters</w:t>
      </w:r>
      <w:r>
        <w:rPr>
          <w:rFonts w:ascii="Times New Roman" w:hAnsi="Times New Roman" w:cs="Times New Roman"/>
        </w:rPr>
        <w:t xml:space="preserve"> are included among the case types subject to mandatory e-filing in Erie County, which will join 60 other counties in such mandatory e-filing. “As of this notice, Allegany County does not yet participate in the e-filing program in the Supreme Court – Civil Term.” (</w:t>
      </w:r>
      <w:r w:rsidRPr="00E3274B">
        <w:rPr>
          <w:rFonts w:ascii="Times New Roman" w:hAnsi="Times New Roman" w:cs="Times New Roman"/>
          <w:i/>
          <w:iCs/>
        </w:rPr>
        <w:t>See</w:t>
      </w:r>
      <w:r>
        <w:rPr>
          <w:rFonts w:ascii="Times New Roman" w:hAnsi="Times New Roman" w:cs="Times New Roman"/>
        </w:rPr>
        <w:t xml:space="preserve"> same </w:t>
      </w:r>
      <w:r w:rsidRPr="00E3274B">
        <w:rPr>
          <w:rFonts w:ascii="Times New Roman" w:hAnsi="Times New Roman" w:cs="Times New Roman"/>
          <w:u w:val="single"/>
        </w:rPr>
        <w:t>Memorandum</w:t>
      </w:r>
      <w:r>
        <w:rPr>
          <w:rFonts w:ascii="Times New Roman" w:hAnsi="Times New Roman" w:cs="Times New Roman"/>
        </w:rPr>
        <w:t xml:space="preserve"> at 1).</w:t>
      </w:r>
    </w:p>
    <w:p w14:paraId="5C39A336" w14:textId="77777777" w:rsidR="00F71E79" w:rsidRDefault="00F71E79" w:rsidP="005B1C52">
      <w:pPr>
        <w:pStyle w:val="Heading2"/>
        <w:numPr>
          <w:ilvl w:val="0"/>
          <w:numId w:val="0"/>
        </w:numPr>
        <w:spacing w:line="240" w:lineRule="auto"/>
        <w:contextualSpacing/>
        <w:jc w:val="both"/>
        <w:rPr>
          <w:rFonts w:ascii="Times New Roman" w:hAnsi="Times New Roman" w:cs="Times New Roman"/>
          <w:b/>
          <w:bCs/>
        </w:rPr>
      </w:pPr>
    </w:p>
    <w:p w14:paraId="3BB60C72" w14:textId="707BE629" w:rsidR="005B1C52" w:rsidRDefault="005B1C52" w:rsidP="005B1C52">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Equal Rights Amendment – Proposed Amendments to Code of Judicial Conduct, Rules of Professional Conduct and Statement of Clients Rights</w:t>
      </w:r>
    </w:p>
    <w:p w14:paraId="3B03DA9D" w14:textId="77777777" w:rsidR="005B1C52" w:rsidRPr="00AE6558" w:rsidRDefault="005B1C52" w:rsidP="005B1C52">
      <w:pPr>
        <w:pStyle w:val="Heading2"/>
        <w:numPr>
          <w:ilvl w:val="0"/>
          <w:numId w:val="0"/>
        </w:numPr>
        <w:spacing w:line="240" w:lineRule="auto"/>
        <w:contextualSpacing/>
        <w:jc w:val="both"/>
        <w:rPr>
          <w:b/>
          <w:bCs/>
        </w:rPr>
      </w:pPr>
    </w:p>
    <w:p w14:paraId="520841A9" w14:textId="028FAFD0" w:rsidR="005B1C52" w:rsidRDefault="005B1C52" w:rsidP="005B1C52">
      <w:pPr>
        <w:pStyle w:val="Heading2"/>
        <w:numPr>
          <w:ilvl w:val="0"/>
          <w:numId w:val="0"/>
        </w:numPr>
        <w:spacing w:line="240" w:lineRule="auto"/>
        <w:contextualSpacing/>
        <w:jc w:val="both"/>
        <w:rPr>
          <w:rFonts w:ascii="Times New Roman" w:hAnsi="Times New Roman" w:cs="Times New Roman"/>
          <w:b/>
          <w:bCs/>
          <w:u w:val="single"/>
        </w:rPr>
      </w:pPr>
      <w:r>
        <w:rPr>
          <w:rFonts w:ascii="Times New Roman" w:hAnsi="Times New Roman" w:cs="Times New Roman"/>
          <w:b/>
          <w:bCs/>
        </w:rPr>
        <w:tab/>
        <w:t>“</w:t>
      </w:r>
      <w:r>
        <w:rPr>
          <w:rFonts w:ascii="Times New Roman" w:hAnsi="Times New Roman" w:cs="Times New Roman"/>
        </w:rPr>
        <w:t>The Administrative Board of the Courts is seeking public comment on a proposal to amend Section 100.3(B) of the Code of Judicial Conduct, Rule 8.4(g) of the Rules of Professional Conduct, and Section 1210.1(10) of the Statement of Clients Rights, to conform those provisions to the language contained in the Equal Rights Amendment (ERA) that was adopted by the voters in 2025.” (</w:t>
      </w:r>
      <w:r w:rsidRPr="008D7D4C">
        <w:rPr>
          <w:rFonts w:ascii="Times New Roman" w:hAnsi="Times New Roman" w:cs="Times New Roman"/>
        </w:rPr>
        <w:t xml:space="preserve">Memorandum of David Nocenti, Esq., Counsel, NYS Unified Court System, dated </w:t>
      </w:r>
      <w:r>
        <w:rPr>
          <w:rFonts w:ascii="Times New Roman" w:hAnsi="Times New Roman" w:cs="Times New Roman"/>
        </w:rPr>
        <w:t>November 17</w:t>
      </w:r>
      <w:r w:rsidRPr="008D7D4C">
        <w:rPr>
          <w:rFonts w:ascii="Times New Roman" w:hAnsi="Times New Roman" w:cs="Times New Roman"/>
        </w:rPr>
        <w:t xml:space="preserve">, </w:t>
      </w:r>
      <w:proofErr w:type="gramStart"/>
      <w:r w:rsidRPr="008D7D4C">
        <w:rPr>
          <w:rFonts w:ascii="Times New Roman" w:hAnsi="Times New Roman" w:cs="Times New Roman"/>
        </w:rPr>
        <w:t>2025</w:t>
      </w:r>
      <w:proofErr w:type="gramEnd"/>
      <w:r w:rsidRPr="008D7D4C">
        <w:rPr>
          <w:rFonts w:ascii="Times New Roman" w:hAnsi="Times New Roman" w:cs="Times New Roman"/>
        </w:rPr>
        <w:t xml:space="preserve"> at 1).</w:t>
      </w:r>
      <w:r>
        <w:rPr>
          <w:rFonts w:ascii="Times New Roman" w:hAnsi="Times New Roman" w:cs="Times New Roman"/>
        </w:rPr>
        <w:t xml:space="preserve"> </w:t>
      </w:r>
      <w:r w:rsidRPr="008D7D4C">
        <w:rPr>
          <w:rFonts w:ascii="Times New Roman" w:hAnsi="Times New Roman" w:cs="Times New Roman"/>
        </w:rPr>
        <w:t>For the complete text and proposed amendments,</w:t>
      </w:r>
      <w:r>
        <w:rPr>
          <w:rFonts w:ascii="Times New Roman" w:hAnsi="Times New Roman" w:cs="Times New Roman"/>
        </w:rPr>
        <w:t xml:space="preserve"> see </w:t>
      </w:r>
      <w:hyperlink r:id="rId8" w:history="1">
        <w:r w:rsidRPr="00465D15">
          <w:rPr>
            <w:rStyle w:val="Hyperlink"/>
            <w:rFonts w:ascii="Times New Roman" w:hAnsi="Times New Roman" w:cs="Times New Roman"/>
          </w:rPr>
          <w:t>RequestForPublicComment-EqualRightsAmendment-111725.pdf</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is requested by </w:t>
      </w:r>
      <w:r>
        <w:rPr>
          <w:rFonts w:ascii="Times New Roman" w:hAnsi="Times New Roman" w:cs="Times New Roman"/>
          <w:b/>
          <w:bCs/>
          <w:u w:val="single"/>
        </w:rPr>
        <w:t>December 29</w:t>
      </w:r>
      <w:r w:rsidRPr="008D7D4C">
        <w:rPr>
          <w:rFonts w:ascii="Times New Roman" w:hAnsi="Times New Roman" w:cs="Times New Roman"/>
          <w:b/>
          <w:bCs/>
          <w:u w:val="single"/>
        </w:rPr>
        <w:t>, 2025.</w:t>
      </w:r>
    </w:p>
    <w:p w14:paraId="0F6402FB" w14:textId="77777777" w:rsidR="005B1C52" w:rsidRDefault="005B1C52" w:rsidP="005B1C52">
      <w:pPr>
        <w:pStyle w:val="Heading2"/>
        <w:numPr>
          <w:ilvl w:val="0"/>
          <w:numId w:val="0"/>
        </w:numPr>
        <w:spacing w:line="240" w:lineRule="auto"/>
        <w:contextualSpacing/>
        <w:jc w:val="both"/>
        <w:rPr>
          <w:rFonts w:ascii="Times New Roman" w:hAnsi="Times New Roman" w:cs="Times New Roman"/>
          <w:b/>
          <w:bCs/>
          <w:u w:val="single"/>
        </w:rPr>
      </w:pPr>
    </w:p>
    <w:p w14:paraId="558BE169" w14:textId="77777777" w:rsidR="005B1C52" w:rsidRPr="00D32919" w:rsidRDefault="005B1C52" w:rsidP="005B1C52">
      <w:pPr>
        <w:pStyle w:val="Heading2"/>
        <w:numPr>
          <w:ilvl w:val="0"/>
          <w:numId w:val="0"/>
        </w:numPr>
        <w:rPr>
          <w:b/>
          <w:bCs/>
        </w:rPr>
      </w:pPr>
      <w:r w:rsidRPr="00D32919">
        <w:rPr>
          <w:rFonts w:ascii="Times New Roman" w:hAnsi="Times New Roman" w:cs="Times New Roman"/>
          <w:b/>
          <w:bCs/>
        </w:rPr>
        <w:t>Generative Artificial Intelligence</w:t>
      </w:r>
    </w:p>
    <w:p w14:paraId="5E71F9E0" w14:textId="72536D95" w:rsidR="005B1C52" w:rsidRPr="00D32919" w:rsidRDefault="005B1C52" w:rsidP="005B1C52">
      <w:pPr>
        <w:pStyle w:val="Heading2"/>
        <w:numPr>
          <w:ilvl w:val="0"/>
          <w:numId w:val="0"/>
        </w:numPr>
        <w:spacing w:line="240" w:lineRule="auto"/>
        <w:contextualSpacing/>
        <w:jc w:val="both"/>
        <w:rPr>
          <w:b/>
          <w:bCs/>
        </w:rPr>
      </w:pPr>
      <w:r>
        <w:rPr>
          <w:rFonts w:ascii="Times New Roman" w:hAnsi="Times New Roman" w:cs="Times New Roman"/>
          <w:b/>
          <w:bCs/>
        </w:rPr>
        <w:tab/>
        <w:t>“</w:t>
      </w:r>
      <w:r>
        <w:rPr>
          <w:rFonts w:ascii="Times New Roman" w:hAnsi="Times New Roman" w:cs="Times New Roman"/>
        </w:rPr>
        <w:t>The Administrative Board of the Courts is seeking public comment on a proposal to add a new Part 161 to the Rules of the Chief Administrator of the Courts regarding the use of generative artificial intelligence in preparing court documents.” (</w:t>
      </w:r>
      <w:r w:rsidRPr="008D7D4C">
        <w:rPr>
          <w:rFonts w:ascii="Times New Roman" w:hAnsi="Times New Roman" w:cs="Times New Roman"/>
        </w:rPr>
        <w:t xml:space="preserve">Memorandum of David Nocenti, Esq., Counsel, NYS Unified Court System, dated </w:t>
      </w:r>
      <w:r>
        <w:rPr>
          <w:rFonts w:ascii="Times New Roman" w:hAnsi="Times New Roman" w:cs="Times New Roman"/>
        </w:rPr>
        <w:t>November 17</w:t>
      </w:r>
      <w:r w:rsidRPr="008D7D4C">
        <w:rPr>
          <w:rFonts w:ascii="Times New Roman" w:hAnsi="Times New Roman" w:cs="Times New Roman"/>
        </w:rPr>
        <w:t xml:space="preserve">, </w:t>
      </w:r>
      <w:proofErr w:type="gramStart"/>
      <w:r w:rsidRPr="008D7D4C">
        <w:rPr>
          <w:rFonts w:ascii="Times New Roman" w:hAnsi="Times New Roman" w:cs="Times New Roman"/>
        </w:rPr>
        <w:t>2025</w:t>
      </w:r>
      <w:proofErr w:type="gramEnd"/>
      <w:r w:rsidRPr="008D7D4C">
        <w:rPr>
          <w:rFonts w:ascii="Times New Roman" w:hAnsi="Times New Roman" w:cs="Times New Roman"/>
        </w:rPr>
        <w:t xml:space="preserve"> at 1). For the complete text and proposed amendments,</w:t>
      </w:r>
      <w:r>
        <w:rPr>
          <w:rFonts w:ascii="Times New Roman" w:hAnsi="Times New Roman" w:cs="Times New Roman"/>
        </w:rPr>
        <w:t xml:space="preserve"> see </w:t>
      </w:r>
      <w:hyperlink r:id="rId9" w:history="1">
        <w:r w:rsidRPr="00D32919">
          <w:rPr>
            <w:rStyle w:val="Hyperlink"/>
            <w:rFonts w:ascii="Times New Roman" w:hAnsi="Times New Roman" w:cs="Times New Roman"/>
          </w:rPr>
          <w:t>RequestForPublicComment-GenerativeArtificialIntelligence-111725.pdf</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is requested by </w:t>
      </w:r>
      <w:r>
        <w:rPr>
          <w:rFonts w:ascii="Times New Roman" w:hAnsi="Times New Roman" w:cs="Times New Roman"/>
          <w:b/>
          <w:bCs/>
          <w:u w:val="single"/>
        </w:rPr>
        <w:t>December 29</w:t>
      </w:r>
      <w:r w:rsidRPr="008D7D4C">
        <w:rPr>
          <w:rFonts w:ascii="Times New Roman" w:hAnsi="Times New Roman" w:cs="Times New Roman"/>
          <w:b/>
          <w:bCs/>
          <w:u w:val="single"/>
        </w:rPr>
        <w:t>, 2025.</w:t>
      </w:r>
    </w:p>
    <w:p w14:paraId="27D1185B" w14:textId="7BDC4D14" w:rsidR="00480FC7" w:rsidRPr="00D51DD8" w:rsidRDefault="00480FC7" w:rsidP="00896F6E">
      <w:pPr>
        <w:pStyle w:val="Heading2"/>
        <w:numPr>
          <w:ilvl w:val="0"/>
          <w:numId w:val="0"/>
        </w:numPr>
        <w:spacing w:line="240" w:lineRule="auto"/>
        <w:contextualSpacing/>
        <w:jc w:val="both"/>
        <w:rPr>
          <w:b/>
          <w:bCs/>
        </w:rPr>
      </w:pPr>
      <w:bookmarkStart w:id="4" w:name="_Hlk201062014"/>
      <w:r w:rsidRPr="00D51DD8">
        <w:rPr>
          <w:rFonts w:ascii="Times New Roman" w:hAnsi="Times New Roman" w:cs="Times New Roman"/>
          <w:b/>
          <w:bCs/>
        </w:rPr>
        <w:lastRenderedPageBreak/>
        <w:t>Orders of Protection – FCA Article 10 – Duration Against Non-Parent</w:t>
      </w:r>
    </w:p>
    <w:p w14:paraId="7DE25D80" w14:textId="77777777" w:rsidR="00480FC7" w:rsidRDefault="00480FC7" w:rsidP="00480FC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p>
    <w:p w14:paraId="1BA01A87" w14:textId="2FC5AC88" w:rsidR="00480FC7" w:rsidRDefault="00480FC7" w:rsidP="00480FC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sidRPr="00F93CA6">
        <w:rPr>
          <w:rFonts w:ascii="Times New Roman" w:hAnsi="Times New Roman" w:cs="Times New Roman"/>
          <w:b/>
          <w:bCs/>
          <w:u w:val="single"/>
        </w:rPr>
        <w:t>Signed by Governor on November 21, 2025</w:t>
      </w:r>
      <w:r>
        <w:rPr>
          <w:rFonts w:ascii="Times New Roman" w:hAnsi="Times New Roman" w:cs="Times New Roman"/>
        </w:rPr>
        <w:t xml:space="preserve">, this bill </w:t>
      </w:r>
      <w:r w:rsidRPr="00F30285">
        <w:rPr>
          <w:rFonts w:ascii="Times New Roman" w:hAnsi="Times New Roman" w:cs="Times New Roman"/>
          <w:b/>
          <w:bCs/>
          <w:u w:val="single"/>
        </w:rPr>
        <w:t>amend</w:t>
      </w:r>
      <w:r>
        <w:rPr>
          <w:rFonts w:ascii="Times New Roman" w:hAnsi="Times New Roman" w:cs="Times New Roman"/>
          <w:b/>
          <w:bCs/>
          <w:u w:val="single"/>
        </w:rPr>
        <w:t>s</w:t>
      </w:r>
      <w:r>
        <w:rPr>
          <w:rFonts w:ascii="Times New Roman" w:hAnsi="Times New Roman" w:cs="Times New Roman"/>
        </w:rPr>
        <w:t xml:space="preserve"> FCA 1056</w:t>
      </w:r>
      <w:r w:rsidRPr="00A370B4">
        <w:rPr>
          <w:rFonts w:ascii="Times New Roman" w:hAnsi="Times New Roman" w:cs="Times New Roman"/>
        </w:rPr>
        <w:t>,</w:t>
      </w:r>
      <w:r>
        <w:rPr>
          <w:rFonts w:ascii="Times New Roman" w:hAnsi="Times New Roman" w:cs="Times New Roman"/>
        </w:rPr>
        <w:t xml:space="preserve"> </w:t>
      </w:r>
      <w:r w:rsidRPr="00F93CA6">
        <w:rPr>
          <w:rFonts w:ascii="Times New Roman" w:hAnsi="Times New Roman" w:cs="Times New Roman"/>
          <w:b/>
          <w:bCs/>
          <w:u w:val="single"/>
        </w:rPr>
        <w:t>effective February 19, 2026</w:t>
      </w:r>
      <w:r>
        <w:rPr>
          <w:rFonts w:ascii="Times New Roman" w:hAnsi="Times New Roman" w:cs="Times New Roman"/>
        </w:rPr>
        <w:t>, by adding a new subdivision 4-a, which allows an order of protection against a household member or legally responsible person (FCA 1012), independent of any other order, for a duration of up to 2 years, and if defined “special circumstances” (similar to Article 8 “aggravating circumstances”) are shown, up to 5 years. A.08572/S.08382, Laws of 2025, Ch. 572.</w:t>
      </w:r>
    </w:p>
    <w:p w14:paraId="3EDCF775" w14:textId="77777777" w:rsidR="005B1C52" w:rsidRDefault="005B1C52" w:rsidP="00480FC7">
      <w:pPr>
        <w:pStyle w:val="Heading2"/>
        <w:numPr>
          <w:ilvl w:val="0"/>
          <w:numId w:val="0"/>
        </w:numPr>
        <w:spacing w:line="240" w:lineRule="auto"/>
        <w:contextualSpacing/>
        <w:jc w:val="both"/>
        <w:rPr>
          <w:rFonts w:ascii="Times New Roman" w:hAnsi="Times New Roman" w:cs="Times New Roman"/>
        </w:rPr>
      </w:pPr>
    </w:p>
    <w:bookmarkEnd w:id="4"/>
    <w:p w14:paraId="68265ABF" w14:textId="77777777" w:rsidR="00480FC7" w:rsidRDefault="00480FC7" w:rsidP="00480FC7">
      <w:pPr>
        <w:pStyle w:val="Heading2"/>
        <w:numPr>
          <w:ilvl w:val="0"/>
          <w:numId w:val="0"/>
        </w:numPr>
        <w:spacing w:line="240" w:lineRule="auto"/>
        <w:contextualSpacing/>
        <w:jc w:val="both"/>
        <w:rPr>
          <w:rFonts w:ascii="Times New Roman" w:hAnsi="Times New Roman" w:cs="Times New Roman"/>
          <w:b/>
          <w:bCs/>
        </w:rPr>
      </w:pPr>
      <w:r w:rsidRPr="001455B9">
        <w:rPr>
          <w:rFonts w:ascii="Times New Roman" w:hAnsi="Times New Roman" w:cs="Times New Roman"/>
          <w:b/>
          <w:bCs/>
        </w:rPr>
        <w:t xml:space="preserve">Records Check – Custody Orders Made Pursuant to FCA </w:t>
      </w:r>
      <w:proofErr w:type="gramStart"/>
      <w:r w:rsidRPr="001455B9">
        <w:rPr>
          <w:rFonts w:ascii="Times New Roman" w:hAnsi="Times New Roman" w:cs="Times New Roman"/>
          <w:b/>
          <w:bCs/>
        </w:rPr>
        <w:t>842</w:t>
      </w:r>
      <w:r>
        <w:rPr>
          <w:rFonts w:ascii="Times New Roman" w:hAnsi="Times New Roman" w:cs="Times New Roman"/>
          <w:b/>
          <w:bCs/>
        </w:rPr>
        <w:t>;</w:t>
      </w:r>
      <w:proofErr w:type="gramEnd"/>
      <w:r>
        <w:rPr>
          <w:rFonts w:ascii="Times New Roman" w:hAnsi="Times New Roman" w:cs="Times New Roman"/>
          <w:b/>
          <w:bCs/>
        </w:rPr>
        <w:t xml:space="preserve"> Repeal of Lease Termination Provisions</w:t>
      </w:r>
    </w:p>
    <w:p w14:paraId="38096E15" w14:textId="77777777" w:rsidR="00480FC7" w:rsidRPr="001455B9" w:rsidRDefault="00480FC7" w:rsidP="00480FC7">
      <w:pPr>
        <w:pStyle w:val="Heading2"/>
        <w:numPr>
          <w:ilvl w:val="0"/>
          <w:numId w:val="0"/>
        </w:numPr>
        <w:spacing w:line="240" w:lineRule="auto"/>
        <w:contextualSpacing/>
        <w:jc w:val="both"/>
        <w:rPr>
          <w:b/>
          <w:bCs/>
        </w:rPr>
      </w:pPr>
    </w:p>
    <w:p w14:paraId="227449F3" w14:textId="77777777" w:rsidR="00480FC7" w:rsidRPr="001455B9" w:rsidRDefault="00480FC7" w:rsidP="00480FC7">
      <w:pPr>
        <w:pStyle w:val="Heading2"/>
        <w:numPr>
          <w:ilvl w:val="0"/>
          <w:numId w:val="0"/>
        </w:numPr>
        <w:spacing w:line="240" w:lineRule="auto"/>
        <w:contextualSpacing/>
        <w:jc w:val="both"/>
        <w:rPr>
          <w:b/>
          <w:bCs/>
        </w:rPr>
      </w:pPr>
      <w:r>
        <w:rPr>
          <w:rFonts w:ascii="Times New Roman" w:hAnsi="Times New Roman" w:cs="Times New Roman"/>
          <w:b/>
          <w:bCs/>
        </w:rPr>
        <w:tab/>
      </w:r>
      <w:r w:rsidRPr="00AE6F55">
        <w:rPr>
          <w:rFonts w:ascii="Times New Roman" w:hAnsi="Times New Roman" w:cs="Times New Roman"/>
          <w:b/>
          <w:bCs/>
          <w:u w:val="single"/>
        </w:rPr>
        <w:t>Signed by the Governor on November 21, 2025</w:t>
      </w:r>
      <w:r>
        <w:rPr>
          <w:rFonts w:ascii="Times New Roman" w:hAnsi="Times New Roman" w:cs="Times New Roman"/>
          <w:b/>
          <w:bCs/>
        </w:rPr>
        <w:t xml:space="preserve">, </w:t>
      </w:r>
      <w:r>
        <w:rPr>
          <w:rFonts w:ascii="Times New Roman" w:hAnsi="Times New Roman" w:cs="Times New Roman"/>
        </w:rPr>
        <w:t xml:space="preserve">this bill </w:t>
      </w:r>
      <w:r w:rsidRPr="00AE6F55">
        <w:rPr>
          <w:rFonts w:ascii="Times New Roman" w:hAnsi="Times New Roman" w:cs="Times New Roman"/>
          <w:b/>
          <w:bCs/>
          <w:u w:val="single"/>
        </w:rPr>
        <w:t>amends</w:t>
      </w:r>
      <w:r>
        <w:rPr>
          <w:rFonts w:ascii="Times New Roman" w:hAnsi="Times New Roman" w:cs="Times New Roman"/>
          <w:b/>
          <w:bCs/>
        </w:rPr>
        <w:t xml:space="preserve"> </w:t>
      </w:r>
      <w:r w:rsidRPr="00AE6F55">
        <w:rPr>
          <w:rFonts w:ascii="Times New Roman" w:hAnsi="Times New Roman" w:cs="Times New Roman"/>
        </w:rPr>
        <w:t>FCA</w:t>
      </w:r>
      <w:r>
        <w:rPr>
          <w:rFonts w:ascii="Times New Roman" w:hAnsi="Times New Roman" w:cs="Times New Roman"/>
        </w:rPr>
        <w:t xml:space="preserve"> </w:t>
      </w:r>
      <w:r w:rsidRPr="00A370B4">
        <w:rPr>
          <w:rFonts w:ascii="Times New Roman" w:hAnsi="Times New Roman" w:cs="Times New Roman"/>
        </w:rPr>
        <w:t>§</w:t>
      </w:r>
      <w:r>
        <w:rPr>
          <w:rFonts w:ascii="Times New Roman" w:hAnsi="Times New Roman" w:cs="Times New Roman"/>
        </w:rPr>
        <w:t xml:space="preserve">842, </w:t>
      </w:r>
      <w:r w:rsidRPr="009728E9">
        <w:rPr>
          <w:rFonts w:ascii="Times New Roman" w:hAnsi="Times New Roman" w:cs="Times New Roman"/>
          <w:b/>
          <w:bCs/>
          <w:u w:val="single"/>
        </w:rPr>
        <w:t>effective December 21, 2025</w:t>
      </w:r>
      <w:r>
        <w:rPr>
          <w:rFonts w:ascii="Times New Roman" w:hAnsi="Times New Roman" w:cs="Times New Roman"/>
        </w:rPr>
        <w:t xml:space="preserve"> to: (1) require the court to perform a records check as set forth in FCA </w:t>
      </w:r>
      <w:r w:rsidRPr="00A370B4">
        <w:rPr>
          <w:rFonts w:ascii="Times New Roman" w:hAnsi="Times New Roman" w:cs="Times New Roman"/>
        </w:rPr>
        <w:t>§</w:t>
      </w:r>
      <w:r>
        <w:rPr>
          <w:rFonts w:ascii="Times New Roman" w:hAnsi="Times New Roman" w:cs="Times New Roman"/>
        </w:rPr>
        <w:t xml:space="preserve">651, prior to making an award of custody pursuant to FCA </w:t>
      </w:r>
      <w:r w:rsidRPr="00A370B4">
        <w:rPr>
          <w:rFonts w:ascii="Times New Roman" w:hAnsi="Times New Roman" w:cs="Times New Roman"/>
        </w:rPr>
        <w:t>§</w:t>
      </w:r>
      <w:r>
        <w:rPr>
          <w:rFonts w:ascii="Times New Roman" w:hAnsi="Times New Roman" w:cs="Times New Roman"/>
        </w:rPr>
        <w:t xml:space="preserve">842; and (2) repeal </w:t>
      </w:r>
      <w:r w:rsidRPr="0085330E">
        <w:rPr>
          <w:rFonts w:ascii="Times New Roman" w:hAnsi="Times New Roman" w:cs="Times New Roman"/>
        </w:rPr>
        <w:t xml:space="preserve">the eighth undesignated paragraph of </w:t>
      </w:r>
      <w:r>
        <w:rPr>
          <w:rFonts w:ascii="Times New Roman" w:hAnsi="Times New Roman" w:cs="Times New Roman"/>
        </w:rPr>
        <w:t xml:space="preserve">FCA </w:t>
      </w:r>
      <w:r w:rsidRPr="00A370B4">
        <w:rPr>
          <w:rFonts w:ascii="Times New Roman" w:hAnsi="Times New Roman" w:cs="Times New Roman"/>
        </w:rPr>
        <w:t>§</w:t>
      </w:r>
      <w:r>
        <w:rPr>
          <w:rFonts w:ascii="Times New Roman" w:hAnsi="Times New Roman" w:cs="Times New Roman"/>
        </w:rPr>
        <w:t>842</w:t>
      </w:r>
      <w:r>
        <w:t xml:space="preserve"> </w:t>
      </w:r>
      <w:r w:rsidRPr="0085330E">
        <w:rPr>
          <w:rFonts w:ascii="Times New Roman" w:hAnsi="Times New Roman" w:cs="Times New Roman"/>
        </w:rPr>
        <w:t>regarding orders to terminate leases or rental agreements, since that paragraph has been rendered obsolete by the 2019 amendment of Real Property Law §227-c, which established an administrative procedure for terminating a lease in lieu of provisions requiring a court order. (Laws of 2019, Chapter 694).</w:t>
      </w:r>
      <w:r>
        <w:rPr>
          <w:rFonts w:ascii="Times New Roman" w:hAnsi="Times New Roman" w:cs="Times New Roman"/>
        </w:rPr>
        <w:t xml:space="preserve"> A.08407/S.08198, Laws of 2025, Ch. 536.</w:t>
      </w:r>
    </w:p>
    <w:p w14:paraId="3B841E91" w14:textId="77777777" w:rsidR="00480FC7" w:rsidRDefault="00480FC7" w:rsidP="00480FC7">
      <w:pPr>
        <w:pStyle w:val="Heading2"/>
        <w:numPr>
          <w:ilvl w:val="0"/>
          <w:numId w:val="0"/>
        </w:numPr>
        <w:spacing w:line="240" w:lineRule="auto"/>
        <w:contextualSpacing/>
        <w:jc w:val="both"/>
        <w:rPr>
          <w:rFonts w:ascii="Times New Roman" w:hAnsi="Times New Roman" w:cs="Times New Roman"/>
          <w:b/>
          <w:bCs/>
        </w:rPr>
      </w:pPr>
    </w:p>
    <w:p w14:paraId="6245ACB7" w14:textId="37764EC6" w:rsidR="00480FC7" w:rsidRPr="00DC5A91" w:rsidRDefault="00480FC7" w:rsidP="00480FC7">
      <w:pPr>
        <w:pStyle w:val="Heading2"/>
        <w:numPr>
          <w:ilvl w:val="0"/>
          <w:numId w:val="0"/>
        </w:numPr>
        <w:spacing w:line="240" w:lineRule="auto"/>
        <w:contextualSpacing/>
        <w:jc w:val="both"/>
        <w:rPr>
          <w:b/>
          <w:bCs/>
        </w:rPr>
      </w:pPr>
      <w:r w:rsidRPr="00176799">
        <w:rPr>
          <w:rFonts w:ascii="Times New Roman" w:hAnsi="Times New Roman" w:cs="Times New Roman"/>
          <w:b/>
          <w:bCs/>
        </w:rPr>
        <w:t>Rules of Professional Conduct – Conflicts of Interest and Other Matters</w:t>
      </w:r>
    </w:p>
    <w:p w14:paraId="71E94FCF" w14:textId="77777777" w:rsidR="00480FC7" w:rsidRDefault="00480FC7" w:rsidP="00480FC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p>
    <w:p w14:paraId="25FFE696" w14:textId="26108359" w:rsidR="00480FC7" w:rsidRDefault="00480FC7" w:rsidP="00480FC7">
      <w:pPr>
        <w:pStyle w:val="Heading2"/>
        <w:numPr>
          <w:ilvl w:val="0"/>
          <w:numId w:val="0"/>
        </w:numPr>
        <w:spacing w:line="240" w:lineRule="auto"/>
        <w:contextualSpacing/>
        <w:jc w:val="both"/>
      </w:pPr>
      <w:r>
        <w:rPr>
          <w:rFonts w:ascii="Times New Roman" w:hAnsi="Times New Roman" w:cs="Times New Roman"/>
        </w:rPr>
        <w:tab/>
        <w:t xml:space="preserve">Pursuant to the proposal reported in the </w:t>
      </w:r>
      <w:r w:rsidR="00976DCF">
        <w:rPr>
          <w:rFonts w:ascii="Times New Roman" w:hAnsi="Times New Roman" w:cs="Times New Roman"/>
        </w:rPr>
        <w:t xml:space="preserve">September </w:t>
      </w:r>
      <w:r>
        <w:rPr>
          <w:rFonts w:ascii="Times New Roman" w:hAnsi="Times New Roman" w:cs="Times New Roman"/>
        </w:rPr>
        <w:t xml:space="preserve">2025 </w:t>
      </w:r>
      <w:r w:rsidRPr="00976DCF">
        <w:rPr>
          <w:rFonts w:ascii="Times New Roman" w:hAnsi="Times New Roman" w:cs="Times New Roman"/>
          <w:i/>
          <w:iCs/>
        </w:rPr>
        <w:t>Bulletin</w:t>
      </w:r>
      <w:r>
        <w:rPr>
          <w:rFonts w:ascii="Times New Roman" w:hAnsi="Times New Roman" w:cs="Times New Roman"/>
        </w:rPr>
        <w:t xml:space="preserve">, several of the Rules of Professional Conduct regarding conflicts of interest and other matters are </w:t>
      </w:r>
      <w:r w:rsidRPr="000E6FA8">
        <w:rPr>
          <w:rFonts w:ascii="Times New Roman" w:hAnsi="Times New Roman" w:cs="Times New Roman"/>
          <w:b/>
          <w:bCs/>
          <w:u w:val="single"/>
        </w:rPr>
        <w:t>amended, effective November 10, 2025</w:t>
      </w:r>
      <w:r>
        <w:rPr>
          <w:rFonts w:ascii="Times New Roman" w:hAnsi="Times New Roman" w:cs="Times New Roman"/>
        </w:rPr>
        <w:t xml:space="preserve">. </w:t>
      </w:r>
      <w:proofErr w:type="gramStart"/>
      <w:r>
        <w:rPr>
          <w:rFonts w:ascii="Times New Roman" w:hAnsi="Times New Roman" w:cs="Times New Roman"/>
        </w:rPr>
        <w:t>Joint Order of the Appellate Division,</w:t>
      </w:r>
      <w:proofErr w:type="gramEnd"/>
      <w:r>
        <w:rPr>
          <w:rFonts w:ascii="Times New Roman" w:hAnsi="Times New Roman" w:cs="Times New Roman"/>
        </w:rPr>
        <w:t xml:space="preserve"> signed November 5, 2025. For the complete text of the amendments, see </w:t>
      </w:r>
      <w:hyperlink r:id="rId10" w:history="1">
        <w:r w:rsidRPr="000E6FA8">
          <w:rPr>
            <w:rStyle w:val="Hyperlink"/>
            <w:rFonts w:ascii="Times New Roman" w:hAnsi="Times New Roman" w:cs="Times New Roman"/>
          </w:rPr>
          <w:t>AO Signed Letter to DOS-Administrative Order-JointAppDivOrder.pdf</w:t>
        </w:r>
      </w:hyperlink>
    </w:p>
    <w:p w14:paraId="04D1758C" w14:textId="77777777" w:rsidR="0054078A" w:rsidRDefault="0054078A" w:rsidP="00480FC7">
      <w:pPr>
        <w:pStyle w:val="Heading2"/>
        <w:numPr>
          <w:ilvl w:val="0"/>
          <w:numId w:val="0"/>
        </w:numPr>
        <w:spacing w:line="240" w:lineRule="auto"/>
        <w:contextualSpacing/>
        <w:jc w:val="both"/>
      </w:pPr>
    </w:p>
    <w:p w14:paraId="1EE44F16" w14:textId="1273F568" w:rsidR="00C97783" w:rsidRDefault="00C97783" w:rsidP="00C97783">
      <w:pPr>
        <w:pStyle w:val="Heading2"/>
        <w:numPr>
          <w:ilvl w:val="0"/>
          <w:numId w:val="0"/>
        </w:numPr>
        <w:spacing w:line="240" w:lineRule="auto"/>
        <w:jc w:val="both"/>
        <w:rPr>
          <w:rFonts w:ascii="Times New Roman" w:hAnsi="Times New Roman" w:cs="Times New Roman"/>
          <w:b/>
          <w:bCs/>
        </w:rPr>
      </w:pPr>
      <w:bookmarkStart w:id="5" w:name="_Hlk211508216"/>
      <w:r>
        <w:rPr>
          <w:rFonts w:ascii="Times New Roman" w:hAnsi="Times New Roman" w:cs="Times New Roman"/>
          <w:b/>
          <w:bCs/>
        </w:rPr>
        <w:t>Statement of Net Worth, Statement of Proposed Disposition and Assigned Counsel in Matrimonial Actions</w:t>
      </w:r>
      <w:bookmarkEnd w:id="5"/>
    </w:p>
    <w:p w14:paraId="654411DC" w14:textId="77777777" w:rsidR="00C97783" w:rsidRPr="00FB2257" w:rsidRDefault="00C97783" w:rsidP="00C97783">
      <w:pPr>
        <w:pStyle w:val="Heading2"/>
        <w:numPr>
          <w:ilvl w:val="0"/>
          <w:numId w:val="0"/>
        </w:numPr>
        <w:spacing w:line="240" w:lineRule="auto"/>
        <w:jc w:val="both"/>
        <w:rPr>
          <w:b/>
          <w:bCs/>
        </w:rPr>
      </w:pPr>
    </w:p>
    <w:p w14:paraId="0A2ADD33" w14:textId="77777777" w:rsidR="006206B6" w:rsidRDefault="00C9778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22 NYCRR 202.16(b) and 202.16(h) </w:t>
      </w:r>
      <w:r w:rsidRPr="00FB2257">
        <w:rPr>
          <w:rFonts w:ascii="Times New Roman" w:hAnsi="Times New Roman" w:cs="Times New Roman"/>
          <w:b/>
          <w:bCs/>
          <w:u w:val="single"/>
        </w:rPr>
        <w:t>are amended</w:t>
      </w:r>
      <w:r>
        <w:rPr>
          <w:rFonts w:ascii="Times New Roman" w:hAnsi="Times New Roman" w:cs="Times New Roman"/>
        </w:rPr>
        <w:t xml:space="preserve">, and new 22 NYCRR 202.16(p) </w:t>
      </w:r>
      <w:r w:rsidRPr="00FB2257">
        <w:rPr>
          <w:rFonts w:ascii="Times New Roman" w:hAnsi="Times New Roman" w:cs="Times New Roman"/>
          <w:b/>
          <w:bCs/>
          <w:u w:val="single"/>
        </w:rPr>
        <w:t>is added</w:t>
      </w:r>
      <w:r>
        <w:rPr>
          <w:rFonts w:ascii="Times New Roman" w:hAnsi="Times New Roman" w:cs="Times New Roman"/>
        </w:rPr>
        <w:t xml:space="preserve">, </w:t>
      </w:r>
      <w:r w:rsidRPr="009507F4">
        <w:rPr>
          <w:rFonts w:ascii="Times New Roman" w:hAnsi="Times New Roman" w:cs="Times New Roman"/>
          <w:b/>
          <w:bCs/>
          <w:u w:val="single"/>
        </w:rPr>
        <w:t>effective December 1, 2025</w:t>
      </w:r>
      <w:r>
        <w:rPr>
          <w:rFonts w:ascii="Times New Roman" w:hAnsi="Times New Roman" w:cs="Times New Roman"/>
        </w:rPr>
        <w:t xml:space="preserve">, to prescribe a new form of statement of net worth, </w:t>
      </w:r>
      <w:r w:rsidR="00C07965">
        <w:rPr>
          <w:rFonts w:ascii="Times New Roman" w:hAnsi="Times New Roman" w:cs="Times New Roman"/>
        </w:rPr>
        <w:t xml:space="preserve">and to </w:t>
      </w:r>
      <w:r>
        <w:rPr>
          <w:rFonts w:ascii="Times New Roman" w:hAnsi="Times New Roman" w:cs="Times New Roman"/>
        </w:rPr>
        <w:t xml:space="preserve">substantially alter the rules pertaining to Statements of Proposed Disposition and replace that form with statements of facts, agreed facts, resolved issues, unresolved issues, and a spreadsheet, subject to certain exceptions for self-represented parties. As to counsel fees, new 202.16(p) is designed to cover the same ground as provided by the recently enacted Family Court rule set forth in 22 NYCRR 205.19. </w:t>
      </w:r>
      <w:bookmarkStart w:id="6" w:name="_Hlk212624684"/>
      <w:r w:rsidR="009507F4">
        <w:rPr>
          <w:rFonts w:ascii="Times New Roman" w:hAnsi="Times New Roman" w:cs="Times New Roman"/>
        </w:rPr>
        <w:t>AO/283/25, signed October 8, 2025.</w:t>
      </w:r>
      <w:bookmarkEnd w:id="6"/>
      <w:r w:rsidR="005E2B5F">
        <w:rPr>
          <w:rFonts w:ascii="Times New Roman" w:hAnsi="Times New Roman" w:cs="Times New Roman"/>
        </w:rPr>
        <w:t xml:space="preserve"> </w:t>
      </w:r>
      <w:hyperlink r:id="rId11" w:history="1">
        <w:r w:rsidR="005E2B5F" w:rsidRPr="005E2B5F">
          <w:rPr>
            <w:rStyle w:val="Hyperlink"/>
            <w:rFonts w:ascii="Times New Roman" w:hAnsi="Times New Roman" w:cs="Times New Roman"/>
          </w:rPr>
          <w:t>AdministrativeOrder-CAJ-283-2025-ContestedMatrimonialActions-100825.pdf</w:t>
        </w:r>
      </w:hyperlink>
      <w:r w:rsidR="006206B6">
        <w:t xml:space="preserve"> </w:t>
      </w:r>
      <w:r w:rsidR="006206B6">
        <w:rPr>
          <w:rFonts w:ascii="Times New Roman" w:hAnsi="Times New Roman" w:cs="Times New Roman"/>
        </w:rPr>
        <w:t xml:space="preserve">The new forms are available on this page: </w:t>
      </w:r>
    </w:p>
    <w:p w14:paraId="09F4CAED" w14:textId="6B612DE7" w:rsidR="006206B6" w:rsidRPr="006206B6" w:rsidRDefault="006206B6" w:rsidP="00C97783">
      <w:pPr>
        <w:pStyle w:val="Heading2"/>
        <w:numPr>
          <w:ilvl w:val="0"/>
          <w:numId w:val="0"/>
        </w:numPr>
        <w:spacing w:line="240" w:lineRule="auto"/>
        <w:contextualSpacing/>
        <w:jc w:val="both"/>
        <w:rPr>
          <w:rFonts w:ascii="Times New Roman" w:hAnsi="Times New Roman" w:cs="Times New Roman"/>
        </w:rPr>
      </w:pPr>
      <w:hyperlink r:id="rId12" w:anchor="Statewide" w:history="1">
        <w:r w:rsidRPr="006206B6">
          <w:rPr>
            <w:rStyle w:val="Hyperlink"/>
            <w:rFonts w:ascii="Times New Roman" w:hAnsi="Times New Roman" w:cs="Times New Roman"/>
          </w:rPr>
          <w:t>Divorce Forms | NYCOURTS.GOV</w:t>
        </w:r>
      </w:hyperlink>
    </w:p>
    <w:p w14:paraId="649868E6" w14:textId="77777777" w:rsidR="006206B6" w:rsidRDefault="006206B6" w:rsidP="00C97783">
      <w:pPr>
        <w:pStyle w:val="Heading2"/>
        <w:numPr>
          <w:ilvl w:val="0"/>
          <w:numId w:val="0"/>
        </w:numPr>
        <w:spacing w:line="240" w:lineRule="auto"/>
        <w:contextualSpacing/>
        <w:jc w:val="both"/>
      </w:pPr>
    </w:p>
    <w:p w14:paraId="35C34AF1" w14:textId="77777777" w:rsidR="006206B6" w:rsidRDefault="006206B6"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The </w:t>
      </w:r>
      <w:r w:rsidRPr="000C0C43">
        <w:rPr>
          <w:rFonts w:ascii="Times New Roman" w:hAnsi="Times New Roman" w:cs="Times New Roman"/>
          <w:b/>
          <w:bCs/>
        </w:rPr>
        <w:t>new form Statement of Net Worth</w:t>
      </w:r>
      <w:r>
        <w:rPr>
          <w:rFonts w:ascii="Times New Roman" w:hAnsi="Times New Roman" w:cs="Times New Roman"/>
        </w:rPr>
        <w:t xml:space="preserve"> is available:</w:t>
      </w:r>
    </w:p>
    <w:p w14:paraId="227B452A" w14:textId="77777777" w:rsidR="006206B6" w:rsidRDefault="006206B6" w:rsidP="00C97783">
      <w:pPr>
        <w:pStyle w:val="Heading2"/>
        <w:numPr>
          <w:ilvl w:val="0"/>
          <w:numId w:val="0"/>
        </w:numPr>
        <w:spacing w:line="240" w:lineRule="auto"/>
        <w:contextualSpacing/>
        <w:jc w:val="both"/>
        <w:rPr>
          <w:rFonts w:ascii="Times New Roman" w:hAnsi="Times New Roman" w:cs="Times New Roman"/>
        </w:rPr>
      </w:pPr>
    </w:p>
    <w:p w14:paraId="30FD8445" w14:textId="068A51A2" w:rsidR="006206B6" w:rsidRDefault="006206B6"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as a pdf </w:t>
      </w:r>
      <w:hyperlink r:id="rId13" w:history="1">
        <w:r w:rsidRPr="006206B6">
          <w:rPr>
            <w:rStyle w:val="Hyperlink"/>
            <w:rFonts w:ascii="Times New Roman" w:hAnsi="Times New Roman" w:cs="Times New Roman"/>
          </w:rPr>
          <w:t>Net Worth Statement Form (Gender Neutral) (00067581-5).DOC</w:t>
        </w:r>
      </w:hyperlink>
    </w:p>
    <w:p w14:paraId="3A51EFB7" w14:textId="77777777" w:rsidR="006206B6" w:rsidRDefault="006206B6" w:rsidP="00C97783">
      <w:pPr>
        <w:pStyle w:val="Heading2"/>
        <w:numPr>
          <w:ilvl w:val="0"/>
          <w:numId w:val="0"/>
        </w:numPr>
        <w:spacing w:line="240" w:lineRule="auto"/>
        <w:contextualSpacing/>
        <w:jc w:val="both"/>
        <w:rPr>
          <w:rFonts w:ascii="Times New Roman" w:hAnsi="Times New Roman" w:cs="Times New Roman"/>
        </w:rPr>
      </w:pPr>
    </w:p>
    <w:p w14:paraId="065749CA" w14:textId="371625E1" w:rsidR="006206B6" w:rsidRDefault="006206B6"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in MS Word </w:t>
      </w:r>
      <w:hyperlink r:id="rId14" w:history="1">
        <w:r w:rsidRPr="00B5594A">
          <w:rPr>
            <w:rStyle w:val="Hyperlink"/>
            <w:rFonts w:ascii="Times New Roman" w:hAnsi="Times New Roman" w:cs="Times New Roman"/>
          </w:rPr>
          <w:t>https://www.nycourts.gov/LegacyPDFS/forms/matrimonial/Matrimonial-StatementOfNetWorthForm-Revised%2012.1.25.docx</w:t>
        </w:r>
      </w:hyperlink>
      <w:r>
        <w:rPr>
          <w:rFonts w:ascii="Times New Roman" w:hAnsi="Times New Roman" w:cs="Times New Roman"/>
        </w:rPr>
        <w:t xml:space="preserve"> </w:t>
      </w:r>
    </w:p>
    <w:p w14:paraId="7B27A6AF" w14:textId="77777777" w:rsidR="00896F6E" w:rsidRDefault="00896F6E" w:rsidP="00C97783">
      <w:pPr>
        <w:pStyle w:val="Heading2"/>
        <w:numPr>
          <w:ilvl w:val="0"/>
          <w:numId w:val="0"/>
        </w:numPr>
        <w:spacing w:line="240" w:lineRule="auto"/>
        <w:contextualSpacing/>
        <w:jc w:val="both"/>
        <w:rPr>
          <w:rFonts w:ascii="Times New Roman" w:hAnsi="Times New Roman" w:cs="Times New Roman"/>
        </w:rPr>
      </w:pPr>
    </w:p>
    <w:p w14:paraId="198CB656" w14:textId="77777777" w:rsidR="006206B6" w:rsidRDefault="006206B6" w:rsidP="00C97783">
      <w:pPr>
        <w:pStyle w:val="Heading2"/>
        <w:numPr>
          <w:ilvl w:val="0"/>
          <w:numId w:val="0"/>
        </w:numPr>
        <w:spacing w:line="240" w:lineRule="auto"/>
        <w:contextualSpacing/>
        <w:jc w:val="both"/>
        <w:rPr>
          <w:rFonts w:ascii="Times New Roman" w:hAnsi="Times New Roman" w:cs="Times New Roman"/>
        </w:rPr>
      </w:pPr>
    </w:p>
    <w:p w14:paraId="3F37B960" w14:textId="57CF7349" w:rsidR="006206B6" w:rsidRDefault="006206B6"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and in fillable pdf </w:t>
      </w:r>
    </w:p>
    <w:p w14:paraId="7DEC6D5B" w14:textId="7AD5BC08" w:rsidR="006206B6" w:rsidRDefault="006206B6" w:rsidP="00C97783">
      <w:pPr>
        <w:pStyle w:val="Heading2"/>
        <w:numPr>
          <w:ilvl w:val="0"/>
          <w:numId w:val="0"/>
        </w:numPr>
        <w:spacing w:line="240" w:lineRule="auto"/>
        <w:contextualSpacing/>
        <w:jc w:val="both"/>
        <w:rPr>
          <w:rFonts w:ascii="Times New Roman" w:hAnsi="Times New Roman" w:cs="Times New Roman"/>
        </w:rPr>
      </w:pPr>
      <w:hyperlink r:id="rId15" w:history="1">
        <w:r w:rsidRPr="006206B6">
          <w:rPr>
            <w:rStyle w:val="Hyperlink"/>
            <w:rFonts w:ascii="Times New Roman" w:hAnsi="Times New Roman" w:cs="Times New Roman"/>
          </w:rPr>
          <w:t>Microsoft Word - Matrimonial-StatementOfNetWorthForm-RevisedProposal-DRAFT-100625.docx</w:t>
        </w:r>
      </w:hyperlink>
    </w:p>
    <w:p w14:paraId="57C7540E" w14:textId="77777777" w:rsidR="006206B6" w:rsidRDefault="006206B6" w:rsidP="00C97783">
      <w:pPr>
        <w:pStyle w:val="Heading2"/>
        <w:numPr>
          <w:ilvl w:val="0"/>
          <w:numId w:val="0"/>
        </w:numPr>
        <w:spacing w:line="240" w:lineRule="auto"/>
        <w:contextualSpacing/>
        <w:jc w:val="both"/>
        <w:rPr>
          <w:rFonts w:ascii="Times New Roman" w:hAnsi="Times New Roman" w:cs="Times New Roman"/>
        </w:rPr>
      </w:pPr>
    </w:p>
    <w:p w14:paraId="741E616B" w14:textId="77777777" w:rsidR="000C0C43" w:rsidRDefault="006206B6"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The </w:t>
      </w:r>
      <w:r w:rsidRPr="000C0C43">
        <w:rPr>
          <w:rFonts w:ascii="Times New Roman" w:hAnsi="Times New Roman" w:cs="Times New Roman"/>
          <w:b/>
          <w:bCs/>
        </w:rPr>
        <w:t>Equitable Distribution Spreadsheet</w:t>
      </w:r>
      <w:r>
        <w:rPr>
          <w:rFonts w:ascii="Times New Roman" w:hAnsi="Times New Roman" w:cs="Times New Roman"/>
        </w:rPr>
        <w:t xml:space="preserve"> is</w:t>
      </w:r>
      <w:r w:rsidR="000C0C43">
        <w:rPr>
          <w:rFonts w:ascii="Times New Roman" w:hAnsi="Times New Roman" w:cs="Times New Roman"/>
        </w:rPr>
        <w:t xml:space="preserve"> located at</w:t>
      </w:r>
    </w:p>
    <w:p w14:paraId="2A1AF9A4" w14:textId="4C8C3165" w:rsidR="00C97783" w:rsidRDefault="000C0C43" w:rsidP="00C97783">
      <w:pPr>
        <w:pStyle w:val="Heading2"/>
        <w:numPr>
          <w:ilvl w:val="0"/>
          <w:numId w:val="0"/>
        </w:numPr>
        <w:spacing w:line="240" w:lineRule="auto"/>
        <w:contextualSpacing/>
        <w:jc w:val="both"/>
        <w:rPr>
          <w:rFonts w:ascii="Times New Roman" w:hAnsi="Times New Roman" w:cs="Times New Roman"/>
        </w:rPr>
      </w:pPr>
      <w:hyperlink r:id="rId16" w:history="1">
        <w:r w:rsidRPr="000C0C43">
          <w:rPr>
            <w:rStyle w:val="Hyperlink"/>
            <w:rFonts w:ascii="Times New Roman" w:hAnsi="Times New Roman" w:cs="Times New Roman"/>
          </w:rPr>
          <w:t>Equitable Distribution Worksheet eff. 12.1.25.pdf</w:t>
        </w:r>
      </w:hyperlink>
    </w:p>
    <w:p w14:paraId="77C8D659" w14:textId="7D3F9B8D" w:rsidR="000C0C43" w:rsidRDefault="000C0C4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To open the document i</w:t>
      </w:r>
      <w:r w:rsidR="00464212">
        <w:rPr>
          <w:rFonts w:ascii="Times New Roman" w:hAnsi="Times New Roman" w:cs="Times New Roman"/>
        </w:rPr>
        <w:t>n</w:t>
      </w:r>
      <w:r>
        <w:rPr>
          <w:rFonts w:ascii="Times New Roman" w:hAnsi="Times New Roman" w:cs="Times New Roman"/>
        </w:rPr>
        <w:t xml:space="preserve"> MS Excel, from this page </w:t>
      </w:r>
      <w:hyperlink r:id="rId17" w:anchor="Statewide" w:history="1">
        <w:r w:rsidRPr="000C0C43">
          <w:rPr>
            <w:rStyle w:val="Hyperlink"/>
            <w:rFonts w:ascii="Times New Roman" w:hAnsi="Times New Roman" w:cs="Times New Roman"/>
          </w:rPr>
          <w:t>Divorce Forms | NYCOURTS.GOV</w:t>
        </w:r>
      </w:hyperlink>
    </w:p>
    <w:p w14:paraId="340C912C" w14:textId="5A90A95A" w:rsidR="000C0C43" w:rsidRDefault="000C0C4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Scroll down to the chart labeled “Form Name” and click the link labeled “Excel Spreadsheet.”</w:t>
      </w:r>
    </w:p>
    <w:p w14:paraId="5C0CA5B9" w14:textId="77777777" w:rsidR="000C0C43" w:rsidRDefault="000C0C43" w:rsidP="00C97783">
      <w:pPr>
        <w:pStyle w:val="Heading2"/>
        <w:numPr>
          <w:ilvl w:val="0"/>
          <w:numId w:val="0"/>
        </w:numPr>
        <w:spacing w:line="240" w:lineRule="auto"/>
        <w:contextualSpacing/>
        <w:jc w:val="both"/>
        <w:rPr>
          <w:rFonts w:ascii="Times New Roman" w:hAnsi="Times New Roman" w:cs="Times New Roman"/>
        </w:rPr>
      </w:pPr>
    </w:p>
    <w:p w14:paraId="42F94ED7" w14:textId="4ECCBAE7" w:rsidR="000C0C43" w:rsidRDefault="000C0C4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There is also a </w:t>
      </w:r>
      <w:r w:rsidRPr="000C0C43">
        <w:rPr>
          <w:rFonts w:ascii="Times New Roman" w:hAnsi="Times New Roman" w:cs="Times New Roman"/>
          <w:b/>
          <w:bCs/>
        </w:rPr>
        <w:t>new “short form” financial statement</w:t>
      </w:r>
      <w:r>
        <w:rPr>
          <w:rFonts w:ascii="Times New Roman" w:hAnsi="Times New Roman" w:cs="Times New Roman"/>
        </w:rPr>
        <w:t xml:space="preserve"> for use in applications for assigned counsel in Supreme Court, pursuant to new 22 NYCRR 202.16(p), which is available by accessing the same page </w:t>
      </w:r>
      <w:hyperlink r:id="rId18" w:anchor="Statewide" w:history="1">
        <w:r w:rsidRPr="000C0C43">
          <w:rPr>
            <w:rStyle w:val="Hyperlink"/>
            <w:rFonts w:ascii="Times New Roman" w:hAnsi="Times New Roman" w:cs="Times New Roman"/>
          </w:rPr>
          <w:t>Divorce Forms | NYCOURTS.GOV</w:t>
        </w:r>
      </w:hyperlink>
      <w:r>
        <w:rPr>
          <w:rFonts w:ascii="Times New Roman" w:hAnsi="Times New Roman" w:cs="Times New Roman"/>
        </w:rPr>
        <w:t xml:space="preserve"> and scrolling down to the chart labeled “Form Name.” </w:t>
      </w:r>
    </w:p>
    <w:p w14:paraId="00CF4793" w14:textId="77777777" w:rsidR="000C0C43" w:rsidRDefault="000C0C43" w:rsidP="00C97783">
      <w:pPr>
        <w:pStyle w:val="Heading2"/>
        <w:numPr>
          <w:ilvl w:val="0"/>
          <w:numId w:val="0"/>
        </w:numPr>
        <w:spacing w:line="240" w:lineRule="auto"/>
        <w:contextualSpacing/>
        <w:jc w:val="both"/>
        <w:rPr>
          <w:rFonts w:ascii="Times New Roman" w:hAnsi="Times New Roman" w:cs="Times New Roman"/>
        </w:rPr>
      </w:pPr>
    </w:p>
    <w:p w14:paraId="39956168" w14:textId="51A84D92" w:rsidR="000C0C43" w:rsidRDefault="000C0C4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The </w:t>
      </w:r>
      <w:r w:rsidRPr="000C0C43">
        <w:rPr>
          <w:rFonts w:ascii="Times New Roman" w:hAnsi="Times New Roman" w:cs="Times New Roman"/>
          <w:b/>
          <w:bCs/>
        </w:rPr>
        <w:t>new “short form” financial statement</w:t>
      </w:r>
      <w:r>
        <w:rPr>
          <w:rFonts w:ascii="Times New Roman" w:hAnsi="Times New Roman" w:cs="Times New Roman"/>
        </w:rPr>
        <w:t xml:space="preserve"> is available in: </w:t>
      </w:r>
    </w:p>
    <w:p w14:paraId="60AAC5FA" w14:textId="77777777" w:rsidR="000C0C43" w:rsidRDefault="000C0C43" w:rsidP="00C97783">
      <w:pPr>
        <w:pStyle w:val="Heading2"/>
        <w:numPr>
          <w:ilvl w:val="0"/>
          <w:numId w:val="0"/>
        </w:numPr>
        <w:spacing w:line="240" w:lineRule="auto"/>
        <w:contextualSpacing/>
        <w:jc w:val="both"/>
        <w:rPr>
          <w:rFonts w:ascii="Times New Roman" w:hAnsi="Times New Roman" w:cs="Times New Roman"/>
        </w:rPr>
      </w:pPr>
    </w:p>
    <w:p w14:paraId="6970FAF4" w14:textId="4C1E21DA" w:rsidR="000C0C43" w:rsidRDefault="000C0C4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 xml:space="preserve">pdf </w:t>
      </w:r>
      <w:hyperlink r:id="rId19" w:history="1">
        <w:r w:rsidRPr="000C0C43">
          <w:rPr>
            <w:rStyle w:val="Hyperlink"/>
            <w:rFonts w:ascii="Times New Roman" w:hAnsi="Times New Roman" w:cs="Times New Roman"/>
          </w:rPr>
          <w:t>Financial Eligibility Form for Assigned Counsel (UCS Form Eff. 12.1.25).pdf</w:t>
        </w:r>
      </w:hyperlink>
    </w:p>
    <w:p w14:paraId="7DA0F29F" w14:textId="77777777" w:rsidR="000C0C43" w:rsidRDefault="000C0C43" w:rsidP="00C97783">
      <w:pPr>
        <w:pStyle w:val="Heading2"/>
        <w:numPr>
          <w:ilvl w:val="0"/>
          <w:numId w:val="0"/>
        </w:numPr>
        <w:spacing w:line="240" w:lineRule="auto"/>
        <w:contextualSpacing/>
        <w:jc w:val="both"/>
        <w:rPr>
          <w:rFonts w:ascii="Times New Roman" w:hAnsi="Times New Roman" w:cs="Times New Roman"/>
        </w:rPr>
      </w:pPr>
    </w:p>
    <w:p w14:paraId="127DFB8F" w14:textId="77777777" w:rsidR="000C0C43" w:rsidRDefault="000C0C43" w:rsidP="00C9778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and MS Word</w:t>
      </w:r>
    </w:p>
    <w:p w14:paraId="73E97318" w14:textId="3494D4FD" w:rsidR="000C0C43" w:rsidRDefault="000C0C43" w:rsidP="00C97783">
      <w:pPr>
        <w:pStyle w:val="Heading2"/>
        <w:numPr>
          <w:ilvl w:val="0"/>
          <w:numId w:val="0"/>
        </w:numPr>
        <w:spacing w:line="240" w:lineRule="auto"/>
        <w:contextualSpacing/>
        <w:jc w:val="both"/>
        <w:rPr>
          <w:rFonts w:ascii="Times New Roman" w:hAnsi="Times New Roman" w:cs="Times New Roman"/>
        </w:rPr>
      </w:pPr>
      <w:hyperlink r:id="rId20" w:history="1">
        <w:r w:rsidRPr="00B5594A">
          <w:rPr>
            <w:rStyle w:val="Hyperlink"/>
            <w:rFonts w:ascii="Times New Roman" w:hAnsi="Times New Roman" w:cs="Times New Roman"/>
          </w:rPr>
          <w:t>https://www.nycourts.gov/LegacyPDFS/forms/matrimonial/Financial%20Eligibility%20Form%20for%20Assigned%20Counsel%20(UCS%20Form%20Eff.%2012.1.25).docx</w:t>
        </w:r>
      </w:hyperlink>
      <w:r>
        <w:rPr>
          <w:rFonts w:ascii="Times New Roman" w:hAnsi="Times New Roman" w:cs="Times New Roman"/>
        </w:rPr>
        <w:t xml:space="preserve"> </w:t>
      </w:r>
    </w:p>
    <w:p w14:paraId="0219FF34" w14:textId="77777777" w:rsidR="000C1A7B" w:rsidRDefault="000C1A7B" w:rsidP="00C97783">
      <w:pPr>
        <w:pStyle w:val="Heading2"/>
        <w:numPr>
          <w:ilvl w:val="0"/>
          <w:numId w:val="0"/>
        </w:numPr>
        <w:spacing w:line="240" w:lineRule="auto"/>
        <w:contextualSpacing/>
        <w:jc w:val="both"/>
        <w:rPr>
          <w:rFonts w:ascii="Times New Roman" w:hAnsi="Times New Roman" w:cs="Times New Roman"/>
        </w:rPr>
      </w:pPr>
    </w:p>
    <w:p w14:paraId="5CA12B69" w14:textId="77777777" w:rsidR="000C1A7B" w:rsidRPr="006C4734" w:rsidRDefault="000C1A7B" w:rsidP="000C1A7B">
      <w:pPr>
        <w:pStyle w:val="Heading2"/>
        <w:numPr>
          <w:ilvl w:val="0"/>
          <w:numId w:val="0"/>
        </w:numPr>
        <w:jc w:val="both"/>
        <w:rPr>
          <w:b/>
          <w:bCs/>
        </w:rPr>
      </w:pPr>
      <w:bookmarkStart w:id="7" w:name="_Hlk214972230"/>
      <w:r w:rsidRPr="006C4734">
        <w:rPr>
          <w:rFonts w:ascii="Times New Roman" w:hAnsi="Times New Roman" w:cs="Times New Roman"/>
          <w:b/>
          <w:bCs/>
        </w:rPr>
        <w:t>Violation Proceedings – Calendar and Time Deadlines</w:t>
      </w:r>
      <w:bookmarkEnd w:id="7"/>
    </w:p>
    <w:p w14:paraId="164E806A" w14:textId="2E0B513C" w:rsidR="000C1A7B" w:rsidRPr="006206B6" w:rsidRDefault="000C1A7B" w:rsidP="000C1A7B">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22 NYCRR </w:t>
      </w:r>
      <w:r w:rsidRPr="00A370B4">
        <w:rPr>
          <w:rFonts w:ascii="Times New Roman" w:hAnsi="Times New Roman" w:cs="Times New Roman"/>
        </w:rPr>
        <w:t>§</w:t>
      </w:r>
      <w:r>
        <w:rPr>
          <w:rFonts w:ascii="Times New Roman" w:hAnsi="Times New Roman" w:cs="Times New Roman"/>
        </w:rPr>
        <w:t xml:space="preserve">205.43 </w:t>
      </w:r>
      <w:r>
        <w:rPr>
          <w:rFonts w:ascii="Times New Roman" w:hAnsi="Times New Roman" w:cs="Times New Roman"/>
          <w:b/>
          <w:bCs/>
          <w:u w:val="single"/>
        </w:rPr>
        <w:t xml:space="preserve">is </w:t>
      </w:r>
      <w:r w:rsidRPr="006C4734">
        <w:rPr>
          <w:rFonts w:ascii="Times New Roman" w:hAnsi="Times New Roman" w:cs="Times New Roman"/>
          <w:b/>
          <w:bCs/>
          <w:u w:val="single"/>
        </w:rPr>
        <w:t>amended</w:t>
      </w:r>
      <w:r>
        <w:rPr>
          <w:rFonts w:ascii="Times New Roman" w:hAnsi="Times New Roman" w:cs="Times New Roman"/>
          <w:b/>
          <w:bCs/>
          <w:u w:val="single"/>
        </w:rPr>
        <w:t>, effective January 5, 2026</w:t>
      </w:r>
      <w:r>
        <w:rPr>
          <w:rFonts w:ascii="Times New Roman" w:hAnsi="Times New Roman" w:cs="Times New Roman"/>
          <w:b/>
          <w:bCs/>
        </w:rPr>
        <w:t xml:space="preserve">, </w:t>
      </w:r>
      <w:r>
        <w:rPr>
          <w:rFonts w:ascii="Times New Roman" w:hAnsi="Times New Roman" w:cs="Times New Roman"/>
        </w:rPr>
        <w:t xml:space="preserve">“to relax some of the time deadlines for calendaring and adjudicating Family Court petitions alleging that a party has willfully violated a child support order.” </w:t>
      </w:r>
      <w:r w:rsidRPr="002610EC">
        <w:rPr>
          <w:rFonts w:ascii="Times New Roman" w:hAnsi="Times New Roman" w:cs="Times New Roman"/>
          <w:b/>
          <w:bCs/>
          <w:u w:val="single"/>
        </w:rPr>
        <w:t>AO/294/25, signed November 17, 2025</w:t>
      </w:r>
      <w:r>
        <w:rPr>
          <w:rFonts w:ascii="Times New Roman" w:hAnsi="Times New Roman" w:cs="Times New Roman"/>
        </w:rPr>
        <w:t xml:space="preserve">. For the complete text and amendments, see </w:t>
      </w:r>
      <w:hyperlink r:id="rId21" w:history="1">
        <w:r w:rsidRPr="002610EC">
          <w:rPr>
            <w:rStyle w:val="Hyperlink"/>
            <w:rFonts w:ascii="Times New Roman" w:hAnsi="Times New Roman" w:cs="Times New Roman"/>
          </w:rPr>
          <w:t>AdministrativeOrder-CAJ-294-2025-ChildSupportViolationDeadlines-111725..pdf</w:t>
        </w:r>
      </w:hyperlink>
    </w:p>
    <w:sectPr w:rsidR="000C1A7B" w:rsidRPr="006206B6" w:rsidSect="00817AF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9DE2" w14:textId="77777777" w:rsidR="002C5EF0" w:rsidRDefault="002C5EF0" w:rsidP="0013568D">
      <w:pPr>
        <w:spacing w:after="0" w:line="240" w:lineRule="auto"/>
      </w:pPr>
      <w:r>
        <w:separator/>
      </w:r>
    </w:p>
  </w:endnote>
  <w:endnote w:type="continuationSeparator" w:id="0">
    <w:p w14:paraId="7D9F287F" w14:textId="77777777" w:rsidR="002C5EF0" w:rsidRDefault="002C5EF0"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rPr>
            <w:b/>
            <w:bCs/>
            <w:i/>
            <w:iCs/>
          </w:rPr>
          <w:id w:val="-1769616900"/>
          <w:docPartObj>
            <w:docPartGallery w:val="Page Numbers (Top of Page)"/>
            <w:docPartUnique/>
          </w:docPartObj>
        </w:sdtPr>
        <w:sdtEndPr>
          <w:rPr>
            <w:b w:val="0"/>
            <w:bCs w:val="0"/>
            <w:i w:val="0"/>
            <w:iCs w:val="0"/>
          </w:rPr>
        </w:sdtEndPr>
        <w:sdtContent>
          <w:p w14:paraId="550BA402" w14:textId="666A605D" w:rsidR="0013568D" w:rsidRDefault="00A548B3">
            <w:pPr>
              <w:pStyle w:val="Footer"/>
              <w:jc w:val="right"/>
            </w:pPr>
            <w:r>
              <w:rPr>
                <w:b/>
                <w:bCs/>
                <w:i/>
                <w:iCs/>
              </w:rPr>
              <w:t>NYSBA Family Law Section Update</w:t>
            </w:r>
            <w:r w:rsidR="00601F22">
              <w:rPr>
                <w:b/>
                <w:bCs/>
                <w:i/>
                <w:iCs/>
              </w:rPr>
              <w:t>,</w:t>
            </w:r>
            <w:r w:rsidR="00013D0E" w:rsidRPr="00351E36">
              <w:rPr>
                <w:b/>
                <w:bCs/>
                <w:i/>
                <w:iCs/>
              </w:rPr>
              <w:t xml:space="preserve"> </w:t>
            </w:r>
            <w:r w:rsidR="00787BAF">
              <w:rPr>
                <w:b/>
                <w:bCs/>
                <w:i/>
                <w:iCs/>
              </w:rPr>
              <w:t>Dece</w:t>
            </w:r>
            <w:r w:rsidR="00ED72AA">
              <w:rPr>
                <w:b/>
                <w:bCs/>
                <w:i/>
                <w:iCs/>
              </w:rPr>
              <w:t>mber</w:t>
            </w:r>
            <w:r w:rsidR="00F464B7">
              <w:rPr>
                <w:b/>
                <w:bCs/>
                <w:i/>
                <w:iCs/>
              </w:rPr>
              <w:t xml:space="preserve"> </w:t>
            </w:r>
            <w:r w:rsidR="00013D0E" w:rsidRPr="00351E36">
              <w:rPr>
                <w:b/>
                <w:bCs/>
                <w:i/>
                <w:iCs/>
              </w:rPr>
              <w:t>2025</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9D7C" w14:textId="77777777" w:rsidR="002C5EF0" w:rsidRDefault="002C5EF0" w:rsidP="0013568D">
      <w:pPr>
        <w:spacing w:after="0" w:line="240" w:lineRule="auto"/>
      </w:pPr>
      <w:r>
        <w:separator/>
      </w:r>
    </w:p>
  </w:footnote>
  <w:footnote w:type="continuationSeparator" w:id="0">
    <w:p w14:paraId="0383B718" w14:textId="77777777" w:rsidR="002C5EF0" w:rsidRDefault="002C5EF0"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466"/>
    <w:rsid w:val="00002FED"/>
    <w:rsid w:val="00013D0E"/>
    <w:rsid w:val="000213AD"/>
    <w:rsid w:val="000254B3"/>
    <w:rsid w:val="00026D0C"/>
    <w:rsid w:val="00030C5E"/>
    <w:rsid w:val="00030E7B"/>
    <w:rsid w:val="000322B8"/>
    <w:rsid w:val="00032EA3"/>
    <w:rsid w:val="00033C3A"/>
    <w:rsid w:val="000401CE"/>
    <w:rsid w:val="000404FD"/>
    <w:rsid w:val="00041C00"/>
    <w:rsid w:val="00047D19"/>
    <w:rsid w:val="00047F89"/>
    <w:rsid w:val="00051512"/>
    <w:rsid w:val="00051F5B"/>
    <w:rsid w:val="00052C0D"/>
    <w:rsid w:val="00053286"/>
    <w:rsid w:val="000532D9"/>
    <w:rsid w:val="000540AA"/>
    <w:rsid w:val="000551E0"/>
    <w:rsid w:val="0005543C"/>
    <w:rsid w:val="000567CA"/>
    <w:rsid w:val="00060F94"/>
    <w:rsid w:val="0006218A"/>
    <w:rsid w:val="000625A6"/>
    <w:rsid w:val="00062CD7"/>
    <w:rsid w:val="000654AE"/>
    <w:rsid w:val="00066217"/>
    <w:rsid w:val="00066226"/>
    <w:rsid w:val="000662E8"/>
    <w:rsid w:val="00066D9F"/>
    <w:rsid w:val="0006780C"/>
    <w:rsid w:val="000700E4"/>
    <w:rsid w:val="00071082"/>
    <w:rsid w:val="00071B05"/>
    <w:rsid w:val="00073930"/>
    <w:rsid w:val="0007559B"/>
    <w:rsid w:val="00076A51"/>
    <w:rsid w:val="00076AAD"/>
    <w:rsid w:val="0008087F"/>
    <w:rsid w:val="000827AF"/>
    <w:rsid w:val="00083375"/>
    <w:rsid w:val="00084F76"/>
    <w:rsid w:val="00085BF5"/>
    <w:rsid w:val="00086653"/>
    <w:rsid w:val="000905EB"/>
    <w:rsid w:val="0009096F"/>
    <w:rsid w:val="00091F6C"/>
    <w:rsid w:val="00093E1C"/>
    <w:rsid w:val="00096BC4"/>
    <w:rsid w:val="00097CD9"/>
    <w:rsid w:val="000A116B"/>
    <w:rsid w:val="000A6E42"/>
    <w:rsid w:val="000B032A"/>
    <w:rsid w:val="000B21E3"/>
    <w:rsid w:val="000B536B"/>
    <w:rsid w:val="000B5F96"/>
    <w:rsid w:val="000B64E3"/>
    <w:rsid w:val="000C0C43"/>
    <w:rsid w:val="000C1A7B"/>
    <w:rsid w:val="000C5DFF"/>
    <w:rsid w:val="000C785E"/>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BF2"/>
    <w:rsid w:val="00105D6C"/>
    <w:rsid w:val="00107716"/>
    <w:rsid w:val="00110B69"/>
    <w:rsid w:val="00111B35"/>
    <w:rsid w:val="0011428F"/>
    <w:rsid w:val="00116A8B"/>
    <w:rsid w:val="001248D2"/>
    <w:rsid w:val="001258E1"/>
    <w:rsid w:val="001261EF"/>
    <w:rsid w:val="001270FF"/>
    <w:rsid w:val="0013228F"/>
    <w:rsid w:val="001334B5"/>
    <w:rsid w:val="00133775"/>
    <w:rsid w:val="00135004"/>
    <w:rsid w:val="0013568D"/>
    <w:rsid w:val="001372A1"/>
    <w:rsid w:val="00137E75"/>
    <w:rsid w:val="0014019F"/>
    <w:rsid w:val="001423A0"/>
    <w:rsid w:val="00142D95"/>
    <w:rsid w:val="00144E14"/>
    <w:rsid w:val="00147B98"/>
    <w:rsid w:val="001611AD"/>
    <w:rsid w:val="001626DE"/>
    <w:rsid w:val="00162DC8"/>
    <w:rsid w:val="00164586"/>
    <w:rsid w:val="0016480B"/>
    <w:rsid w:val="00166C26"/>
    <w:rsid w:val="001710F3"/>
    <w:rsid w:val="00171E6E"/>
    <w:rsid w:val="001758DF"/>
    <w:rsid w:val="00176799"/>
    <w:rsid w:val="00177866"/>
    <w:rsid w:val="0018302A"/>
    <w:rsid w:val="00186704"/>
    <w:rsid w:val="001903F1"/>
    <w:rsid w:val="00191BDF"/>
    <w:rsid w:val="00191C80"/>
    <w:rsid w:val="001927B1"/>
    <w:rsid w:val="00192EA0"/>
    <w:rsid w:val="0019396E"/>
    <w:rsid w:val="00195367"/>
    <w:rsid w:val="00196B70"/>
    <w:rsid w:val="00197828"/>
    <w:rsid w:val="00197BE1"/>
    <w:rsid w:val="001A37A7"/>
    <w:rsid w:val="001A41F3"/>
    <w:rsid w:val="001A59EF"/>
    <w:rsid w:val="001A729B"/>
    <w:rsid w:val="001B09C1"/>
    <w:rsid w:val="001B1566"/>
    <w:rsid w:val="001B19AC"/>
    <w:rsid w:val="001B1BD5"/>
    <w:rsid w:val="001B28C0"/>
    <w:rsid w:val="001B5D93"/>
    <w:rsid w:val="001B66E4"/>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E7DE2"/>
    <w:rsid w:val="001F1D15"/>
    <w:rsid w:val="001F1EAC"/>
    <w:rsid w:val="001F3A03"/>
    <w:rsid w:val="001F4407"/>
    <w:rsid w:val="001F4CBA"/>
    <w:rsid w:val="001F7222"/>
    <w:rsid w:val="00200A25"/>
    <w:rsid w:val="00200D26"/>
    <w:rsid w:val="00202830"/>
    <w:rsid w:val="00202B4F"/>
    <w:rsid w:val="0020543B"/>
    <w:rsid w:val="0020544D"/>
    <w:rsid w:val="00205554"/>
    <w:rsid w:val="00211262"/>
    <w:rsid w:val="00211575"/>
    <w:rsid w:val="00212037"/>
    <w:rsid w:val="0021394D"/>
    <w:rsid w:val="002140D9"/>
    <w:rsid w:val="00214CA3"/>
    <w:rsid w:val="0021690E"/>
    <w:rsid w:val="002178BA"/>
    <w:rsid w:val="00222428"/>
    <w:rsid w:val="002300D3"/>
    <w:rsid w:val="00231ABD"/>
    <w:rsid w:val="002359AD"/>
    <w:rsid w:val="002366B4"/>
    <w:rsid w:val="00236893"/>
    <w:rsid w:val="00240B7B"/>
    <w:rsid w:val="002416A0"/>
    <w:rsid w:val="002418FB"/>
    <w:rsid w:val="002442F7"/>
    <w:rsid w:val="00244B55"/>
    <w:rsid w:val="00245175"/>
    <w:rsid w:val="0024517A"/>
    <w:rsid w:val="002476E7"/>
    <w:rsid w:val="00250F9D"/>
    <w:rsid w:val="002539EE"/>
    <w:rsid w:val="00255048"/>
    <w:rsid w:val="002576B1"/>
    <w:rsid w:val="00260F81"/>
    <w:rsid w:val="00263553"/>
    <w:rsid w:val="002635EA"/>
    <w:rsid w:val="0026369F"/>
    <w:rsid w:val="002640C3"/>
    <w:rsid w:val="00264B31"/>
    <w:rsid w:val="00264D9B"/>
    <w:rsid w:val="00264DB3"/>
    <w:rsid w:val="00265850"/>
    <w:rsid w:val="0026604F"/>
    <w:rsid w:val="00266CF4"/>
    <w:rsid w:val="00274E69"/>
    <w:rsid w:val="00275787"/>
    <w:rsid w:val="0027645F"/>
    <w:rsid w:val="00277304"/>
    <w:rsid w:val="00277940"/>
    <w:rsid w:val="002803DE"/>
    <w:rsid w:val="002816E4"/>
    <w:rsid w:val="002844E5"/>
    <w:rsid w:val="00284525"/>
    <w:rsid w:val="00285163"/>
    <w:rsid w:val="0028627A"/>
    <w:rsid w:val="00286DA7"/>
    <w:rsid w:val="002875C4"/>
    <w:rsid w:val="00287C90"/>
    <w:rsid w:val="0029176C"/>
    <w:rsid w:val="00295975"/>
    <w:rsid w:val="00296312"/>
    <w:rsid w:val="00296407"/>
    <w:rsid w:val="002A00C7"/>
    <w:rsid w:val="002A0635"/>
    <w:rsid w:val="002A378A"/>
    <w:rsid w:val="002A417E"/>
    <w:rsid w:val="002B2655"/>
    <w:rsid w:val="002B3C7F"/>
    <w:rsid w:val="002C0242"/>
    <w:rsid w:val="002C0F9A"/>
    <w:rsid w:val="002C1D9B"/>
    <w:rsid w:val="002C34BB"/>
    <w:rsid w:val="002C371B"/>
    <w:rsid w:val="002C38DD"/>
    <w:rsid w:val="002C408C"/>
    <w:rsid w:val="002C4256"/>
    <w:rsid w:val="002C5EF0"/>
    <w:rsid w:val="002D194C"/>
    <w:rsid w:val="002D21B9"/>
    <w:rsid w:val="002D45D9"/>
    <w:rsid w:val="002D4C74"/>
    <w:rsid w:val="002D6348"/>
    <w:rsid w:val="002D78E1"/>
    <w:rsid w:val="002E01D4"/>
    <w:rsid w:val="002E0C8F"/>
    <w:rsid w:val="002E2596"/>
    <w:rsid w:val="002E493F"/>
    <w:rsid w:val="002E5AF2"/>
    <w:rsid w:val="002F03B1"/>
    <w:rsid w:val="002F1517"/>
    <w:rsid w:val="002F23FB"/>
    <w:rsid w:val="002F473E"/>
    <w:rsid w:val="002F50D8"/>
    <w:rsid w:val="002F7615"/>
    <w:rsid w:val="00300416"/>
    <w:rsid w:val="00300748"/>
    <w:rsid w:val="00302F0A"/>
    <w:rsid w:val="0030321A"/>
    <w:rsid w:val="00303952"/>
    <w:rsid w:val="00304190"/>
    <w:rsid w:val="003136B7"/>
    <w:rsid w:val="003155EB"/>
    <w:rsid w:val="00316AE4"/>
    <w:rsid w:val="00316B46"/>
    <w:rsid w:val="003208C8"/>
    <w:rsid w:val="00321869"/>
    <w:rsid w:val="0032713C"/>
    <w:rsid w:val="00331173"/>
    <w:rsid w:val="00332ECF"/>
    <w:rsid w:val="00334BEE"/>
    <w:rsid w:val="003374BD"/>
    <w:rsid w:val="003415F7"/>
    <w:rsid w:val="00341AB2"/>
    <w:rsid w:val="003433C5"/>
    <w:rsid w:val="00344411"/>
    <w:rsid w:val="0035026F"/>
    <w:rsid w:val="00351E36"/>
    <w:rsid w:val="00354A11"/>
    <w:rsid w:val="0035715C"/>
    <w:rsid w:val="0035791C"/>
    <w:rsid w:val="00362AAA"/>
    <w:rsid w:val="00362C17"/>
    <w:rsid w:val="0036502B"/>
    <w:rsid w:val="00365549"/>
    <w:rsid w:val="0037175C"/>
    <w:rsid w:val="00371823"/>
    <w:rsid w:val="00374C34"/>
    <w:rsid w:val="00375AF9"/>
    <w:rsid w:val="00375E4B"/>
    <w:rsid w:val="00381CBC"/>
    <w:rsid w:val="0038342C"/>
    <w:rsid w:val="003861E9"/>
    <w:rsid w:val="00387D11"/>
    <w:rsid w:val="0039326A"/>
    <w:rsid w:val="0039379B"/>
    <w:rsid w:val="00393A13"/>
    <w:rsid w:val="0039601B"/>
    <w:rsid w:val="00397713"/>
    <w:rsid w:val="003A0196"/>
    <w:rsid w:val="003A2DE0"/>
    <w:rsid w:val="003A3A37"/>
    <w:rsid w:val="003A4E0D"/>
    <w:rsid w:val="003A521A"/>
    <w:rsid w:val="003A58AF"/>
    <w:rsid w:val="003A6591"/>
    <w:rsid w:val="003A73BE"/>
    <w:rsid w:val="003B1027"/>
    <w:rsid w:val="003B3BC9"/>
    <w:rsid w:val="003B3D44"/>
    <w:rsid w:val="003B533E"/>
    <w:rsid w:val="003B59AD"/>
    <w:rsid w:val="003B7088"/>
    <w:rsid w:val="003C0C3C"/>
    <w:rsid w:val="003C2789"/>
    <w:rsid w:val="003C531D"/>
    <w:rsid w:val="003C5858"/>
    <w:rsid w:val="003C67FC"/>
    <w:rsid w:val="003C7137"/>
    <w:rsid w:val="003D151D"/>
    <w:rsid w:val="003D2FB1"/>
    <w:rsid w:val="003D7C08"/>
    <w:rsid w:val="003E12C1"/>
    <w:rsid w:val="003E2392"/>
    <w:rsid w:val="003E5A82"/>
    <w:rsid w:val="003E5E58"/>
    <w:rsid w:val="003E618F"/>
    <w:rsid w:val="003F3EFE"/>
    <w:rsid w:val="003F4BBA"/>
    <w:rsid w:val="00401CF6"/>
    <w:rsid w:val="00402074"/>
    <w:rsid w:val="004027AB"/>
    <w:rsid w:val="00402A62"/>
    <w:rsid w:val="00403DB6"/>
    <w:rsid w:val="004055E6"/>
    <w:rsid w:val="00405D6A"/>
    <w:rsid w:val="00406B54"/>
    <w:rsid w:val="00412122"/>
    <w:rsid w:val="00412E43"/>
    <w:rsid w:val="0041565E"/>
    <w:rsid w:val="0042070D"/>
    <w:rsid w:val="0042173F"/>
    <w:rsid w:val="00423B86"/>
    <w:rsid w:val="00424D96"/>
    <w:rsid w:val="00427249"/>
    <w:rsid w:val="0043007A"/>
    <w:rsid w:val="00433165"/>
    <w:rsid w:val="00434674"/>
    <w:rsid w:val="004352EE"/>
    <w:rsid w:val="00436002"/>
    <w:rsid w:val="00436C6A"/>
    <w:rsid w:val="004403EA"/>
    <w:rsid w:val="0044154F"/>
    <w:rsid w:val="00441764"/>
    <w:rsid w:val="0044182D"/>
    <w:rsid w:val="00442151"/>
    <w:rsid w:val="00442B12"/>
    <w:rsid w:val="00442E95"/>
    <w:rsid w:val="00443DF1"/>
    <w:rsid w:val="00444E1C"/>
    <w:rsid w:val="00445701"/>
    <w:rsid w:val="00445B42"/>
    <w:rsid w:val="00447881"/>
    <w:rsid w:val="00447B0B"/>
    <w:rsid w:val="00455A34"/>
    <w:rsid w:val="004567BA"/>
    <w:rsid w:val="00456862"/>
    <w:rsid w:val="00456919"/>
    <w:rsid w:val="00460089"/>
    <w:rsid w:val="00460CF1"/>
    <w:rsid w:val="004617EF"/>
    <w:rsid w:val="00464212"/>
    <w:rsid w:val="0046490D"/>
    <w:rsid w:val="00466410"/>
    <w:rsid w:val="00470443"/>
    <w:rsid w:val="00474065"/>
    <w:rsid w:val="004773F0"/>
    <w:rsid w:val="00480909"/>
    <w:rsid w:val="00480FC7"/>
    <w:rsid w:val="0048175B"/>
    <w:rsid w:val="004817E1"/>
    <w:rsid w:val="00485028"/>
    <w:rsid w:val="00487D28"/>
    <w:rsid w:val="00490C4F"/>
    <w:rsid w:val="0049268A"/>
    <w:rsid w:val="004937E4"/>
    <w:rsid w:val="004975B0"/>
    <w:rsid w:val="004A1A7F"/>
    <w:rsid w:val="004A26C8"/>
    <w:rsid w:val="004A40BC"/>
    <w:rsid w:val="004A55CA"/>
    <w:rsid w:val="004B1E3E"/>
    <w:rsid w:val="004B23DB"/>
    <w:rsid w:val="004B5BF7"/>
    <w:rsid w:val="004B6E26"/>
    <w:rsid w:val="004C11F7"/>
    <w:rsid w:val="004C1B2A"/>
    <w:rsid w:val="004C2690"/>
    <w:rsid w:val="004C2D8F"/>
    <w:rsid w:val="004C6309"/>
    <w:rsid w:val="004C6FEA"/>
    <w:rsid w:val="004D122F"/>
    <w:rsid w:val="004D1831"/>
    <w:rsid w:val="004D1B2F"/>
    <w:rsid w:val="004D2AAD"/>
    <w:rsid w:val="004D348C"/>
    <w:rsid w:val="004D3CD1"/>
    <w:rsid w:val="004D5479"/>
    <w:rsid w:val="004D7017"/>
    <w:rsid w:val="004E0119"/>
    <w:rsid w:val="004E02BA"/>
    <w:rsid w:val="004E0A2A"/>
    <w:rsid w:val="004E304C"/>
    <w:rsid w:val="004E3DE2"/>
    <w:rsid w:val="004E4A48"/>
    <w:rsid w:val="004E578D"/>
    <w:rsid w:val="004F183D"/>
    <w:rsid w:val="004F1E58"/>
    <w:rsid w:val="004F2B31"/>
    <w:rsid w:val="004F2D7B"/>
    <w:rsid w:val="004F34EE"/>
    <w:rsid w:val="004F71FB"/>
    <w:rsid w:val="0050045E"/>
    <w:rsid w:val="00503467"/>
    <w:rsid w:val="0050389F"/>
    <w:rsid w:val="00504AA4"/>
    <w:rsid w:val="005061E0"/>
    <w:rsid w:val="0051207C"/>
    <w:rsid w:val="005136EF"/>
    <w:rsid w:val="00514134"/>
    <w:rsid w:val="00520D3D"/>
    <w:rsid w:val="00523DA5"/>
    <w:rsid w:val="005244CF"/>
    <w:rsid w:val="005254EB"/>
    <w:rsid w:val="00525DC5"/>
    <w:rsid w:val="0052614B"/>
    <w:rsid w:val="00531535"/>
    <w:rsid w:val="00532B1B"/>
    <w:rsid w:val="00532BC6"/>
    <w:rsid w:val="005335A2"/>
    <w:rsid w:val="00534D55"/>
    <w:rsid w:val="00534ECF"/>
    <w:rsid w:val="00540676"/>
    <w:rsid w:val="0054078A"/>
    <w:rsid w:val="005409A9"/>
    <w:rsid w:val="00540FC7"/>
    <w:rsid w:val="005428A6"/>
    <w:rsid w:val="0054330B"/>
    <w:rsid w:val="00543617"/>
    <w:rsid w:val="00543D1C"/>
    <w:rsid w:val="00545857"/>
    <w:rsid w:val="005507B6"/>
    <w:rsid w:val="005547A4"/>
    <w:rsid w:val="0055670A"/>
    <w:rsid w:val="00557CD2"/>
    <w:rsid w:val="00561B60"/>
    <w:rsid w:val="00561F6A"/>
    <w:rsid w:val="005636F9"/>
    <w:rsid w:val="00564040"/>
    <w:rsid w:val="0056461A"/>
    <w:rsid w:val="0057264C"/>
    <w:rsid w:val="00574051"/>
    <w:rsid w:val="00574618"/>
    <w:rsid w:val="005750C3"/>
    <w:rsid w:val="005764AE"/>
    <w:rsid w:val="005767B5"/>
    <w:rsid w:val="00581B3D"/>
    <w:rsid w:val="0058313B"/>
    <w:rsid w:val="005834BD"/>
    <w:rsid w:val="0058461B"/>
    <w:rsid w:val="005854D5"/>
    <w:rsid w:val="00587C83"/>
    <w:rsid w:val="00590397"/>
    <w:rsid w:val="00591B5A"/>
    <w:rsid w:val="00591FEA"/>
    <w:rsid w:val="00593428"/>
    <w:rsid w:val="005941DF"/>
    <w:rsid w:val="00596002"/>
    <w:rsid w:val="0059627F"/>
    <w:rsid w:val="0059679A"/>
    <w:rsid w:val="005A14E6"/>
    <w:rsid w:val="005A20B1"/>
    <w:rsid w:val="005A43BD"/>
    <w:rsid w:val="005A63C9"/>
    <w:rsid w:val="005B0F11"/>
    <w:rsid w:val="005B1C52"/>
    <w:rsid w:val="005B3F80"/>
    <w:rsid w:val="005B40E1"/>
    <w:rsid w:val="005B4A10"/>
    <w:rsid w:val="005B7C91"/>
    <w:rsid w:val="005C0C8C"/>
    <w:rsid w:val="005C2F2D"/>
    <w:rsid w:val="005C3139"/>
    <w:rsid w:val="005C4305"/>
    <w:rsid w:val="005C5D5A"/>
    <w:rsid w:val="005C7097"/>
    <w:rsid w:val="005C75EE"/>
    <w:rsid w:val="005D137C"/>
    <w:rsid w:val="005D1A9A"/>
    <w:rsid w:val="005D528C"/>
    <w:rsid w:val="005D7B18"/>
    <w:rsid w:val="005E2B5F"/>
    <w:rsid w:val="005E3BFD"/>
    <w:rsid w:val="005E436D"/>
    <w:rsid w:val="005F11C0"/>
    <w:rsid w:val="005F1FE4"/>
    <w:rsid w:val="005F23A3"/>
    <w:rsid w:val="005F4375"/>
    <w:rsid w:val="005F4E5A"/>
    <w:rsid w:val="005F523E"/>
    <w:rsid w:val="005F53C7"/>
    <w:rsid w:val="006001EC"/>
    <w:rsid w:val="006008DC"/>
    <w:rsid w:val="00601F22"/>
    <w:rsid w:val="00603B56"/>
    <w:rsid w:val="006041F0"/>
    <w:rsid w:val="00604BBE"/>
    <w:rsid w:val="006074D7"/>
    <w:rsid w:val="00615EBA"/>
    <w:rsid w:val="006163E7"/>
    <w:rsid w:val="006206B6"/>
    <w:rsid w:val="006207B6"/>
    <w:rsid w:val="00620BCC"/>
    <w:rsid w:val="006244B6"/>
    <w:rsid w:val="00624BFB"/>
    <w:rsid w:val="006250E1"/>
    <w:rsid w:val="00626431"/>
    <w:rsid w:val="006268E6"/>
    <w:rsid w:val="006275BD"/>
    <w:rsid w:val="00630E8A"/>
    <w:rsid w:val="00631D12"/>
    <w:rsid w:val="00631E50"/>
    <w:rsid w:val="00632DF8"/>
    <w:rsid w:val="00633F7B"/>
    <w:rsid w:val="0063482D"/>
    <w:rsid w:val="00637907"/>
    <w:rsid w:val="0064076C"/>
    <w:rsid w:val="0064131D"/>
    <w:rsid w:val="00641967"/>
    <w:rsid w:val="006446D9"/>
    <w:rsid w:val="00646820"/>
    <w:rsid w:val="00647E41"/>
    <w:rsid w:val="006503C8"/>
    <w:rsid w:val="00652EDA"/>
    <w:rsid w:val="006534E1"/>
    <w:rsid w:val="00653A61"/>
    <w:rsid w:val="00653C6D"/>
    <w:rsid w:val="00654971"/>
    <w:rsid w:val="00654C14"/>
    <w:rsid w:val="00654EDC"/>
    <w:rsid w:val="00655DF5"/>
    <w:rsid w:val="00660DA3"/>
    <w:rsid w:val="0066211F"/>
    <w:rsid w:val="00662472"/>
    <w:rsid w:val="00662593"/>
    <w:rsid w:val="00662C8E"/>
    <w:rsid w:val="00673005"/>
    <w:rsid w:val="00674FBC"/>
    <w:rsid w:val="006768D4"/>
    <w:rsid w:val="00676DB4"/>
    <w:rsid w:val="00676E0C"/>
    <w:rsid w:val="0067755D"/>
    <w:rsid w:val="006806C2"/>
    <w:rsid w:val="00681041"/>
    <w:rsid w:val="006814A3"/>
    <w:rsid w:val="00681FF3"/>
    <w:rsid w:val="00682416"/>
    <w:rsid w:val="00682F58"/>
    <w:rsid w:val="00684C18"/>
    <w:rsid w:val="00684C68"/>
    <w:rsid w:val="00687A35"/>
    <w:rsid w:val="00690935"/>
    <w:rsid w:val="006909C0"/>
    <w:rsid w:val="00690AAF"/>
    <w:rsid w:val="00691C58"/>
    <w:rsid w:val="006930CE"/>
    <w:rsid w:val="006934AC"/>
    <w:rsid w:val="00693AB6"/>
    <w:rsid w:val="00695392"/>
    <w:rsid w:val="00696AF5"/>
    <w:rsid w:val="006976EF"/>
    <w:rsid w:val="006976F6"/>
    <w:rsid w:val="0069775F"/>
    <w:rsid w:val="006A15AC"/>
    <w:rsid w:val="006A1E72"/>
    <w:rsid w:val="006A3CE8"/>
    <w:rsid w:val="006A51E4"/>
    <w:rsid w:val="006A53A1"/>
    <w:rsid w:val="006A543B"/>
    <w:rsid w:val="006A5A7F"/>
    <w:rsid w:val="006A608A"/>
    <w:rsid w:val="006B4BE8"/>
    <w:rsid w:val="006C00DA"/>
    <w:rsid w:val="006C5C0A"/>
    <w:rsid w:val="006C650A"/>
    <w:rsid w:val="006C66A9"/>
    <w:rsid w:val="006D0E76"/>
    <w:rsid w:val="006D181B"/>
    <w:rsid w:val="006D4A7A"/>
    <w:rsid w:val="006E43BC"/>
    <w:rsid w:val="006E457A"/>
    <w:rsid w:val="006E4AE6"/>
    <w:rsid w:val="006E5D5C"/>
    <w:rsid w:val="006E6426"/>
    <w:rsid w:val="006E64B0"/>
    <w:rsid w:val="006F28E2"/>
    <w:rsid w:val="006F2B5D"/>
    <w:rsid w:val="006F39E4"/>
    <w:rsid w:val="006F4972"/>
    <w:rsid w:val="006F6113"/>
    <w:rsid w:val="007023ED"/>
    <w:rsid w:val="007034E4"/>
    <w:rsid w:val="00704457"/>
    <w:rsid w:val="0070449D"/>
    <w:rsid w:val="007058D9"/>
    <w:rsid w:val="00707127"/>
    <w:rsid w:val="00711785"/>
    <w:rsid w:val="00712602"/>
    <w:rsid w:val="00713918"/>
    <w:rsid w:val="007165EB"/>
    <w:rsid w:val="00722019"/>
    <w:rsid w:val="00722A55"/>
    <w:rsid w:val="007261F7"/>
    <w:rsid w:val="00726C77"/>
    <w:rsid w:val="00727088"/>
    <w:rsid w:val="007333D3"/>
    <w:rsid w:val="00734B55"/>
    <w:rsid w:val="00737D0E"/>
    <w:rsid w:val="007413B0"/>
    <w:rsid w:val="00741F62"/>
    <w:rsid w:val="00743824"/>
    <w:rsid w:val="007479BB"/>
    <w:rsid w:val="00750118"/>
    <w:rsid w:val="00750B3D"/>
    <w:rsid w:val="007510AF"/>
    <w:rsid w:val="00752151"/>
    <w:rsid w:val="007522E2"/>
    <w:rsid w:val="0075384D"/>
    <w:rsid w:val="00753F42"/>
    <w:rsid w:val="00754F0F"/>
    <w:rsid w:val="007555CE"/>
    <w:rsid w:val="00755DD0"/>
    <w:rsid w:val="00756153"/>
    <w:rsid w:val="00756403"/>
    <w:rsid w:val="0075779E"/>
    <w:rsid w:val="0076014C"/>
    <w:rsid w:val="007604D9"/>
    <w:rsid w:val="007627B6"/>
    <w:rsid w:val="00766728"/>
    <w:rsid w:val="007701FC"/>
    <w:rsid w:val="0077038C"/>
    <w:rsid w:val="00772BC3"/>
    <w:rsid w:val="0077356F"/>
    <w:rsid w:val="007741D3"/>
    <w:rsid w:val="00774719"/>
    <w:rsid w:val="0077478E"/>
    <w:rsid w:val="007773D2"/>
    <w:rsid w:val="0078177F"/>
    <w:rsid w:val="00783484"/>
    <w:rsid w:val="00783A91"/>
    <w:rsid w:val="00783B98"/>
    <w:rsid w:val="00787BAF"/>
    <w:rsid w:val="00791A4E"/>
    <w:rsid w:val="00792C72"/>
    <w:rsid w:val="00792DC9"/>
    <w:rsid w:val="00793B25"/>
    <w:rsid w:val="007940C4"/>
    <w:rsid w:val="0079413E"/>
    <w:rsid w:val="00795C14"/>
    <w:rsid w:val="0079600E"/>
    <w:rsid w:val="007A12A9"/>
    <w:rsid w:val="007A23A9"/>
    <w:rsid w:val="007A2D12"/>
    <w:rsid w:val="007B0927"/>
    <w:rsid w:val="007B1F53"/>
    <w:rsid w:val="007B398A"/>
    <w:rsid w:val="007B599D"/>
    <w:rsid w:val="007B7631"/>
    <w:rsid w:val="007B7D13"/>
    <w:rsid w:val="007C1BF4"/>
    <w:rsid w:val="007C3314"/>
    <w:rsid w:val="007C6CD2"/>
    <w:rsid w:val="007C746B"/>
    <w:rsid w:val="007C776D"/>
    <w:rsid w:val="007C7ACA"/>
    <w:rsid w:val="007D26EF"/>
    <w:rsid w:val="007D36CB"/>
    <w:rsid w:val="007D43E5"/>
    <w:rsid w:val="007D4702"/>
    <w:rsid w:val="007D5697"/>
    <w:rsid w:val="007D64B6"/>
    <w:rsid w:val="007D66D6"/>
    <w:rsid w:val="007D6956"/>
    <w:rsid w:val="007D7789"/>
    <w:rsid w:val="007E0AFE"/>
    <w:rsid w:val="007E5221"/>
    <w:rsid w:val="007E6901"/>
    <w:rsid w:val="007E71A2"/>
    <w:rsid w:val="007E7E51"/>
    <w:rsid w:val="007E7ECB"/>
    <w:rsid w:val="007F0353"/>
    <w:rsid w:val="007F0FAA"/>
    <w:rsid w:val="007F0FE7"/>
    <w:rsid w:val="007F14BE"/>
    <w:rsid w:val="007F1901"/>
    <w:rsid w:val="007F2E6D"/>
    <w:rsid w:val="007F367F"/>
    <w:rsid w:val="007F36DF"/>
    <w:rsid w:val="007F3A6D"/>
    <w:rsid w:val="008014F1"/>
    <w:rsid w:val="00801E66"/>
    <w:rsid w:val="00802BC6"/>
    <w:rsid w:val="00805174"/>
    <w:rsid w:val="00806731"/>
    <w:rsid w:val="0080674A"/>
    <w:rsid w:val="008076B1"/>
    <w:rsid w:val="00813A43"/>
    <w:rsid w:val="00815927"/>
    <w:rsid w:val="00817ADB"/>
    <w:rsid w:val="00817AF0"/>
    <w:rsid w:val="00822735"/>
    <w:rsid w:val="00825244"/>
    <w:rsid w:val="008256BC"/>
    <w:rsid w:val="00831BF4"/>
    <w:rsid w:val="0083296D"/>
    <w:rsid w:val="00832EE4"/>
    <w:rsid w:val="0083549F"/>
    <w:rsid w:val="00835E2A"/>
    <w:rsid w:val="008368B0"/>
    <w:rsid w:val="008370E9"/>
    <w:rsid w:val="00837EF3"/>
    <w:rsid w:val="00840290"/>
    <w:rsid w:val="0084153B"/>
    <w:rsid w:val="00841F77"/>
    <w:rsid w:val="0084263A"/>
    <w:rsid w:val="00844D77"/>
    <w:rsid w:val="00844F0E"/>
    <w:rsid w:val="00845B5C"/>
    <w:rsid w:val="00846723"/>
    <w:rsid w:val="00850E04"/>
    <w:rsid w:val="008539B2"/>
    <w:rsid w:val="00855452"/>
    <w:rsid w:val="00857BC9"/>
    <w:rsid w:val="00862943"/>
    <w:rsid w:val="00872814"/>
    <w:rsid w:val="00872AEB"/>
    <w:rsid w:val="0088124E"/>
    <w:rsid w:val="0089226B"/>
    <w:rsid w:val="00893F63"/>
    <w:rsid w:val="00895F93"/>
    <w:rsid w:val="00896F6E"/>
    <w:rsid w:val="0089741C"/>
    <w:rsid w:val="00897F14"/>
    <w:rsid w:val="00897F26"/>
    <w:rsid w:val="008A11BF"/>
    <w:rsid w:val="008B0051"/>
    <w:rsid w:val="008B2B87"/>
    <w:rsid w:val="008B4AF2"/>
    <w:rsid w:val="008B56BA"/>
    <w:rsid w:val="008B7085"/>
    <w:rsid w:val="008B7888"/>
    <w:rsid w:val="008C05AE"/>
    <w:rsid w:val="008C145B"/>
    <w:rsid w:val="008C186F"/>
    <w:rsid w:val="008C189C"/>
    <w:rsid w:val="008C2582"/>
    <w:rsid w:val="008C33BB"/>
    <w:rsid w:val="008C651D"/>
    <w:rsid w:val="008C715C"/>
    <w:rsid w:val="008D2AC8"/>
    <w:rsid w:val="008D3A1D"/>
    <w:rsid w:val="008D5F44"/>
    <w:rsid w:val="008D5F89"/>
    <w:rsid w:val="008E2137"/>
    <w:rsid w:val="008E2AB9"/>
    <w:rsid w:val="008E3966"/>
    <w:rsid w:val="008E3A10"/>
    <w:rsid w:val="008E4B3B"/>
    <w:rsid w:val="008F1A67"/>
    <w:rsid w:val="008F23F2"/>
    <w:rsid w:val="008F5B45"/>
    <w:rsid w:val="00900466"/>
    <w:rsid w:val="00900D3C"/>
    <w:rsid w:val="00900E49"/>
    <w:rsid w:val="0090215F"/>
    <w:rsid w:val="0090241D"/>
    <w:rsid w:val="009048AC"/>
    <w:rsid w:val="009055B2"/>
    <w:rsid w:val="00905997"/>
    <w:rsid w:val="00910EAD"/>
    <w:rsid w:val="00915579"/>
    <w:rsid w:val="00915DEF"/>
    <w:rsid w:val="00916690"/>
    <w:rsid w:val="00920713"/>
    <w:rsid w:val="00922813"/>
    <w:rsid w:val="00922AF3"/>
    <w:rsid w:val="00925C96"/>
    <w:rsid w:val="00926438"/>
    <w:rsid w:val="00926952"/>
    <w:rsid w:val="00932F6F"/>
    <w:rsid w:val="00935EA6"/>
    <w:rsid w:val="00937880"/>
    <w:rsid w:val="0094100B"/>
    <w:rsid w:val="0094307B"/>
    <w:rsid w:val="009463C2"/>
    <w:rsid w:val="00946656"/>
    <w:rsid w:val="009479C7"/>
    <w:rsid w:val="009507F4"/>
    <w:rsid w:val="00952D57"/>
    <w:rsid w:val="00953E64"/>
    <w:rsid w:val="00954676"/>
    <w:rsid w:val="00955C58"/>
    <w:rsid w:val="00956A11"/>
    <w:rsid w:val="009573A3"/>
    <w:rsid w:val="00960F1C"/>
    <w:rsid w:val="00963446"/>
    <w:rsid w:val="009636EE"/>
    <w:rsid w:val="00963AA1"/>
    <w:rsid w:val="009646B0"/>
    <w:rsid w:val="00964C56"/>
    <w:rsid w:val="009719A3"/>
    <w:rsid w:val="0097513C"/>
    <w:rsid w:val="00975A07"/>
    <w:rsid w:val="00976DCF"/>
    <w:rsid w:val="009775DF"/>
    <w:rsid w:val="00983212"/>
    <w:rsid w:val="0098400E"/>
    <w:rsid w:val="0098646D"/>
    <w:rsid w:val="00990D77"/>
    <w:rsid w:val="0099446A"/>
    <w:rsid w:val="00994F89"/>
    <w:rsid w:val="00997FA9"/>
    <w:rsid w:val="009A1615"/>
    <w:rsid w:val="009A29BF"/>
    <w:rsid w:val="009A315A"/>
    <w:rsid w:val="009A4576"/>
    <w:rsid w:val="009A4CE7"/>
    <w:rsid w:val="009A5971"/>
    <w:rsid w:val="009A5A55"/>
    <w:rsid w:val="009A5BA5"/>
    <w:rsid w:val="009A6839"/>
    <w:rsid w:val="009A6AD5"/>
    <w:rsid w:val="009A77C4"/>
    <w:rsid w:val="009A7D8C"/>
    <w:rsid w:val="009B1427"/>
    <w:rsid w:val="009B457C"/>
    <w:rsid w:val="009B63D2"/>
    <w:rsid w:val="009C25D9"/>
    <w:rsid w:val="009C2B63"/>
    <w:rsid w:val="009C2EF5"/>
    <w:rsid w:val="009D16C6"/>
    <w:rsid w:val="009E1888"/>
    <w:rsid w:val="009E28DC"/>
    <w:rsid w:val="009E304D"/>
    <w:rsid w:val="009E56A0"/>
    <w:rsid w:val="009F0FA5"/>
    <w:rsid w:val="009F1F13"/>
    <w:rsid w:val="009F3787"/>
    <w:rsid w:val="009F379D"/>
    <w:rsid w:val="009F71BA"/>
    <w:rsid w:val="009F786C"/>
    <w:rsid w:val="00A0076E"/>
    <w:rsid w:val="00A01BE5"/>
    <w:rsid w:val="00A04C4B"/>
    <w:rsid w:val="00A06B07"/>
    <w:rsid w:val="00A06DC6"/>
    <w:rsid w:val="00A06E64"/>
    <w:rsid w:val="00A0753F"/>
    <w:rsid w:val="00A07979"/>
    <w:rsid w:val="00A10259"/>
    <w:rsid w:val="00A11264"/>
    <w:rsid w:val="00A1162D"/>
    <w:rsid w:val="00A13080"/>
    <w:rsid w:val="00A1338F"/>
    <w:rsid w:val="00A13967"/>
    <w:rsid w:val="00A1542F"/>
    <w:rsid w:val="00A15BC1"/>
    <w:rsid w:val="00A16892"/>
    <w:rsid w:val="00A16C7D"/>
    <w:rsid w:val="00A20024"/>
    <w:rsid w:val="00A22355"/>
    <w:rsid w:val="00A22728"/>
    <w:rsid w:val="00A25D6D"/>
    <w:rsid w:val="00A279E6"/>
    <w:rsid w:val="00A350A3"/>
    <w:rsid w:val="00A36479"/>
    <w:rsid w:val="00A43ED8"/>
    <w:rsid w:val="00A43FC9"/>
    <w:rsid w:val="00A548B3"/>
    <w:rsid w:val="00A54CD2"/>
    <w:rsid w:val="00A55554"/>
    <w:rsid w:val="00A57CC7"/>
    <w:rsid w:val="00A61A8B"/>
    <w:rsid w:val="00A65503"/>
    <w:rsid w:val="00A669A6"/>
    <w:rsid w:val="00A6729A"/>
    <w:rsid w:val="00A7124C"/>
    <w:rsid w:val="00A73D94"/>
    <w:rsid w:val="00A746FC"/>
    <w:rsid w:val="00A75B6F"/>
    <w:rsid w:val="00A83FEB"/>
    <w:rsid w:val="00A8477A"/>
    <w:rsid w:val="00A84907"/>
    <w:rsid w:val="00A85C88"/>
    <w:rsid w:val="00A911AB"/>
    <w:rsid w:val="00A9259B"/>
    <w:rsid w:val="00A94CEF"/>
    <w:rsid w:val="00A95835"/>
    <w:rsid w:val="00A960E9"/>
    <w:rsid w:val="00AA008A"/>
    <w:rsid w:val="00AA0AD2"/>
    <w:rsid w:val="00AA33D7"/>
    <w:rsid w:val="00AA37B5"/>
    <w:rsid w:val="00AA40AC"/>
    <w:rsid w:val="00AA6304"/>
    <w:rsid w:val="00AA6D49"/>
    <w:rsid w:val="00AB0549"/>
    <w:rsid w:val="00AB0F3D"/>
    <w:rsid w:val="00AB1981"/>
    <w:rsid w:val="00AB1C59"/>
    <w:rsid w:val="00AB1F18"/>
    <w:rsid w:val="00AB2711"/>
    <w:rsid w:val="00AB2D56"/>
    <w:rsid w:val="00AB2F6E"/>
    <w:rsid w:val="00AB36FD"/>
    <w:rsid w:val="00AB425B"/>
    <w:rsid w:val="00AB43F7"/>
    <w:rsid w:val="00AB482C"/>
    <w:rsid w:val="00AB6102"/>
    <w:rsid w:val="00AC33A6"/>
    <w:rsid w:val="00AC35F3"/>
    <w:rsid w:val="00AC39FC"/>
    <w:rsid w:val="00AC66F6"/>
    <w:rsid w:val="00AD22A2"/>
    <w:rsid w:val="00AD31F0"/>
    <w:rsid w:val="00AD51E1"/>
    <w:rsid w:val="00AD57BF"/>
    <w:rsid w:val="00AD608C"/>
    <w:rsid w:val="00AD6936"/>
    <w:rsid w:val="00AD7210"/>
    <w:rsid w:val="00AE1154"/>
    <w:rsid w:val="00AE237E"/>
    <w:rsid w:val="00AE247D"/>
    <w:rsid w:val="00AE3480"/>
    <w:rsid w:val="00AE36CB"/>
    <w:rsid w:val="00AE49C5"/>
    <w:rsid w:val="00AE4D2C"/>
    <w:rsid w:val="00AE5B72"/>
    <w:rsid w:val="00AE5B98"/>
    <w:rsid w:val="00AE6954"/>
    <w:rsid w:val="00AF0A22"/>
    <w:rsid w:val="00AF0EA9"/>
    <w:rsid w:val="00AF1CBF"/>
    <w:rsid w:val="00AF39B5"/>
    <w:rsid w:val="00B01E70"/>
    <w:rsid w:val="00B028AF"/>
    <w:rsid w:val="00B044D8"/>
    <w:rsid w:val="00B048DC"/>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34"/>
    <w:rsid w:val="00B3400D"/>
    <w:rsid w:val="00B359FB"/>
    <w:rsid w:val="00B35C64"/>
    <w:rsid w:val="00B36613"/>
    <w:rsid w:val="00B36F1B"/>
    <w:rsid w:val="00B41978"/>
    <w:rsid w:val="00B41FD6"/>
    <w:rsid w:val="00B460B4"/>
    <w:rsid w:val="00B47334"/>
    <w:rsid w:val="00B503C8"/>
    <w:rsid w:val="00B53C1F"/>
    <w:rsid w:val="00B563D4"/>
    <w:rsid w:val="00B6127A"/>
    <w:rsid w:val="00B633FB"/>
    <w:rsid w:val="00B649AA"/>
    <w:rsid w:val="00B65207"/>
    <w:rsid w:val="00B70B6C"/>
    <w:rsid w:val="00B71142"/>
    <w:rsid w:val="00B726B2"/>
    <w:rsid w:val="00B72928"/>
    <w:rsid w:val="00B778D5"/>
    <w:rsid w:val="00B8125F"/>
    <w:rsid w:val="00B819E1"/>
    <w:rsid w:val="00B85E05"/>
    <w:rsid w:val="00B860C9"/>
    <w:rsid w:val="00B92FA4"/>
    <w:rsid w:val="00B9574E"/>
    <w:rsid w:val="00B965AA"/>
    <w:rsid w:val="00B96F0B"/>
    <w:rsid w:val="00BA069E"/>
    <w:rsid w:val="00BA137B"/>
    <w:rsid w:val="00BA213F"/>
    <w:rsid w:val="00BA2243"/>
    <w:rsid w:val="00BA3CB9"/>
    <w:rsid w:val="00BA3E20"/>
    <w:rsid w:val="00BA48E7"/>
    <w:rsid w:val="00BA5315"/>
    <w:rsid w:val="00BB1342"/>
    <w:rsid w:val="00BB3EE7"/>
    <w:rsid w:val="00BB55B7"/>
    <w:rsid w:val="00BB59B3"/>
    <w:rsid w:val="00BB6287"/>
    <w:rsid w:val="00BB6C5C"/>
    <w:rsid w:val="00BC1057"/>
    <w:rsid w:val="00BC5015"/>
    <w:rsid w:val="00BC5344"/>
    <w:rsid w:val="00BC5EDB"/>
    <w:rsid w:val="00BC62DA"/>
    <w:rsid w:val="00BD238E"/>
    <w:rsid w:val="00BD2DEF"/>
    <w:rsid w:val="00BD3905"/>
    <w:rsid w:val="00BD5170"/>
    <w:rsid w:val="00BD6C46"/>
    <w:rsid w:val="00BD6D61"/>
    <w:rsid w:val="00BD705E"/>
    <w:rsid w:val="00BE1AFA"/>
    <w:rsid w:val="00BE2F60"/>
    <w:rsid w:val="00BE4F18"/>
    <w:rsid w:val="00BE6AF8"/>
    <w:rsid w:val="00BE6FC7"/>
    <w:rsid w:val="00BF09E0"/>
    <w:rsid w:val="00BF2187"/>
    <w:rsid w:val="00BF67C7"/>
    <w:rsid w:val="00BF76B5"/>
    <w:rsid w:val="00C016ED"/>
    <w:rsid w:val="00C035DA"/>
    <w:rsid w:val="00C07430"/>
    <w:rsid w:val="00C07965"/>
    <w:rsid w:val="00C101DE"/>
    <w:rsid w:val="00C104B5"/>
    <w:rsid w:val="00C13F4E"/>
    <w:rsid w:val="00C15B28"/>
    <w:rsid w:val="00C15DC1"/>
    <w:rsid w:val="00C20F1D"/>
    <w:rsid w:val="00C24641"/>
    <w:rsid w:val="00C252FC"/>
    <w:rsid w:val="00C26561"/>
    <w:rsid w:val="00C273B9"/>
    <w:rsid w:val="00C32E87"/>
    <w:rsid w:val="00C34549"/>
    <w:rsid w:val="00C3490A"/>
    <w:rsid w:val="00C34AB4"/>
    <w:rsid w:val="00C36CEA"/>
    <w:rsid w:val="00C371AB"/>
    <w:rsid w:val="00C44B43"/>
    <w:rsid w:val="00C4514F"/>
    <w:rsid w:val="00C458E9"/>
    <w:rsid w:val="00C46E88"/>
    <w:rsid w:val="00C46EDE"/>
    <w:rsid w:val="00C509D9"/>
    <w:rsid w:val="00C54500"/>
    <w:rsid w:val="00C54553"/>
    <w:rsid w:val="00C61700"/>
    <w:rsid w:val="00C63A86"/>
    <w:rsid w:val="00C64DC1"/>
    <w:rsid w:val="00C7005B"/>
    <w:rsid w:val="00C71741"/>
    <w:rsid w:val="00C737EA"/>
    <w:rsid w:val="00C73DCD"/>
    <w:rsid w:val="00C74DCB"/>
    <w:rsid w:val="00C80888"/>
    <w:rsid w:val="00C80FD4"/>
    <w:rsid w:val="00C87F35"/>
    <w:rsid w:val="00C90C87"/>
    <w:rsid w:val="00C930B1"/>
    <w:rsid w:val="00C9332E"/>
    <w:rsid w:val="00C948F0"/>
    <w:rsid w:val="00C95B8F"/>
    <w:rsid w:val="00C96C83"/>
    <w:rsid w:val="00C97783"/>
    <w:rsid w:val="00CA063D"/>
    <w:rsid w:val="00CA096E"/>
    <w:rsid w:val="00CA4132"/>
    <w:rsid w:val="00CA642E"/>
    <w:rsid w:val="00CB0249"/>
    <w:rsid w:val="00CB322C"/>
    <w:rsid w:val="00CB3C17"/>
    <w:rsid w:val="00CB4557"/>
    <w:rsid w:val="00CB55D3"/>
    <w:rsid w:val="00CB72D6"/>
    <w:rsid w:val="00CB7B00"/>
    <w:rsid w:val="00CC10C7"/>
    <w:rsid w:val="00CC22AD"/>
    <w:rsid w:val="00CC505B"/>
    <w:rsid w:val="00CC610B"/>
    <w:rsid w:val="00CC7A31"/>
    <w:rsid w:val="00CD0335"/>
    <w:rsid w:val="00CD4136"/>
    <w:rsid w:val="00CD4183"/>
    <w:rsid w:val="00CD6FBB"/>
    <w:rsid w:val="00CE265D"/>
    <w:rsid w:val="00CF11FB"/>
    <w:rsid w:val="00CF130C"/>
    <w:rsid w:val="00CF2FD7"/>
    <w:rsid w:val="00CF36CC"/>
    <w:rsid w:val="00CF58A5"/>
    <w:rsid w:val="00CF60A4"/>
    <w:rsid w:val="00CF6FCD"/>
    <w:rsid w:val="00CF75A9"/>
    <w:rsid w:val="00D02143"/>
    <w:rsid w:val="00D053CD"/>
    <w:rsid w:val="00D06A84"/>
    <w:rsid w:val="00D06BC2"/>
    <w:rsid w:val="00D0724E"/>
    <w:rsid w:val="00D07458"/>
    <w:rsid w:val="00D12AE6"/>
    <w:rsid w:val="00D14B62"/>
    <w:rsid w:val="00D16953"/>
    <w:rsid w:val="00D16D91"/>
    <w:rsid w:val="00D17A8F"/>
    <w:rsid w:val="00D24BD7"/>
    <w:rsid w:val="00D27CD5"/>
    <w:rsid w:val="00D30B36"/>
    <w:rsid w:val="00D35092"/>
    <w:rsid w:val="00D37494"/>
    <w:rsid w:val="00D37AE2"/>
    <w:rsid w:val="00D4102B"/>
    <w:rsid w:val="00D41D92"/>
    <w:rsid w:val="00D438BB"/>
    <w:rsid w:val="00D46011"/>
    <w:rsid w:val="00D46095"/>
    <w:rsid w:val="00D47511"/>
    <w:rsid w:val="00D51241"/>
    <w:rsid w:val="00D51270"/>
    <w:rsid w:val="00D515C3"/>
    <w:rsid w:val="00D55D67"/>
    <w:rsid w:val="00D60836"/>
    <w:rsid w:val="00D6220C"/>
    <w:rsid w:val="00D626FE"/>
    <w:rsid w:val="00D70176"/>
    <w:rsid w:val="00D705AD"/>
    <w:rsid w:val="00D70D1D"/>
    <w:rsid w:val="00D71EA0"/>
    <w:rsid w:val="00D722DA"/>
    <w:rsid w:val="00D72BD0"/>
    <w:rsid w:val="00D752DA"/>
    <w:rsid w:val="00D75752"/>
    <w:rsid w:val="00D757F2"/>
    <w:rsid w:val="00D76786"/>
    <w:rsid w:val="00D81DCC"/>
    <w:rsid w:val="00D8267B"/>
    <w:rsid w:val="00D84BCD"/>
    <w:rsid w:val="00D85549"/>
    <w:rsid w:val="00D85E38"/>
    <w:rsid w:val="00D9014D"/>
    <w:rsid w:val="00D95AF5"/>
    <w:rsid w:val="00D96AD2"/>
    <w:rsid w:val="00D96F45"/>
    <w:rsid w:val="00DA0BC5"/>
    <w:rsid w:val="00DA227A"/>
    <w:rsid w:val="00DA4C53"/>
    <w:rsid w:val="00DA5079"/>
    <w:rsid w:val="00DB107E"/>
    <w:rsid w:val="00DB359A"/>
    <w:rsid w:val="00DB4FD7"/>
    <w:rsid w:val="00DC19FE"/>
    <w:rsid w:val="00DC1FB8"/>
    <w:rsid w:val="00DC30D1"/>
    <w:rsid w:val="00DC399C"/>
    <w:rsid w:val="00DC4503"/>
    <w:rsid w:val="00DC7F59"/>
    <w:rsid w:val="00DD0029"/>
    <w:rsid w:val="00DD26D6"/>
    <w:rsid w:val="00DD3D5A"/>
    <w:rsid w:val="00DD5177"/>
    <w:rsid w:val="00DD61C0"/>
    <w:rsid w:val="00DE1882"/>
    <w:rsid w:val="00DE1A02"/>
    <w:rsid w:val="00DE2012"/>
    <w:rsid w:val="00DE20DE"/>
    <w:rsid w:val="00DE54A8"/>
    <w:rsid w:val="00DE6FC8"/>
    <w:rsid w:val="00DF0C27"/>
    <w:rsid w:val="00DF11B4"/>
    <w:rsid w:val="00E008CE"/>
    <w:rsid w:val="00E01924"/>
    <w:rsid w:val="00E01FF2"/>
    <w:rsid w:val="00E03CE3"/>
    <w:rsid w:val="00E05C85"/>
    <w:rsid w:val="00E07E59"/>
    <w:rsid w:val="00E12500"/>
    <w:rsid w:val="00E16D81"/>
    <w:rsid w:val="00E17027"/>
    <w:rsid w:val="00E200A0"/>
    <w:rsid w:val="00E21E25"/>
    <w:rsid w:val="00E25248"/>
    <w:rsid w:val="00E25C7C"/>
    <w:rsid w:val="00E2679B"/>
    <w:rsid w:val="00E30FCE"/>
    <w:rsid w:val="00E32494"/>
    <w:rsid w:val="00E3347E"/>
    <w:rsid w:val="00E352FF"/>
    <w:rsid w:val="00E402B0"/>
    <w:rsid w:val="00E40756"/>
    <w:rsid w:val="00E42353"/>
    <w:rsid w:val="00E44424"/>
    <w:rsid w:val="00E44601"/>
    <w:rsid w:val="00E46D1D"/>
    <w:rsid w:val="00E46F08"/>
    <w:rsid w:val="00E50074"/>
    <w:rsid w:val="00E5028A"/>
    <w:rsid w:val="00E50FDA"/>
    <w:rsid w:val="00E538D4"/>
    <w:rsid w:val="00E53F00"/>
    <w:rsid w:val="00E544CB"/>
    <w:rsid w:val="00E55558"/>
    <w:rsid w:val="00E56DBB"/>
    <w:rsid w:val="00E60947"/>
    <w:rsid w:val="00E63BA5"/>
    <w:rsid w:val="00E63C06"/>
    <w:rsid w:val="00E6424D"/>
    <w:rsid w:val="00E6484A"/>
    <w:rsid w:val="00E65BFC"/>
    <w:rsid w:val="00E66295"/>
    <w:rsid w:val="00E67044"/>
    <w:rsid w:val="00E70A38"/>
    <w:rsid w:val="00E72095"/>
    <w:rsid w:val="00E7287F"/>
    <w:rsid w:val="00E72959"/>
    <w:rsid w:val="00E744BC"/>
    <w:rsid w:val="00E74823"/>
    <w:rsid w:val="00E819A0"/>
    <w:rsid w:val="00E82778"/>
    <w:rsid w:val="00E83EBF"/>
    <w:rsid w:val="00E853DB"/>
    <w:rsid w:val="00E853FC"/>
    <w:rsid w:val="00E858EC"/>
    <w:rsid w:val="00E86A90"/>
    <w:rsid w:val="00E87DE9"/>
    <w:rsid w:val="00E90C8E"/>
    <w:rsid w:val="00E95D4A"/>
    <w:rsid w:val="00E97668"/>
    <w:rsid w:val="00E97969"/>
    <w:rsid w:val="00EA169D"/>
    <w:rsid w:val="00EA2EDA"/>
    <w:rsid w:val="00EA3B33"/>
    <w:rsid w:val="00EA4569"/>
    <w:rsid w:val="00EA4A8A"/>
    <w:rsid w:val="00EA522F"/>
    <w:rsid w:val="00EA6515"/>
    <w:rsid w:val="00EB06BB"/>
    <w:rsid w:val="00EB0CAB"/>
    <w:rsid w:val="00EB11C2"/>
    <w:rsid w:val="00EB1E2C"/>
    <w:rsid w:val="00EB3286"/>
    <w:rsid w:val="00EB6865"/>
    <w:rsid w:val="00EC396F"/>
    <w:rsid w:val="00ED00D8"/>
    <w:rsid w:val="00ED211A"/>
    <w:rsid w:val="00ED34D6"/>
    <w:rsid w:val="00ED3B50"/>
    <w:rsid w:val="00ED40F7"/>
    <w:rsid w:val="00ED72AA"/>
    <w:rsid w:val="00EE3886"/>
    <w:rsid w:val="00EE39D1"/>
    <w:rsid w:val="00EE5711"/>
    <w:rsid w:val="00EE5E10"/>
    <w:rsid w:val="00EE5F2D"/>
    <w:rsid w:val="00EE78F1"/>
    <w:rsid w:val="00EF1281"/>
    <w:rsid w:val="00EF2DAA"/>
    <w:rsid w:val="00EF3343"/>
    <w:rsid w:val="00EF5CD4"/>
    <w:rsid w:val="00EF6197"/>
    <w:rsid w:val="00EF7175"/>
    <w:rsid w:val="00F001B5"/>
    <w:rsid w:val="00F00C69"/>
    <w:rsid w:val="00F06FF8"/>
    <w:rsid w:val="00F0766A"/>
    <w:rsid w:val="00F07D3C"/>
    <w:rsid w:val="00F114F8"/>
    <w:rsid w:val="00F11F37"/>
    <w:rsid w:val="00F1338D"/>
    <w:rsid w:val="00F21ADD"/>
    <w:rsid w:val="00F24D37"/>
    <w:rsid w:val="00F259F1"/>
    <w:rsid w:val="00F2654A"/>
    <w:rsid w:val="00F26B1B"/>
    <w:rsid w:val="00F3057C"/>
    <w:rsid w:val="00F3220C"/>
    <w:rsid w:val="00F33C54"/>
    <w:rsid w:val="00F341F9"/>
    <w:rsid w:val="00F353B6"/>
    <w:rsid w:val="00F35A8F"/>
    <w:rsid w:val="00F4164D"/>
    <w:rsid w:val="00F41677"/>
    <w:rsid w:val="00F433AB"/>
    <w:rsid w:val="00F438CF"/>
    <w:rsid w:val="00F4503E"/>
    <w:rsid w:val="00F45445"/>
    <w:rsid w:val="00F45517"/>
    <w:rsid w:val="00F4614E"/>
    <w:rsid w:val="00F464B7"/>
    <w:rsid w:val="00F46FD8"/>
    <w:rsid w:val="00F5354A"/>
    <w:rsid w:val="00F53553"/>
    <w:rsid w:val="00F54134"/>
    <w:rsid w:val="00F55DF6"/>
    <w:rsid w:val="00F5733E"/>
    <w:rsid w:val="00F6115C"/>
    <w:rsid w:val="00F6221D"/>
    <w:rsid w:val="00F630B7"/>
    <w:rsid w:val="00F63B60"/>
    <w:rsid w:val="00F6555D"/>
    <w:rsid w:val="00F7047C"/>
    <w:rsid w:val="00F7094E"/>
    <w:rsid w:val="00F71628"/>
    <w:rsid w:val="00F71E3E"/>
    <w:rsid w:val="00F71E79"/>
    <w:rsid w:val="00F71FA3"/>
    <w:rsid w:val="00F72AB8"/>
    <w:rsid w:val="00F72E22"/>
    <w:rsid w:val="00F77769"/>
    <w:rsid w:val="00F77C7F"/>
    <w:rsid w:val="00F81C08"/>
    <w:rsid w:val="00F82A3C"/>
    <w:rsid w:val="00F83E33"/>
    <w:rsid w:val="00F849EC"/>
    <w:rsid w:val="00F863C3"/>
    <w:rsid w:val="00F86565"/>
    <w:rsid w:val="00F9047F"/>
    <w:rsid w:val="00F907F3"/>
    <w:rsid w:val="00F93097"/>
    <w:rsid w:val="00F93A8C"/>
    <w:rsid w:val="00F94DC5"/>
    <w:rsid w:val="00F969AF"/>
    <w:rsid w:val="00FA02DA"/>
    <w:rsid w:val="00FA04E1"/>
    <w:rsid w:val="00FA1133"/>
    <w:rsid w:val="00FA246D"/>
    <w:rsid w:val="00FB07CF"/>
    <w:rsid w:val="00FB1733"/>
    <w:rsid w:val="00FB1DD5"/>
    <w:rsid w:val="00FB1EF5"/>
    <w:rsid w:val="00FB3FB4"/>
    <w:rsid w:val="00FB6F1F"/>
    <w:rsid w:val="00FB7F33"/>
    <w:rsid w:val="00FC07AB"/>
    <w:rsid w:val="00FC25BF"/>
    <w:rsid w:val="00FC31BD"/>
    <w:rsid w:val="00FC3718"/>
    <w:rsid w:val="00FD258E"/>
    <w:rsid w:val="00FD662D"/>
    <w:rsid w:val="00FE224B"/>
    <w:rsid w:val="00FE2D0E"/>
    <w:rsid w:val="00FE49D9"/>
    <w:rsid w:val="00FE6315"/>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ourts.gov/LegacyPDFS/rules/comments/pdf/RequestForPublicComment-EqualRightsAmendment-111725.pdf" TargetMode="External"/><Relationship Id="rId13" Type="http://schemas.openxmlformats.org/officeDocument/2006/relationships/hyperlink" Target="https://www.nycourts.gov/LegacyPDFS/forms/matrimonial/Matrimonial-StatementOfNetWorthForm-Revised%2012.1.25.pdf" TargetMode="External"/><Relationship Id="rId18" Type="http://schemas.openxmlformats.org/officeDocument/2006/relationships/hyperlink" Target="https://ww2.nycourts.gov/divorce/forms.shtml" TargetMode="External"/><Relationship Id="rId3" Type="http://schemas.openxmlformats.org/officeDocument/2006/relationships/settings" Target="settings.xml"/><Relationship Id="rId21" Type="http://schemas.openxmlformats.org/officeDocument/2006/relationships/hyperlink" Target="https://www.nycourts.gov/LegacyPDFS/rules/comments/orders/AdministrativeOrder-CAJ-294-2025-ChildSupportViolationDeadlines-111725..pdf" TargetMode="External"/><Relationship Id="rId7" Type="http://schemas.openxmlformats.org/officeDocument/2006/relationships/hyperlink" Target="https://www.nycourts.gov/ctapps/news/nottobar/nottobar-Amicus112425.pdf" TargetMode="External"/><Relationship Id="rId12" Type="http://schemas.openxmlformats.org/officeDocument/2006/relationships/hyperlink" Target="https://ww2.nycourts.gov/divorce/forms.shtml" TargetMode="External"/><Relationship Id="rId17" Type="http://schemas.openxmlformats.org/officeDocument/2006/relationships/hyperlink" Target="https://ww2.nycourts.gov/divorce/forms.shtml" TargetMode="External"/><Relationship Id="rId2" Type="http://schemas.openxmlformats.org/officeDocument/2006/relationships/styles" Target="styles.xml"/><Relationship Id="rId16" Type="http://schemas.openxmlformats.org/officeDocument/2006/relationships/hyperlink" Target="https://www.nycourts.gov/LegacyPDFS/forms/matrimonial/Equitable%20Distribution%20Worksheet%20eff.%2012.1.25.pdf" TargetMode="External"/><Relationship Id="rId20" Type="http://schemas.openxmlformats.org/officeDocument/2006/relationships/hyperlink" Target="https://www.nycourts.gov/LegacyPDFS/forms/matrimonial/Financial%20Eligibility%20Form%20for%20Assigned%20Counsel%20(UCS%20Form%20Eff.%2012.1.2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courts.gov/LegacyPDFS/rules/comments/orders/AdministrativeOrder-CAJ-283-2025-ContestedMatrimonialActions-100825.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ycourts.gov/LegacyPDFS/forms/matrimonial/Fillable%20Matrimonial-StatementOfNetWorthForm-Eff.%2012.1.25.pdf" TargetMode="External"/><Relationship Id="rId23" Type="http://schemas.openxmlformats.org/officeDocument/2006/relationships/fontTable" Target="fontTable.xml"/><Relationship Id="rId10" Type="http://schemas.openxmlformats.org/officeDocument/2006/relationships/hyperlink" Target="https://www.nycourts.gov/LegacyPDFS/RULES/jointappellate/AO%20Signed%20Letter%20to%20DOS-Administrative%20Order-JointAppDivOrder.pdf" TargetMode="External"/><Relationship Id="rId19" Type="http://schemas.openxmlformats.org/officeDocument/2006/relationships/hyperlink" Target="https://www.nycourts.gov/LegacyPDFS/forms/matrimonial/Financial%20Eligibility%20Form%20for%20Assigned%20Counsel%20(UCS%20Form%20Eff.%2012.1.25).pdf" TargetMode="External"/><Relationship Id="rId4" Type="http://schemas.openxmlformats.org/officeDocument/2006/relationships/webSettings" Target="webSettings.xml"/><Relationship Id="rId9" Type="http://schemas.openxmlformats.org/officeDocument/2006/relationships/hyperlink" Target="https://www.nycourts.gov/LegacyPDFS/rules/comments/pdf/RequestForPublicComment-GenerativeArtificialIntelligence-111725.pdf" TargetMode="External"/><Relationship Id="rId14" Type="http://schemas.openxmlformats.org/officeDocument/2006/relationships/hyperlink" Target="https://www.nycourts.gov/LegacyPDFS/forms/matrimonial/Matrimonial-StatementOfNetWorthForm-Revised%2012.1.2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6885</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2025-11-28T15:20:00Z</cp:lastPrinted>
  <dcterms:created xsi:type="dcterms:W3CDTF">2025-11-28T17:25:00Z</dcterms:created>
  <dcterms:modified xsi:type="dcterms:W3CDTF">2025-11-28T17:25:00Z</dcterms:modified>
</cp:coreProperties>
</file>