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51925111" w:rsidR="00963446" w:rsidRDefault="00784B49" w:rsidP="00963446">
      <w:pPr>
        <w:pStyle w:val="Heading2"/>
        <w:numPr>
          <w:ilvl w:val="0"/>
          <w:numId w:val="0"/>
        </w:numPr>
        <w:rPr>
          <w:b/>
        </w:rPr>
      </w:pPr>
      <w:r>
        <w:rPr>
          <w:b/>
        </w:rPr>
        <w:t xml:space="preserve">NYSBA FAMILY LAW SECTION UPDATE, </w:t>
      </w:r>
      <w:r w:rsidR="007333D3">
        <w:rPr>
          <w:b/>
        </w:rPr>
        <w:t xml:space="preserve">February </w:t>
      </w:r>
      <w:r w:rsidR="00963446">
        <w:rPr>
          <w:b/>
        </w:rPr>
        <w:t>202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1EF04266" w14:textId="77777777" w:rsidR="00E12500" w:rsidRPr="00E12500" w:rsidRDefault="00E12500" w:rsidP="00E12500">
      <w:pPr>
        <w:pStyle w:val="Heading2"/>
        <w:numPr>
          <w:ilvl w:val="0"/>
          <w:numId w:val="0"/>
        </w:numPr>
        <w:jc w:val="both"/>
        <w:rPr>
          <w:b/>
          <w:bCs/>
        </w:rPr>
      </w:pPr>
      <w:r w:rsidRPr="00E12500">
        <w:rPr>
          <w:b/>
          <w:bCs/>
        </w:rPr>
        <w:t>Agreements – Interpretation – DRO Retroactivity – Military Pension</w:t>
      </w:r>
    </w:p>
    <w:p w14:paraId="4400A02B" w14:textId="6A031AF9" w:rsidR="00E12500" w:rsidRDefault="00E12500" w:rsidP="00E12500">
      <w:pPr>
        <w:pStyle w:val="Heading2"/>
        <w:numPr>
          <w:ilvl w:val="0"/>
          <w:numId w:val="0"/>
        </w:numPr>
        <w:jc w:val="both"/>
        <w:rPr>
          <w:b/>
          <w:bCs/>
        </w:rPr>
      </w:pPr>
      <w:r w:rsidRPr="00E12500">
        <w:tab/>
        <w:t xml:space="preserve">In Fernandez v. Fernandez, 2024 Westlaw 186650 (3d Dept. Jan. 18, 2024), the former husband (husband) appealed from an April 2022 Supreme Court order, which granted the former wife (wife) a judgment for arrears representing her share of the husband’s military pension accrued between the date of the commencement of the divorce action on December 11, 2017 and November 2020, when she began receiving payments pursuant to a July 2020 DRO. The parties entered into a separation agreement on July 19, 2019, which was incorporated into a November 2019 judgment of divorce and provided that the wife would receive her </w:t>
      </w:r>
      <w:proofErr w:type="spellStart"/>
      <w:r w:rsidRPr="00E12500">
        <w:rPr>
          <w:u w:val="single"/>
        </w:rPr>
        <w:t>Majauskas</w:t>
      </w:r>
      <w:proofErr w:type="spellEnd"/>
      <w:r w:rsidRPr="00E12500">
        <w:t xml:space="preserve"> share of the husband’s military pension, which was then in pay status. The Third Department modified (3-2 split), holding that the agreement did not expressly grant the wife her share of the pension retroactive to the date of commencement of the divorce action. While the Appellate Division agreed that had Supreme Court distributed the pension after trial, the award to the wife could have been effective upon the December 2017 commencement date of the divorce action, the parties’ agreement did not so provide.</w:t>
      </w:r>
      <w:r>
        <w:t xml:space="preserve"> </w:t>
      </w:r>
      <w:r w:rsidRPr="00E12500">
        <w:t>The Third Department</w:t>
      </w:r>
      <w:bookmarkStart w:id="0" w:name="_Hlk157174033"/>
      <w:r>
        <w:t>:</w:t>
      </w:r>
      <w:r w:rsidRPr="00E12500">
        <w:t xml:space="preserve"> concluded that the wife was entitled to retroactive </w:t>
      </w:r>
      <w:r w:rsidRPr="00E12500">
        <w:lastRenderedPageBreak/>
        <w:t>payments only from July 19, 2019, the date the agreement was signed, until she started receiving payments pursuant to the DRO in November 2020</w:t>
      </w:r>
      <w:r>
        <w:t>;</w:t>
      </w:r>
      <w:r w:rsidRPr="00E12500">
        <w:t xml:space="preserve"> modified the order appealed from</w:t>
      </w:r>
      <w:r>
        <w:t>;</w:t>
      </w:r>
      <w:r w:rsidRPr="00E12500">
        <w:t xml:space="preserve"> and remitted </w:t>
      </w:r>
      <w:r>
        <w:t>“</w:t>
      </w:r>
      <w:r w:rsidRPr="00E12500">
        <w:t>for a</w:t>
      </w:r>
      <w:r>
        <w:t xml:space="preserve"> calculation of the amount due to the wife and for the parties to discuss any relevant tax consequences.”</w:t>
      </w:r>
      <w:bookmarkEnd w:id="0"/>
    </w:p>
    <w:p w14:paraId="0C8680F0" w14:textId="77777777" w:rsidR="0005543C" w:rsidRPr="0005543C" w:rsidRDefault="0005543C" w:rsidP="0005543C">
      <w:pPr>
        <w:pStyle w:val="Heading2"/>
        <w:numPr>
          <w:ilvl w:val="0"/>
          <w:numId w:val="0"/>
        </w:numPr>
        <w:jc w:val="both"/>
        <w:rPr>
          <w:b/>
          <w:bCs/>
        </w:rPr>
      </w:pPr>
      <w:r w:rsidRPr="0005543C">
        <w:rPr>
          <w:b/>
          <w:bCs/>
        </w:rPr>
        <w:t xml:space="preserve">Child Support - Modification – </w:t>
      </w:r>
      <w:r w:rsidRPr="0005543C">
        <w:rPr>
          <w:b/>
          <w:bCs/>
          <w:u w:val="single"/>
        </w:rPr>
        <w:t>Boden</w:t>
      </w:r>
      <w:r w:rsidRPr="0005543C">
        <w:rPr>
          <w:b/>
          <w:bCs/>
        </w:rPr>
        <w:t xml:space="preserve"> Standard Not Met – Dismissed</w:t>
      </w:r>
    </w:p>
    <w:p w14:paraId="2F2B21D2" w14:textId="4EECC46B" w:rsidR="0005543C" w:rsidRDefault="0005543C" w:rsidP="00691C58">
      <w:pPr>
        <w:pStyle w:val="Heading2"/>
        <w:numPr>
          <w:ilvl w:val="0"/>
          <w:numId w:val="0"/>
        </w:numPr>
        <w:jc w:val="both"/>
      </w:pPr>
      <w:r w:rsidRPr="0005543C">
        <w:tab/>
        <w:t>In Matter of Schulman v. Schulman, 2024 Westlaw 253256 (2d Dept. Jan. 24, 2024), the mother appealed from a March 2023 Family Court order denying her objections to an October 2022 Support Magistrate order, which dismissed her August 2022 petition for upward modification of child support determined by an August 2010 judgment of divorce which incorporated but did not merge a settlement agreement.</w:t>
      </w:r>
      <w:r>
        <w:t xml:space="preserve"> </w:t>
      </w:r>
      <w:r w:rsidRPr="0005543C">
        <w:t xml:space="preserve">The Second Department affirmed, holding that the parties’ pre-October 13, 2010 agreement required the mother to meet the burden of proving “an unreasonable and unanticipated change of circumstances,” </w:t>
      </w:r>
      <w:r w:rsidRPr="0005543C">
        <w:rPr>
          <w:u w:val="single"/>
        </w:rPr>
        <w:t>citing</w:t>
      </w:r>
      <w:r w:rsidRPr="0005543C">
        <w:t xml:space="preserve"> </w:t>
      </w:r>
      <w:r w:rsidRPr="0005543C">
        <w:rPr>
          <w:u w:val="single"/>
        </w:rPr>
        <w:t>Matter of Boden v. Boden</w:t>
      </w:r>
      <w:r w:rsidRPr="0005543C">
        <w:t>, 42 NY2d 210, 213 (1977), which was not satisfied by “the decrease in the children’s overnight parental access with the father, the increase in the children’s extracurricular and educational expenses, and the increase in the father’s salary.”</w:t>
      </w:r>
      <w:r>
        <w:t xml:space="preserve"> </w:t>
      </w:r>
      <w:r w:rsidRPr="0005543C">
        <w:t>The Appellate Division concluded by noting that the agreement provided that “any purported decrease in the mother’s earnings could not serve as a basis for upward modification ***.”</w:t>
      </w:r>
    </w:p>
    <w:p w14:paraId="66AC8195" w14:textId="4CC68BA1" w:rsidR="00051512" w:rsidRDefault="00051512" w:rsidP="00691C58">
      <w:pPr>
        <w:pStyle w:val="Heading2"/>
        <w:numPr>
          <w:ilvl w:val="0"/>
          <w:numId w:val="0"/>
        </w:numPr>
        <w:jc w:val="both"/>
        <w:rPr>
          <w:b/>
          <w:bCs/>
        </w:rPr>
      </w:pPr>
      <w:bookmarkStart w:id="1" w:name="_Hlk157174423"/>
      <w:r w:rsidRPr="00051512">
        <w:rPr>
          <w:b/>
          <w:bCs/>
        </w:rPr>
        <w:t>Counsel Fees – Granted – Child Support Modification</w:t>
      </w:r>
    </w:p>
    <w:p w14:paraId="3D009FF3" w14:textId="358C21F6" w:rsidR="00BB1342" w:rsidRPr="007333D3" w:rsidRDefault="00051512" w:rsidP="00BB1342">
      <w:pPr>
        <w:pStyle w:val="Heading2"/>
        <w:numPr>
          <w:ilvl w:val="0"/>
          <w:numId w:val="0"/>
        </w:numPr>
        <w:jc w:val="both"/>
        <w:rPr>
          <w:b/>
          <w:bCs/>
        </w:rPr>
      </w:pPr>
      <w:r>
        <w:rPr>
          <w:rFonts w:ascii="Times New Roman" w:hAnsi="Times New Roman" w:cs="Times New Roman"/>
        </w:rPr>
        <w:lastRenderedPageBreak/>
        <w:tab/>
      </w:r>
      <w:r w:rsidRPr="00051512">
        <w:t>In Matter of Glass v. Glass, 2024 Westlaw 253212 (2d Dept. Jan. 24, 2024), the father appealed from a December 2022 Family Court order denying his objections to an October 2022 Support Magistrate order, which, for her defense of the father’s petition to modify the child support provisions of the judgment of divorce, and a separate petition seeking child support for one of the children, granted the mother’s motion for counsel fees to the extent of $13,000. The Second Department affirmed, holding that the Magistrate’s award was proper based upon: “the father’s delay of the proceedings by failing to comply with a court-ordered disclosure and court instructions regarding the filing of petitions, which caused the mother to incur unnecessary legal costs”; and “the parties’ financial situations and the extent of the services rendered.”</w:t>
      </w:r>
      <w:bookmarkEnd w:id="1"/>
    </w:p>
    <w:p w14:paraId="2C3D45F3" w14:textId="77777777" w:rsidR="00051512" w:rsidRPr="00051512" w:rsidRDefault="00051512" w:rsidP="00051512">
      <w:pPr>
        <w:pStyle w:val="Heading2"/>
        <w:numPr>
          <w:ilvl w:val="0"/>
          <w:numId w:val="0"/>
        </w:numPr>
        <w:jc w:val="both"/>
        <w:rPr>
          <w:b/>
          <w:bCs/>
        </w:rPr>
      </w:pPr>
      <w:r w:rsidRPr="00051512">
        <w:rPr>
          <w:b/>
          <w:bCs/>
        </w:rPr>
        <w:t>Counsel Fees - Granted and Increased on Appeal – Custody Modification and Enforcement</w:t>
      </w:r>
    </w:p>
    <w:p w14:paraId="45B13E6A" w14:textId="3CEE8204" w:rsidR="00051512" w:rsidRDefault="00051512" w:rsidP="00051512">
      <w:pPr>
        <w:pStyle w:val="Heading2"/>
        <w:numPr>
          <w:ilvl w:val="0"/>
          <w:numId w:val="0"/>
        </w:numPr>
        <w:jc w:val="both"/>
        <w:rPr>
          <w:rFonts w:ascii="Times New Roman" w:hAnsi="Times New Roman" w:cs="Times New Roman"/>
        </w:rPr>
      </w:pPr>
      <w:r w:rsidRPr="00051512">
        <w:tab/>
        <w:t xml:space="preserve">In Matter of Peterson v. Schwartz-Peterson, 2024 Westlaw 253246 (2d Dept. Jan. 24, 2024), the mother appealed from an October 2022 Family Court order, which, for her defense of the father’s August 2020 custody modification and enforcement petitions following a May 2019 judgment of divorce and January 2019 incorporated agreement, granted her motion seeking counsel fees of $115,000, only to the extent of </w:t>
      </w:r>
      <w:r>
        <w:t>awarding</w:t>
      </w:r>
      <w:r w:rsidRPr="00051512">
        <w:t xml:space="preserve"> her $15,000.</w:t>
      </w:r>
      <w:r>
        <w:t xml:space="preserve"> </w:t>
      </w:r>
      <w:r w:rsidRPr="00051512">
        <w:t xml:space="preserve">The Second Department modified, on the facts and in the exercise of </w:t>
      </w:r>
      <w:r w:rsidRPr="00051512">
        <w:lastRenderedPageBreak/>
        <w:t>discretion, by increasing the counsel fee award to $80,000, holding that “Family Court improvidently exercised its discretion in awarding the mother *** only $15,000,” such that the increased award was appropriate considering “the relative merits of the parties’ positions and their respective financial circumstances.”</w:t>
      </w:r>
    </w:p>
    <w:p w14:paraId="7FE96F7D" w14:textId="77777777" w:rsidR="005A63C9" w:rsidRPr="005A63C9" w:rsidRDefault="005A63C9" w:rsidP="005A63C9">
      <w:pPr>
        <w:pStyle w:val="Heading2"/>
        <w:numPr>
          <w:ilvl w:val="0"/>
          <w:numId w:val="0"/>
        </w:numPr>
        <w:contextualSpacing/>
        <w:jc w:val="both"/>
        <w:rPr>
          <w:b/>
          <w:bCs/>
        </w:rPr>
      </w:pPr>
      <w:r w:rsidRPr="005A63C9">
        <w:rPr>
          <w:b/>
          <w:bCs/>
        </w:rPr>
        <w:t>Custody – Joint Legal; Final Decision Making; Reopening of Proof to Appoint a Forensic– Denied</w:t>
      </w:r>
    </w:p>
    <w:p w14:paraId="2D9D8CBA" w14:textId="7F800816" w:rsidR="005A63C9" w:rsidRPr="005A63C9" w:rsidRDefault="005A63C9" w:rsidP="005A63C9">
      <w:pPr>
        <w:pStyle w:val="Heading2"/>
        <w:numPr>
          <w:ilvl w:val="0"/>
          <w:numId w:val="0"/>
        </w:numPr>
        <w:jc w:val="both"/>
      </w:pPr>
      <w:r w:rsidRPr="005A63C9">
        <w:tab/>
        <w:t>In Matter of Victor M., III v. Adriana Y</w:t>
      </w:r>
      <w:r w:rsidR="00EF6197">
        <w:t>.</w:t>
      </w:r>
      <w:r w:rsidRPr="005A63C9">
        <w:t>, 2024 Westlaw 117273 (1</w:t>
      </w:r>
      <w:r w:rsidRPr="005A63C9">
        <w:rPr>
          <w:vertAlign w:val="superscript"/>
        </w:rPr>
        <w:t>st</w:t>
      </w:r>
      <w:r w:rsidRPr="005A63C9">
        <w:t xml:space="preserve"> Dept. Jan. 11, 2024), the mother appealed from June 2022 Family Court orders which:</w:t>
      </w:r>
      <w:r>
        <w:t xml:space="preserve"> </w:t>
      </w:r>
      <w:r w:rsidRPr="005A63C9">
        <w:t>(1) denied her motion to reopen the trial record for the purpose of conducting forensic examinations of the parties and child; and (2) granted the parties joint legal custody of the subject child, with primary physical custody and final decision-making on educational and religious matters to the father.</w:t>
      </w:r>
      <w:r>
        <w:t xml:space="preserve"> </w:t>
      </w:r>
      <w:r w:rsidRPr="005A63C9">
        <w:t xml:space="preserve">The Second Department affirmed both orders, holding: (1) “[t]he Referee was not required to order a forensic evaluation as she possessed sufficient information to make a comprehensive and independent review of the child’s best interests after having conducted a 15-day trial over two and one-half years,” noting that the same would have been time consuming and “there were no mental health allegations raised during the custody trial”; and (2) the award to the father has a sound and substantial basis in the record, noting that Family Court found “the mother’s version of events far less credible” and the decision-making allocation was </w:t>
      </w:r>
      <w:r w:rsidRPr="005A63C9">
        <w:lastRenderedPageBreak/>
        <w:t>proper, in that the child “is currently and successfully attending a Catholic school near father’s home *** jointly selected by the father and his parents, who he has used as a resource.”</w:t>
      </w:r>
    </w:p>
    <w:p w14:paraId="1D145310" w14:textId="5A8E12CE" w:rsidR="00197828" w:rsidRPr="00197828" w:rsidRDefault="00197828" w:rsidP="00BB1342">
      <w:pPr>
        <w:pStyle w:val="Heading2"/>
        <w:numPr>
          <w:ilvl w:val="0"/>
          <w:numId w:val="0"/>
        </w:numPr>
        <w:jc w:val="both"/>
        <w:rPr>
          <w:b/>
          <w:bCs/>
        </w:rPr>
      </w:pPr>
      <w:bookmarkStart w:id="2" w:name="_Hlk157175208"/>
      <w:r w:rsidRPr="00197828">
        <w:rPr>
          <w:b/>
          <w:bCs/>
        </w:rPr>
        <w:t>Custody – Modification</w:t>
      </w:r>
      <w:r>
        <w:rPr>
          <w:b/>
          <w:bCs/>
        </w:rPr>
        <w:t xml:space="preserve"> &amp; Violation</w:t>
      </w:r>
      <w:r w:rsidRPr="00197828">
        <w:rPr>
          <w:b/>
          <w:bCs/>
        </w:rPr>
        <w:t>–Dismissal of Petition</w:t>
      </w:r>
      <w:r>
        <w:rPr>
          <w:b/>
          <w:bCs/>
        </w:rPr>
        <w:t>s</w:t>
      </w:r>
      <w:r w:rsidRPr="00197828">
        <w:rPr>
          <w:b/>
          <w:bCs/>
        </w:rPr>
        <w:t xml:space="preserve"> Reversed</w:t>
      </w:r>
    </w:p>
    <w:p w14:paraId="42B4BA87" w14:textId="2D942CCA" w:rsidR="00197828" w:rsidRPr="00197828" w:rsidRDefault="00197828" w:rsidP="00BB1342">
      <w:pPr>
        <w:pStyle w:val="Heading2"/>
        <w:numPr>
          <w:ilvl w:val="0"/>
          <w:numId w:val="0"/>
        </w:numPr>
        <w:jc w:val="both"/>
      </w:pPr>
      <w:r w:rsidRPr="00197828">
        <w:tab/>
        <w:t>In Matter of Pedicini v. Hull, 2024 Westlaw 104927 (2d Dept. Jan. 10, 2024), the mother appealed from an April 2023 Family Court order which, without a hearing, dismissed her petitions filed in October 2022 and November 2022, respectively, seeking to modify a January 2017 order</w:t>
      </w:r>
      <w:r>
        <w:t>,</w:t>
      </w:r>
      <w:r w:rsidRPr="00197828">
        <w:t xml:space="preserve"> so as to set an access schedule for the parties’ child born in 2014, and to seek a finding that the father had violated the same.</w:t>
      </w:r>
      <w:r w:rsidR="005A63C9">
        <w:t xml:space="preserve"> </w:t>
      </w:r>
      <w:r w:rsidRPr="00197828">
        <w:t>The Second Department reversed, on the law and in the exercise of discretion, reinstated the mother’s petitions and remitted to Family Court for a hearing, holding that “Family Court improvidently exercised its discretion in dismissing, without a hearing, the modification petition and the violation petition,” and reasoning that “in light of the parties’ controverted allegations, the court [even though it had presided over prior proceedings] did not possess sufficient information to make an informed determination with respect to the best interests of the child.”</w:t>
      </w:r>
      <w:bookmarkEnd w:id="2"/>
    </w:p>
    <w:p w14:paraId="050FEE85" w14:textId="77777777" w:rsidR="00197828" w:rsidRPr="00197828" w:rsidRDefault="00197828" w:rsidP="00197828">
      <w:pPr>
        <w:pStyle w:val="Heading2"/>
        <w:numPr>
          <w:ilvl w:val="0"/>
          <w:numId w:val="0"/>
        </w:numPr>
        <w:contextualSpacing/>
        <w:jc w:val="both"/>
        <w:rPr>
          <w:b/>
          <w:bCs/>
        </w:rPr>
      </w:pPr>
      <w:bookmarkStart w:id="3" w:name="_Hlk157174964"/>
      <w:r w:rsidRPr="00197828">
        <w:rPr>
          <w:b/>
          <w:bCs/>
        </w:rPr>
        <w:t>Custody – Modification - Sole Decision-Making – Medical</w:t>
      </w:r>
    </w:p>
    <w:p w14:paraId="7C30467D" w14:textId="77777777" w:rsidR="00FD662D" w:rsidRDefault="00197828" w:rsidP="00197828">
      <w:pPr>
        <w:pStyle w:val="Heading2"/>
        <w:numPr>
          <w:ilvl w:val="0"/>
          <w:numId w:val="0"/>
        </w:numPr>
        <w:contextualSpacing/>
        <w:jc w:val="both"/>
      </w:pPr>
      <w:r w:rsidRPr="00197828">
        <w:tab/>
        <w:t>In Matter of Annette R. v. Dakiem E.D., 2024 Westlaw 156803 (1</w:t>
      </w:r>
      <w:r w:rsidRPr="00197828">
        <w:rPr>
          <w:vertAlign w:val="superscript"/>
        </w:rPr>
        <w:t>st</w:t>
      </w:r>
      <w:r w:rsidRPr="00197828">
        <w:t xml:space="preserve"> Dept. Jan. 16, 2024), the father appealed from a March 2022 Family Court order</w:t>
      </w:r>
      <w:r>
        <w:t>,</w:t>
      </w:r>
      <w:r w:rsidRPr="00197828">
        <w:t xml:space="preserve"> which granted the mother’s petition to modify </w:t>
      </w:r>
      <w:r w:rsidRPr="00197828">
        <w:lastRenderedPageBreak/>
        <w:t xml:space="preserve">a November 2017 consent order, to the extent of </w:t>
      </w:r>
      <w:r>
        <w:t xml:space="preserve">awarding </w:t>
      </w:r>
      <w:r w:rsidRPr="00197828">
        <w:t>her “sole legal and physical custody with respect to decision-making authority on medical issues,” and continuing the father’s schedule in effect since May 2019.</w:t>
      </w:r>
      <w:r>
        <w:t xml:space="preserve"> </w:t>
      </w:r>
      <w:r w:rsidRPr="00197828">
        <w:t>The First Department affirmed, noting that “</w:t>
      </w:r>
      <w:r>
        <w:t xml:space="preserve">the father, </w:t>
      </w:r>
      <w:r w:rsidRPr="00197828">
        <w:t>notwithstanding medical evidence to the contrary, expressed doubt that the child has asthma ***, neglected or refused to administer the child’s asthma medication, and failed to abide by court-directed COVID safety measures while the child was in his care.” As to the schedule, the Appellate Division noted that it had previously upheld the same upon a prior appeal, 185 AD3d 465 (1</w:t>
      </w:r>
      <w:r w:rsidRPr="00197828">
        <w:rPr>
          <w:vertAlign w:val="superscript"/>
        </w:rPr>
        <w:t>st</w:t>
      </w:r>
      <w:r w:rsidRPr="00197828">
        <w:t xml:space="preserve"> Dept. 2020).</w:t>
      </w:r>
      <w:bookmarkEnd w:id="3"/>
    </w:p>
    <w:p w14:paraId="4ED0FE91" w14:textId="77777777" w:rsidR="00FD662D" w:rsidRPr="00FD662D" w:rsidRDefault="00FD662D" w:rsidP="00FD662D">
      <w:pPr>
        <w:pStyle w:val="Heading2"/>
        <w:numPr>
          <w:ilvl w:val="0"/>
          <w:numId w:val="0"/>
        </w:numPr>
        <w:contextualSpacing/>
        <w:jc w:val="both"/>
        <w:rPr>
          <w:b/>
          <w:bCs/>
        </w:rPr>
      </w:pPr>
      <w:r w:rsidRPr="00FD662D">
        <w:rPr>
          <w:b/>
          <w:bCs/>
        </w:rPr>
        <w:t>Custody – Third Party - Grandparent Visitation – Denied; Child Traumatized by Dog Bite</w:t>
      </w:r>
    </w:p>
    <w:p w14:paraId="34F6D082" w14:textId="4C035C59" w:rsidR="00783B98" w:rsidRDefault="00FD662D" w:rsidP="00197828">
      <w:pPr>
        <w:pStyle w:val="Heading2"/>
        <w:numPr>
          <w:ilvl w:val="0"/>
          <w:numId w:val="0"/>
        </w:numPr>
        <w:contextualSpacing/>
        <w:jc w:val="both"/>
        <w:rPr>
          <w:rFonts w:ascii="Times New Roman" w:hAnsi="Times New Roman" w:cs="Times New Roman"/>
        </w:rPr>
      </w:pPr>
      <w:r w:rsidRPr="00FD662D">
        <w:tab/>
        <w:t xml:space="preserve">In Matter of Dawn II. v. </w:t>
      </w:r>
      <w:proofErr w:type="spellStart"/>
      <w:r w:rsidRPr="00FD662D">
        <w:t>Natyssa</w:t>
      </w:r>
      <w:proofErr w:type="spellEnd"/>
      <w:r w:rsidRPr="00FD662D">
        <w:t xml:space="preserve"> JJ., 2024 Westlaw 116993 (3d Dept. </w:t>
      </w:r>
      <w:r w:rsidR="007333D3">
        <w:t xml:space="preserve">Jan. 11, </w:t>
      </w:r>
      <w:r w:rsidRPr="00FD662D">
        <w:t>2024), the paternal grandmother appealed from a January 2022 Family Court order which, after a hearing, dismissed her April 2021 petition seeking visitation of a child born in 2015, as to whom the parents share joint legal custody with primary physical custody to the mother.</w:t>
      </w:r>
      <w:r>
        <w:t xml:space="preserve"> </w:t>
      </w:r>
      <w:r w:rsidRPr="00FD662D">
        <w:t xml:space="preserve">The grandmother’s standing was not challenged. The grandmother had a close relationship with the child </w:t>
      </w:r>
      <w:r>
        <w:t>through h</w:t>
      </w:r>
      <w:r w:rsidRPr="00FD662D">
        <w:t xml:space="preserve">er </w:t>
      </w:r>
      <w:r>
        <w:t xml:space="preserve">approximate </w:t>
      </w:r>
      <w:r w:rsidRPr="00FD662D">
        <w:t xml:space="preserve">age 5, until January 2021, when one of the grandmother’s dogs “bit the child, causing four deep puncture wounds which required emergency medical treatment and two months of follow-up medical care”; the grandmother had the dog immediately </w:t>
      </w:r>
      <w:r w:rsidRPr="00FD662D">
        <w:lastRenderedPageBreak/>
        <w:t>euthanized.</w:t>
      </w:r>
      <w:r>
        <w:t xml:space="preserve"> </w:t>
      </w:r>
      <w:r w:rsidRPr="00FD662D">
        <w:t>The child was traumatized and an argument ensued in April 2021, at which time the mother told the grandmother that her visits were over.</w:t>
      </w:r>
      <w:r>
        <w:t xml:space="preserve"> </w:t>
      </w:r>
      <w:r w:rsidRPr="00FD662D">
        <w:t>The Third Department affirmed, noting that the grandmother had not had any contact for 7 months as of the time of the hearing, such that an order of visitation “was contrary to the child’s best interests at this time.”</w:t>
      </w:r>
      <w:r w:rsidR="00197828">
        <w:rPr>
          <w:rFonts w:ascii="Times New Roman" w:hAnsi="Times New Roman" w:cs="Times New Roman"/>
        </w:rPr>
        <w:t xml:space="preserve"> </w:t>
      </w:r>
    </w:p>
    <w:p w14:paraId="2A7F554B" w14:textId="77777777" w:rsidR="00783B98" w:rsidRPr="00783B98" w:rsidRDefault="00783B98" w:rsidP="00783B98">
      <w:pPr>
        <w:pStyle w:val="Heading2"/>
        <w:numPr>
          <w:ilvl w:val="0"/>
          <w:numId w:val="0"/>
        </w:numPr>
        <w:rPr>
          <w:b/>
          <w:bCs/>
        </w:rPr>
      </w:pPr>
      <w:bookmarkStart w:id="4" w:name="_Hlk157176356"/>
      <w:r w:rsidRPr="00783B98">
        <w:rPr>
          <w:b/>
          <w:bCs/>
        </w:rPr>
        <w:t xml:space="preserve">Divorce - NY Divorce Dismissed – Forum Non </w:t>
      </w:r>
      <w:proofErr w:type="spellStart"/>
      <w:r w:rsidRPr="00783B98">
        <w:rPr>
          <w:b/>
          <w:bCs/>
        </w:rPr>
        <w:t>Coveniens</w:t>
      </w:r>
      <w:proofErr w:type="spellEnd"/>
      <w:r w:rsidRPr="00783B98">
        <w:rPr>
          <w:b/>
          <w:bCs/>
        </w:rPr>
        <w:t xml:space="preserve"> (Brazil)</w:t>
      </w:r>
    </w:p>
    <w:p w14:paraId="58C5F8EA" w14:textId="4D2C7120" w:rsidR="004D1B2F" w:rsidRDefault="00783B98" w:rsidP="004D1B2F">
      <w:pPr>
        <w:pStyle w:val="Heading2"/>
        <w:numPr>
          <w:ilvl w:val="0"/>
          <w:numId w:val="0"/>
        </w:numPr>
        <w:contextualSpacing/>
        <w:jc w:val="both"/>
      </w:pPr>
      <w:r w:rsidRPr="00783B98">
        <w:tab/>
        <w:t>In Teixeira v. Teixeira, 2024 Westlaw 39730 (1</w:t>
      </w:r>
      <w:r w:rsidRPr="00783B98">
        <w:rPr>
          <w:vertAlign w:val="superscript"/>
        </w:rPr>
        <w:t>st</w:t>
      </w:r>
      <w:r w:rsidRPr="00783B98">
        <w:t xml:space="preserve"> Dept. Jan. 4. 2024), the wife appealed from a June 2022 Supreme Court order</w:t>
      </w:r>
      <w:r>
        <w:t>,</w:t>
      </w:r>
      <w:r w:rsidRPr="00783B98">
        <w:t xml:space="preserve"> which granted the husband’s motion to dismiss her year 2021 action for divorce pursuant to CPLR 327</w:t>
      </w:r>
      <w:r>
        <w:t>,</w:t>
      </w:r>
      <w:r w:rsidRPr="00783B98">
        <w:t xml:space="preserve"> upon the ground of </w:t>
      </w:r>
      <w:r w:rsidRPr="00783B98">
        <w:rPr>
          <w:i/>
          <w:iCs/>
        </w:rPr>
        <w:t xml:space="preserve">forum non </w:t>
      </w:r>
      <w:proofErr w:type="spellStart"/>
      <w:r w:rsidRPr="00783B98">
        <w:rPr>
          <w:i/>
          <w:iCs/>
        </w:rPr>
        <w:t>conveniens</w:t>
      </w:r>
      <w:proofErr w:type="spellEnd"/>
      <w:r w:rsidRPr="00783B98">
        <w:t>.</w:t>
      </w:r>
      <w:r>
        <w:t xml:space="preserve"> </w:t>
      </w:r>
      <w:r w:rsidRPr="00783B98">
        <w:t>The First Department affirmed, noting that while the wife has lived in NY since 2017 and both parties were NY residents at the time of the commencement of the action, the parties had lived in NY “as a married couple for less than four years of their over 20-year marriage” as of the commencement date</w:t>
      </w:r>
      <w:r>
        <w:t>.”</w:t>
      </w:r>
      <w:r w:rsidRPr="00783B98">
        <w:t xml:space="preserve"> The parties have “a home, a real estate parcel, a stake in a real estate development company, a car and several bank and other accounts,” all located in Brazil. The husband commenced an action in Brazil after the wife’s NY action, and submitted an affidavit from his Brazilian attorney “attesting that, pursuant to Brazilian law, Brazilian courts have exclusive jurisdiction over the distribution of those assets” located in Brazil. The Court noted in conclusion that the wife “does not adequately explain signing documents in </w:t>
      </w:r>
      <w:r w:rsidRPr="00783B98">
        <w:lastRenderedPageBreak/>
        <w:t>Brazilian probate proceedings in 2019 stating that she is a Brazilian domiciliary.</w:t>
      </w:r>
      <w:r>
        <w:t>”</w:t>
      </w:r>
      <w:bookmarkEnd w:id="4"/>
    </w:p>
    <w:p w14:paraId="372771B9" w14:textId="4286EC85" w:rsidR="00783B98" w:rsidRDefault="00CE265D" w:rsidP="00CE265D">
      <w:pPr>
        <w:pStyle w:val="Heading2"/>
        <w:numPr>
          <w:ilvl w:val="0"/>
          <w:numId w:val="0"/>
        </w:numPr>
        <w:jc w:val="both"/>
      </w:pPr>
      <w:r w:rsidRPr="00CE265D">
        <w:rPr>
          <w:b/>
          <w:bCs/>
        </w:rPr>
        <w:t>Enforcement - Willful Violation – Found – Insufficient Job Search and Medical Evidence</w:t>
      </w:r>
      <w:r w:rsidRPr="00CE265D">
        <w:tab/>
      </w:r>
      <w:r>
        <w:t xml:space="preserve"> </w:t>
      </w:r>
    </w:p>
    <w:p w14:paraId="064F4326" w14:textId="6CA77692" w:rsidR="00783B98" w:rsidRDefault="00783B98" w:rsidP="00783B98">
      <w:pPr>
        <w:pStyle w:val="Heading2"/>
        <w:numPr>
          <w:ilvl w:val="0"/>
          <w:numId w:val="0"/>
        </w:numPr>
        <w:jc w:val="both"/>
      </w:pPr>
      <w:r>
        <w:tab/>
        <w:t xml:space="preserve">In </w:t>
      </w:r>
      <w:r w:rsidRPr="00783B98">
        <w:t xml:space="preserve">Matter of Martucci v. Nerone, </w:t>
      </w:r>
      <w:r w:rsidR="007773D2">
        <w:t xml:space="preserve">201 NYS3d 244 </w:t>
      </w:r>
      <w:r w:rsidRPr="00783B98">
        <w:t xml:space="preserve">(2d Dept. Jan. 10, 2024), the father appealed from a June 2022 Family Court order of commitment, which, after hearing, confirmed a May 2022 Support Magistrate Order of Disposition, and imposed a 4-month jail sentence unless he paid a $1,500 purge amount. The Second Department affirmed, finding the father did not meet his burden on the issue of inability to pay. </w:t>
      </w:r>
      <w:r w:rsidR="007333D3">
        <w:t xml:space="preserve">To the same effect is: </w:t>
      </w:r>
      <w:r w:rsidRPr="00783B98">
        <w:t>Matter of Marcie A.M. v. Joseph A.C., 2024 Westlaw 86590 (1</w:t>
      </w:r>
      <w:r w:rsidRPr="00783B98">
        <w:rPr>
          <w:vertAlign w:val="superscript"/>
        </w:rPr>
        <w:t>st</w:t>
      </w:r>
      <w:r w:rsidRPr="00783B98">
        <w:t xml:space="preserve"> Dept. Jan. 9, 2024) [Finding of willful violation, 3-month jail sentence and $400,000 purge amount satisfied].</w:t>
      </w:r>
    </w:p>
    <w:p w14:paraId="6FE5C329" w14:textId="7DF2694A" w:rsidR="00837EF3" w:rsidRPr="00837EF3" w:rsidRDefault="00837EF3" w:rsidP="00837EF3">
      <w:pPr>
        <w:pStyle w:val="Heading2"/>
        <w:numPr>
          <w:ilvl w:val="0"/>
          <w:numId w:val="0"/>
        </w:numPr>
        <w:jc w:val="both"/>
        <w:rPr>
          <w:b/>
          <w:bCs/>
        </w:rPr>
      </w:pPr>
      <w:r w:rsidRPr="00837EF3">
        <w:rPr>
          <w:b/>
          <w:bCs/>
        </w:rPr>
        <w:t xml:space="preserve">Family Offense </w:t>
      </w:r>
      <w:r>
        <w:rPr>
          <w:b/>
          <w:bCs/>
        </w:rPr>
        <w:t xml:space="preserve">- </w:t>
      </w:r>
      <w:r w:rsidRPr="00837EF3">
        <w:rPr>
          <w:b/>
          <w:bCs/>
        </w:rPr>
        <w:t>Order of Protection – Increased to 2 Years; Stay Away Added</w:t>
      </w:r>
    </w:p>
    <w:p w14:paraId="10A1AF83" w14:textId="7F02F861" w:rsidR="00837EF3" w:rsidRDefault="00837EF3" w:rsidP="000B536B">
      <w:pPr>
        <w:pStyle w:val="Heading2"/>
        <w:numPr>
          <w:ilvl w:val="0"/>
          <w:numId w:val="0"/>
        </w:numPr>
        <w:jc w:val="both"/>
      </w:pPr>
      <w:r w:rsidRPr="00837EF3">
        <w:tab/>
        <w:t xml:space="preserve">In Matter of Fortunato v. </w:t>
      </w:r>
      <w:proofErr w:type="spellStart"/>
      <w:r w:rsidRPr="00837EF3">
        <w:t>Dappio</w:t>
      </w:r>
      <w:proofErr w:type="spellEnd"/>
      <w:r w:rsidRPr="00837EF3">
        <w:t xml:space="preserve">, 2024 Westlaw 253201 (2d Dept. Jan. 24, 2024), petitioner appealed from a February 2023 Family Court order which, after a hearing, found that respondent, petitioner’s former live-in boyfriend, committed a family offense against her, and granted her a 1-year “refrain from” order of protection upon her request for a 2-year “stay away” order. The Second Department modified, on the facts and in the exercise of discretion, by granting a 2-year “stay away” order in favor of the </w:t>
      </w:r>
      <w:r w:rsidRPr="00837EF3">
        <w:lastRenderedPageBreak/>
        <w:t>petitioner and her child, noting that respondent “[struck] *** petitioner in the head with a heavy metal object,” and concluding that such an order “was reasonably necessary to provide meaningful protection to the petitioner and to eradicate the root of the family disturbance,” citing FCA 842(a).</w:t>
      </w:r>
    </w:p>
    <w:p w14:paraId="208163B3" w14:textId="77777777" w:rsidR="009719A3" w:rsidRPr="009719A3" w:rsidRDefault="009719A3" w:rsidP="009719A3">
      <w:pPr>
        <w:pStyle w:val="Heading1"/>
        <w:numPr>
          <w:ilvl w:val="0"/>
          <w:numId w:val="0"/>
        </w:numPr>
        <w:tabs>
          <w:tab w:val="clear" w:pos="720"/>
          <w:tab w:val="left" w:pos="0"/>
        </w:tabs>
        <w:ind w:left="720" w:hanging="720"/>
        <w:rPr>
          <w:b/>
          <w:bCs/>
          <w:u w:val="single"/>
        </w:rPr>
      </w:pPr>
      <w:bookmarkStart w:id="5" w:name="_Hlk153448427"/>
      <w:r w:rsidRPr="009719A3">
        <w:rPr>
          <w:b/>
          <w:u w:val="single"/>
        </w:rPr>
        <w:t>LEGISLATIVE AND COURT RULE ITEMS</w:t>
      </w:r>
    </w:p>
    <w:p w14:paraId="1EDA8FF0" w14:textId="1FAC1B57" w:rsidR="009719A3" w:rsidRPr="009719A3" w:rsidRDefault="009719A3" w:rsidP="009719A3">
      <w:pPr>
        <w:pStyle w:val="Heading2"/>
        <w:numPr>
          <w:ilvl w:val="0"/>
          <w:numId w:val="0"/>
        </w:numPr>
        <w:jc w:val="both"/>
        <w:rPr>
          <w:b/>
          <w:bCs/>
        </w:rPr>
      </w:pPr>
      <w:bookmarkStart w:id="6" w:name="_Hlk156806386"/>
      <w:bookmarkEnd w:id="5"/>
      <w:r w:rsidRPr="009719A3">
        <w:rPr>
          <w:b/>
          <w:bCs/>
        </w:rPr>
        <w:t>CSSA and Maintenance Guidelines Caps; Poverty Level; Self-Support Reserve</w:t>
      </w:r>
      <w:bookmarkEnd w:id="6"/>
    </w:p>
    <w:p w14:paraId="41D0AFB9" w14:textId="77777777" w:rsidR="009719A3" w:rsidRDefault="009719A3" w:rsidP="009719A3">
      <w:pPr>
        <w:pStyle w:val="Heading2"/>
        <w:numPr>
          <w:ilvl w:val="0"/>
          <w:numId w:val="0"/>
        </w:numPr>
        <w:jc w:val="both"/>
      </w:pPr>
      <w:r w:rsidRPr="009719A3">
        <w:tab/>
      </w:r>
      <w:r w:rsidRPr="009719A3">
        <w:rPr>
          <w:b/>
          <w:bCs/>
          <w:u w:val="single"/>
        </w:rPr>
        <w:t>Effective March 1, 2024</w:t>
      </w:r>
      <w:r w:rsidRPr="009719A3">
        <w:t>: the CSSA income cap increases to $183,000; the maintenance and spousal support guidelines income cap increases to $228,000; the poverty level for a single person is $15,060; and the self-support reserve is $20,331.</w:t>
      </w:r>
    </w:p>
    <w:p w14:paraId="5D0B24AA" w14:textId="77777777" w:rsidR="00750B3D" w:rsidRPr="00750B3D" w:rsidRDefault="00750B3D" w:rsidP="00750B3D">
      <w:pPr>
        <w:pStyle w:val="Heading2"/>
        <w:numPr>
          <w:ilvl w:val="0"/>
          <w:numId w:val="0"/>
        </w:numPr>
        <w:rPr>
          <w:b/>
          <w:bCs/>
        </w:rPr>
      </w:pPr>
      <w:bookmarkStart w:id="7" w:name="_Hlk157178389"/>
      <w:r w:rsidRPr="00750B3D">
        <w:rPr>
          <w:b/>
          <w:bCs/>
        </w:rPr>
        <w:t>Custody Forensic Evaluations – Chapter Amendment</w:t>
      </w:r>
    </w:p>
    <w:p w14:paraId="0F8A680D" w14:textId="5F4A1512" w:rsidR="00750B3D" w:rsidRPr="00750B3D" w:rsidRDefault="00750B3D" w:rsidP="00750B3D">
      <w:pPr>
        <w:pStyle w:val="Heading2"/>
        <w:numPr>
          <w:ilvl w:val="0"/>
          <w:numId w:val="0"/>
        </w:numPr>
        <w:jc w:val="both"/>
      </w:pPr>
      <w:r w:rsidRPr="00750B3D">
        <w:tab/>
        <w:t xml:space="preserve">This legislation, </w:t>
      </w:r>
      <w:r>
        <w:t xml:space="preserve">as </w:t>
      </w:r>
      <w:r w:rsidRPr="00750B3D">
        <w:t>previously reported</w:t>
      </w:r>
      <w:r>
        <w:t xml:space="preserve"> in the April 2023 AAML NY Chapter Bulletin</w:t>
      </w:r>
      <w:r w:rsidRPr="00750B3D">
        <w:t xml:space="preserve">, </w:t>
      </w:r>
      <w:r>
        <w:t xml:space="preserve">was </w:t>
      </w:r>
      <w:r w:rsidRPr="00750B3D">
        <w:t>amended</w:t>
      </w:r>
      <w:r>
        <w:t xml:space="preserve"> in March 2023</w:t>
      </w:r>
      <w:r w:rsidRPr="00750B3D">
        <w:t xml:space="preserve">, </w:t>
      </w:r>
      <w:r w:rsidRPr="00750B3D">
        <w:rPr>
          <w:b/>
          <w:bCs/>
          <w:u w:val="single"/>
        </w:rPr>
        <w:t>but the effective date remains December 23, 2023</w:t>
      </w:r>
      <w:r w:rsidRPr="00750B3D">
        <w:t xml:space="preserve">. The </w:t>
      </w:r>
      <w:r>
        <w:t xml:space="preserve">March 2023 amendment </w:t>
      </w:r>
      <w:r w:rsidRPr="00750B3D">
        <w:t>is the addition of a new subparagraph 5 to DRL 240(</w:t>
      </w:r>
      <w:proofErr w:type="gramStart"/>
      <w:r w:rsidRPr="00750B3D">
        <w:t>1)(</w:t>
      </w:r>
      <w:proofErr w:type="gramEnd"/>
      <w:r w:rsidRPr="00750B3D">
        <w:t>a-3). S.</w:t>
      </w:r>
      <w:r>
        <w:t>00</w:t>
      </w:r>
      <w:r w:rsidRPr="00750B3D">
        <w:t>860/A.0</w:t>
      </w:r>
      <w:r>
        <w:t>0</w:t>
      </w:r>
      <w:r w:rsidRPr="00750B3D">
        <w:t>632, Laws of 2023, Chapter 23, signed March 3, 2023. For the sake of clarity</w:t>
      </w:r>
      <w:r>
        <w:t xml:space="preserve"> and convenience</w:t>
      </w:r>
      <w:r w:rsidR="00D17A8F">
        <w:t xml:space="preserve"> of</w:t>
      </w:r>
      <w:r>
        <w:t xml:space="preserve"> our Fellows,</w:t>
      </w:r>
      <w:r w:rsidRPr="00750B3D">
        <w:t xml:space="preserve"> the entire new paragraph (a-3) is:</w:t>
      </w:r>
    </w:p>
    <w:p w14:paraId="4BC6697A" w14:textId="77777777" w:rsidR="00750B3D" w:rsidRDefault="00750B3D" w:rsidP="00750B3D">
      <w:pPr>
        <w:pStyle w:val="HTMLPreformatted"/>
        <w:rPr>
          <w:color w:val="000000"/>
        </w:rPr>
      </w:pPr>
      <w:r>
        <w:rPr>
          <w:rFonts w:ascii="Times New Roman" w:hAnsi="Times New Roman" w:cs="Times New Roman"/>
        </w:rPr>
        <w:tab/>
      </w:r>
      <w:r>
        <w:rPr>
          <w:color w:val="000000"/>
        </w:rPr>
        <w:t>(a-3) Court ordered forensic evaluations involving child custody and</w:t>
      </w:r>
    </w:p>
    <w:p w14:paraId="15C9545A" w14:textId="77777777" w:rsidR="00750B3D" w:rsidRDefault="00750B3D" w:rsidP="00750B3D">
      <w:pPr>
        <w:pStyle w:val="HTMLPreformatted"/>
        <w:rPr>
          <w:color w:val="000000"/>
        </w:rPr>
      </w:pPr>
      <w:r>
        <w:rPr>
          <w:color w:val="000000"/>
        </w:rPr>
        <w:t xml:space="preserve">  visitation.  (1) The court may appoint a forensic evaluator on behalf of</w:t>
      </w:r>
    </w:p>
    <w:p w14:paraId="67B5AACE" w14:textId="77777777" w:rsidR="00750B3D" w:rsidRDefault="00750B3D" w:rsidP="00750B3D">
      <w:pPr>
        <w:pStyle w:val="HTMLPreformatted"/>
        <w:rPr>
          <w:color w:val="000000"/>
        </w:rPr>
      </w:pPr>
      <w:r>
        <w:rPr>
          <w:color w:val="000000"/>
        </w:rPr>
        <w:t xml:space="preserve">  the court to </w:t>
      </w:r>
      <w:proofErr w:type="gramStart"/>
      <w:r>
        <w:rPr>
          <w:color w:val="000000"/>
        </w:rPr>
        <w:t>evaluate  and</w:t>
      </w:r>
      <w:proofErr w:type="gramEnd"/>
      <w:r>
        <w:rPr>
          <w:color w:val="000000"/>
        </w:rPr>
        <w:t xml:space="preserve">  investigate  the  parties  and  a  child  or</w:t>
      </w:r>
    </w:p>
    <w:p w14:paraId="3F667DD3" w14:textId="77777777" w:rsidR="00750B3D" w:rsidRDefault="00750B3D" w:rsidP="00750B3D">
      <w:pPr>
        <w:pStyle w:val="HTMLPreformatted"/>
        <w:rPr>
          <w:color w:val="000000"/>
        </w:rPr>
      </w:pPr>
      <w:r>
        <w:rPr>
          <w:color w:val="000000"/>
        </w:rPr>
        <w:t xml:space="preserve">  children in a proceeding involving child custody and visitation provided</w:t>
      </w:r>
    </w:p>
    <w:p w14:paraId="59F5CB16" w14:textId="77777777" w:rsidR="00750B3D" w:rsidRDefault="00750B3D" w:rsidP="00750B3D">
      <w:pPr>
        <w:pStyle w:val="HTMLPreformatted"/>
        <w:rPr>
          <w:color w:val="000000"/>
        </w:rPr>
      </w:pPr>
      <w:r>
        <w:rPr>
          <w:color w:val="000000"/>
        </w:rPr>
        <w:t xml:space="preserve">  </w:t>
      </w:r>
      <w:proofErr w:type="gramStart"/>
      <w:r>
        <w:rPr>
          <w:color w:val="000000"/>
        </w:rPr>
        <w:t>that  the</w:t>
      </w:r>
      <w:proofErr w:type="gramEnd"/>
      <w:r>
        <w:rPr>
          <w:color w:val="000000"/>
        </w:rPr>
        <w:t xml:space="preserve">  child  custody  forensic  evaluator is a psychologist, social</w:t>
      </w:r>
    </w:p>
    <w:p w14:paraId="457CF71D" w14:textId="77777777" w:rsidR="00750B3D" w:rsidRDefault="00750B3D" w:rsidP="00750B3D">
      <w:pPr>
        <w:pStyle w:val="HTMLPreformatted"/>
        <w:rPr>
          <w:color w:val="000000"/>
        </w:rPr>
      </w:pPr>
      <w:r>
        <w:rPr>
          <w:color w:val="000000"/>
        </w:rPr>
        <w:t xml:space="preserve">  worker or psychiatrist who is licensed in the state of New York </w:t>
      </w:r>
      <w:proofErr w:type="gramStart"/>
      <w:r>
        <w:rPr>
          <w:color w:val="000000"/>
        </w:rPr>
        <w:t>and  has</w:t>
      </w:r>
      <w:proofErr w:type="gramEnd"/>
    </w:p>
    <w:p w14:paraId="6620F17E" w14:textId="77777777" w:rsidR="00750B3D" w:rsidRDefault="00750B3D" w:rsidP="00750B3D">
      <w:pPr>
        <w:pStyle w:val="HTMLPreformatted"/>
        <w:rPr>
          <w:color w:val="000000"/>
        </w:rPr>
      </w:pPr>
      <w:r>
        <w:rPr>
          <w:color w:val="000000"/>
        </w:rPr>
        <w:t xml:space="preserve">  </w:t>
      </w:r>
      <w:proofErr w:type="gramStart"/>
      <w:r>
        <w:rPr>
          <w:color w:val="000000"/>
        </w:rPr>
        <w:t>received  within</w:t>
      </w:r>
      <w:proofErr w:type="gramEnd"/>
      <w:r>
        <w:rPr>
          <w:color w:val="000000"/>
        </w:rPr>
        <w:t xml:space="preserve">  the  last two years, a certification of completion for</w:t>
      </w:r>
    </w:p>
    <w:p w14:paraId="18DD6670" w14:textId="77777777" w:rsidR="00750B3D" w:rsidRDefault="00750B3D" w:rsidP="00750B3D">
      <w:pPr>
        <w:pStyle w:val="HTMLPreformatted"/>
        <w:rPr>
          <w:color w:val="000000"/>
        </w:rPr>
      </w:pPr>
      <w:r>
        <w:rPr>
          <w:color w:val="000000"/>
        </w:rPr>
        <w:t xml:space="preserve">  completing the training program pursuant to paragraph (o) of subdivision</w:t>
      </w:r>
    </w:p>
    <w:p w14:paraId="00AF8D3D" w14:textId="77777777" w:rsidR="00750B3D" w:rsidRDefault="00750B3D" w:rsidP="00750B3D">
      <w:pPr>
        <w:pStyle w:val="HTMLPreformatted"/>
        <w:rPr>
          <w:color w:val="000000"/>
        </w:rPr>
      </w:pPr>
      <w:r>
        <w:rPr>
          <w:color w:val="000000"/>
        </w:rPr>
        <w:t xml:space="preserve">  three of section five hundred seventy-five of the executive law.</w:t>
      </w:r>
    </w:p>
    <w:p w14:paraId="69CA19A0" w14:textId="77777777" w:rsidR="00750B3D" w:rsidRDefault="00750B3D" w:rsidP="00750B3D">
      <w:pPr>
        <w:pStyle w:val="HTMLPreformatted"/>
        <w:rPr>
          <w:color w:val="000000"/>
        </w:rPr>
      </w:pPr>
      <w:r>
        <w:rPr>
          <w:color w:val="000000"/>
        </w:rPr>
        <w:lastRenderedPageBreak/>
        <w:t xml:space="preserve">    (2)  </w:t>
      </w:r>
      <w:proofErr w:type="gramStart"/>
      <w:r>
        <w:rPr>
          <w:color w:val="000000"/>
        </w:rPr>
        <w:t>Notwithstanding  any</w:t>
      </w:r>
      <w:proofErr w:type="gramEnd"/>
      <w:r>
        <w:rPr>
          <w:color w:val="000000"/>
        </w:rPr>
        <w:t xml:space="preserve">  provision  of  law  to  the  contrary,   no</w:t>
      </w:r>
    </w:p>
    <w:p w14:paraId="0945FF5F" w14:textId="77777777" w:rsidR="00750B3D" w:rsidRDefault="00750B3D" w:rsidP="00750B3D">
      <w:pPr>
        <w:pStyle w:val="HTMLPreformatted"/>
        <w:rPr>
          <w:color w:val="000000"/>
        </w:rPr>
      </w:pPr>
      <w:r>
        <w:rPr>
          <w:color w:val="000000"/>
        </w:rPr>
        <w:t xml:space="preserve">  </w:t>
      </w:r>
      <w:proofErr w:type="gramStart"/>
      <w:r>
        <w:rPr>
          <w:color w:val="000000"/>
        </w:rPr>
        <w:t>individual  shall</w:t>
      </w:r>
      <w:proofErr w:type="gramEnd"/>
      <w:r>
        <w:rPr>
          <w:color w:val="000000"/>
        </w:rPr>
        <w:t xml:space="preserve">  be  appointed  by  a  court  to  conduct  a  forensic</w:t>
      </w:r>
    </w:p>
    <w:p w14:paraId="5D62A232" w14:textId="77777777" w:rsidR="00750B3D" w:rsidRDefault="00750B3D" w:rsidP="00750B3D">
      <w:pPr>
        <w:pStyle w:val="HTMLPreformatted"/>
        <w:rPr>
          <w:color w:val="000000"/>
        </w:rPr>
      </w:pPr>
      <w:r>
        <w:rPr>
          <w:color w:val="000000"/>
        </w:rPr>
        <w:t xml:space="preserve">  evaluation </w:t>
      </w:r>
      <w:proofErr w:type="gramStart"/>
      <w:r>
        <w:rPr>
          <w:color w:val="000000"/>
        </w:rPr>
        <w:t>in  a</w:t>
      </w:r>
      <w:proofErr w:type="gramEnd"/>
      <w:r>
        <w:rPr>
          <w:color w:val="000000"/>
        </w:rPr>
        <w:t xml:space="preserve">  proceeding  involving  child  custody  and  visitation</w:t>
      </w:r>
    </w:p>
    <w:p w14:paraId="2BF54B55" w14:textId="77777777" w:rsidR="00750B3D" w:rsidRDefault="00750B3D" w:rsidP="00750B3D">
      <w:pPr>
        <w:pStyle w:val="HTMLPreformatted"/>
        <w:rPr>
          <w:color w:val="000000"/>
        </w:rPr>
      </w:pPr>
      <w:r>
        <w:rPr>
          <w:color w:val="000000"/>
        </w:rPr>
        <w:t xml:space="preserve">  </w:t>
      </w:r>
      <w:proofErr w:type="gramStart"/>
      <w:r>
        <w:rPr>
          <w:color w:val="000000"/>
        </w:rPr>
        <w:t>pursuant  to</w:t>
      </w:r>
      <w:proofErr w:type="gramEnd"/>
      <w:r>
        <w:rPr>
          <w:color w:val="000000"/>
        </w:rPr>
        <w:t xml:space="preserve">  this  paragraph unless such individual has received within</w:t>
      </w:r>
    </w:p>
    <w:p w14:paraId="7C57B652" w14:textId="77777777" w:rsidR="00750B3D" w:rsidRDefault="00750B3D" w:rsidP="00750B3D">
      <w:pPr>
        <w:pStyle w:val="HTMLPreformatted"/>
        <w:rPr>
          <w:color w:val="000000"/>
        </w:rPr>
      </w:pPr>
      <w:r>
        <w:rPr>
          <w:color w:val="000000"/>
        </w:rPr>
        <w:t xml:space="preserve">  the last two years, a certification </w:t>
      </w:r>
      <w:proofErr w:type="gramStart"/>
      <w:r>
        <w:rPr>
          <w:color w:val="000000"/>
        </w:rPr>
        <w:t>of  completion</w:t>
      </w:r>
      <w:proofErr w:type="gramEnd"/>
      <w:r>
        <w:rPr>
          <w:color w:val="000000"/>
        </w:rPr>
        <w:t xml:space="preserve">  for  completing  the</w:t>
      </w:r>
    </w:p>
    <w:p w14:paraId="4BFA5BB4" w14:textId="77777777" w:rsidR="00750B3D" w:rsidRDefault="00750B3D" w:rsidP="00750B3D">
      <w:pPr>
        <w:pStyle w:val="HTMLPreformatted"/>
        <w:rPr>
          <w:color w:val="000000"/>
        </w:rPr>
      </w:pPr>
      <w:r>
        <w:rPr>
          <w:color w:val="000000"/>
        </w:rPr>
        <w:t xml:space="preserve">  </w:t>
      </w:r>
      <w:proofErr w:type="gramStart"/>
      <w:r>
        <w:rPr>
          <w:color w:val="000000"/>
        </w:rPr>
        <w:t>training  program</w:t>
      </w:r>
      <w:proofErr w:type="gramEnd"/>
      <w:r>
        <w:rPr>
          <w:color w:val="000000"/>
        </w:rPr>
        <w:t xml:space="preserve">  pursuant  to  paragraph  (o)  of subdivision three of</w:t>
      </w:r>
    </w:p>
    <w:p w14:paraId="5E9CE23A" w14:textId="77777777" w:rsidR="00750B3D" w:rsidRDefault="00750B3D" w:rsidP="00750B3D">
      <w:pPr>
        <w:pStyle w:val="HTMLPreformatted"/>
        <w:rPr>
          <w:color w:val="000000"/>
        </w:rPr>
      </w:pPr>
      <w:r>
        <w:rPr>
          <w:color w:val="000000"/>
        </w:rPr>
        <w:t xml:space="preserve">  section five hundred seventy-five of the executive law.</w:t>
      </w:r>
    </w:p>
    <w:p w14:paraId="439FC31B" w14:textId="77777777" w:rsidR="00750B3D" w:rsidRDefault="00750B3D" w:rsidP="00750B3D">
      <w:pPr>
        <w:pStyle w:val="HTMLPreformatted"/>
        <w:rPr>
          <w:color w:val="000000"/>
        </w:rPr>
      </w:pPr>
      <w:r>
        <w:rPr>
          <w:color w:val="000000"/>
        </w:rPr>
        <w:t xml:space="preserve">    (3) </w:t>
      </w:r>
      <w:proofErr w:type="gramStart"/>
      <w:r>
        <w:rPr>
          <w:color w:val="000000"/>
        </w:rPr>
        <w:t>A  psychologist</w:t>
      </w:r>
      <w:proofErr w:type="gramEnd"/>
      <w:r>
        <w:rPr>
          <w:color w:val="000000"/>
        </w:rPr>
        <w:t>,  social  worker  or  psychiatrist  authorized  to</w:t>
      </w:r>
    </w:p>
    <w:p w14:paraId="630CBC32" w14:textId="77777777" w:rsidR="00750B3D" w:rsidRDefault="00750B3D" w:rsidP="00750B3D">
      <w:pPr>
        <w:pStyle w:val="HTMLPreformatted"/>
        <w:rPr>
          <w:color w:val="000000"/>
        </w:rPr>
      </w:pPr>
      <w:r>
        <w:rPr>
          <w:color w:val="000000"/>
        </w:rPr>
        <w:t xml:space="preserve">  </w:t>
      </w:r>
      <w:proofErr w:type="gramStart"/>
      <w:r>
        <w:rPr>
          <w:color w:val="000000"/>
        </w:rPr>
        <w:t>conduct  court</w:t>
      </w:r>
      <w:proofErr w:type="gramEnd"/>
      <w:r>
        <w:rPr>
          <w:color w:val="000000"/>
        </w:rPr>
        <w:t xml:space="preserve">  ordered  child  custody forensic evaluations pursuant to</w:t>
      </w:r>
    </w:p>
    <w:p w14:paraId="7A9CBEC0" w14:textId="77777777" w:rsidR="00750B3D" w:rsidRDefault="00750B3D" w:rsidP="00750B3D">
      <w:pPr>
        <w:pStyle w:val="HTMLPreformatted"/>
        <w:rPr>
          <w:color w:val="000000"/>
        </w:rPr>
      </w:pPr>
      <w:r>
        <w:rPr>
          <w:color w:val="000000"/>
        </w:rPr>
        <w:t xml:space="preserve">  this section shall notify the court in which such individual requests to</w:t>
      </w:r>
    </w:p>
    <w:p w14:paraId="6A4EBDDD" w14:textId="77777777" w:rsidR="00750B3D" w:rsidRDefault="00750B3D" w:rsidP="00750B3D">
      <w:pPr>
        <w:pStyle w:val="HTMLPreformatted"/>
        <w:rPr>
          <w:color w:val="000000"/>
        </w:rPr>
      </w:pPr>
      <w:r>
        <w:rPr>
          <w:color w:val="000000"/>
        </w:rPr>
        <w:t xml:space="preserve">  be considered for </w:t>
      </w:r>
      <w:proofErr w:type="gramStart"/>
      <w:r>
        <w:rPr>
          <w:color w:val="000000"/>
        </w:rPr>
        <w:t>such  court</w:t>
      </w:r>
      <w:proofErr w:type="gramEnd"/>
      <w:r>
        <w:rPr>
          <w:color w:val="000000"/>
        </w:rPr>
        <w:t xml:space="preserve">  ordered  evaluations.  </w:t>
      </w:r>
      <w:proofErr w:type="gramStart"/>
      <w:r>
        <w:rPr>
          <w:color w:val="000000"/>
        </w:rPr>
        <w:t>Any  psychologist</w:t>
      </w:r>
      <w:proofErr w:type="gramEnd"/>
      <w:r>
        <w:rPr>
          <w:color w:val="000000"/>
        </w:rPr>
        <w:t>,</w:t>
      </w:r>
    </w:p>
    <w:p w14:paraId="69D6B9B3" w14:textId="77777777" w:rsidR="00750B3D" w:rsidRDefault="00750B3D" w:rsidP="00750B3D">
      <w:pPr>
        <w:pStyle w:val="HTMLPreformatted"/>
        <w:rPr>
          <w:color w:val="000000"/>
        </w:rPr>
      </w:pPr>
      <w:r>
        <w:rPr>
          <w:color w:val="000000"/>
        </w:rPr>
        <w:t xml:space="preserve">  </w:t>
      </w:r>
      <w:proofErr w:type="gramStart"/>
      <w:r>
        <w:rPr>
          <w:color w:val="000000"/>
        </w:rPr>
        <w:t>social  worker</w:t>
      </w:r>
      <w:proofErr w:type="gramEnd"/>
      <w:r>
        <w:rPr>
          <w:color w:val="000000"/>
        </w:rPr>
        <w:t xml:space="preserve">  or  psychiatrist who no longer meets the requirements of</w:t>
      </w:r>
    </w:p>
    <w:p w14:paraId="6D9EEFE0" w14:textId="77777777" w:rsidR="00750B3D" w:rsidRDefault="00750B3D" w:rsidP="00750B3D">
      <w:pPr>
        <w:pStyle w:val="HTMLPreformatted"/>
        <w:rPr>
          <w:color w:val="000000"/>
        </w:rPr>
      </w:pPr>
      <w:r>
        <w:rPr>
          <w:color w:val="000000"/>
        </w:rPr>
        <w:t xml:space="preserve">  this section in regards to completing </w:t>
      </w:r>
      <w:proofErr w:type="gramStart"/>
      <w:r>
        <w:rPr>
          <w:color w:val="000000"/>
        </w:rPr>
        <w:t>within  the</w:t>
      </w:r>
      <w:proofErr w:type="gramEnd"/>
      <w:r>
        <w:rPr>
          <w:color w:val="000000"/>
        </w:rPr>
        <w:t xml:space="preserve">  last  two  years  the</w:t>
      </w:r>
    </w:p>
    <w:p w14:paraId="05655B24" w14:textId="77777777" w:rsidR="00750B3D" w:rsidRDefault="00750B3D" w:rsidP="00750B3D">
      <w:pPr>
        <w:pStyle w:val="HTMLPreformatted"/>
        <w:rPr>
          <w:color w:val="000000"/>
        </w:rPr>
      </w:pPr>
      <w:r>
        <w:rPr>
          <w:color w:val="000000"/>
        </w:rPr>
        <w:t xml:space="preserve">  </w:t>
      </w:r>
      <w:proofErr w:type="gramStart"/>
      <w:r>
        <w:rPr>
          <w:color w:val="000000"/>
        </w:rPr>
        <w:t>training  program</w:t>
      </w:r>
      <w:proofErr w:type="gramEnd"/>
      <w:r>
        <w:rPr>
          <w:color w:val="000000"/>
        </w:rPr>
        <w:t xml:space="preserve">  pursuant  to  paragraph  (o)  of subdivision three of</w:t>
      </w:r>
    </w:p>
    <w:p w14:paraId="1C6623CF" w14:textId="77777777" w:rsidR="00750B3D" w:rsidRDefault="00750B3D" w:rsidP="00750B3D">
      <w:pPr>
        <w:pStyle w:val="HTMLPreformatted"/>
        <w:rPr>
          <w:color w:val="000000"/>
        </w:rPr>
      </w:pPr>
      <w:r>
        <w:rPr>
          <w:color w:val="000000"/>
        </w:rPr>
        <w:t xml:space="preserve">  </w:t>
      </w:r>
      <w:proofErr w:type="gramStart"/>
      <w:r>
        <w:rPr>
          <w:color w:val="000000"/>
        </w:rPr>
        <w:t>section  five</w:t>
      </w:r>
      <w:proofErr w:type="gramEnd"/>
      <w:r>
        <w:rPr>
          <w:color w:val="000000"/>
        </w:rPr>
        <w:t xml:space="preserve">  hundred  seventy-five  of  the  executive  law  shall  be</w:t>
      </w:r>
    </w:p>
    <w:p w14:paraId="15788ABA" w14:textId="77777777" w:rsidR="00750B3D" w:rsidRDefault="00750B3D" w:rsidP="00750B3D">
      <w:pPr>
        <w:pStyle w:val="HTMLPreformatted"/>
        <w:rPr>
          <w:color w:val="000000"/>
        </w:rPr>
      </w:pPr>
      <w:r>
        <w:rPr>
          <w:color w:val="000000"/>
        </w:rPr>
        <w:t xml:space="preserve">  obligated   to   inform   such   courts   </w:t>
      </w:r>
      <w:proofErr w:type="gramStart"/>
      <w:r>
        <w:rPr>
          <w:color w:val="000000"/>
        </w:rPr>
        <w:t>within  seventy</w:t>
      </w:r>
      <w:proofErr w:type="gramEnd"/>
      <w:r>
        <w:rPr>
          <w:color w:val="000000"/>
        </w:rPr>
        <w:t>-two  hours  of</w:t>
      </w:r>
    </w:p>
    <w:p w14:paraId="4C6EC2D5" w14:textId="77777777" w:rsidR="00750B3D" w:rsidRDefault="00750B3D" w:rsidP="00750B3D">
      <w:pPr>
        <w:pStyle w:val="HTMLPreformatted"/>
        <w:rPr>
          <w:color w:val="000000"/>
        </w:rPr>
      </w:pPr>
      <w:r>
        <w:rPr>
          <w:color w:val="000000"/>
        </w:rPr>
        <w:t xml:space="preserve">  noncompliance so as to be removed from consideration </w:t>
      </w:r>
      <w:proofErr w:type="gramStart"/>
      <w:r>
        <w:rPr>
          <w:color w:val="000000"/>
        </w:rPr>
        <w:t>for  court</w:t>
      </w:r>
      <w:proofErr w:type="gramEnd"/>
      <w:r>
        <w:rPr>
          <w:color w:val="000000"/>
        </w:rPr>
        <w:t xml:space="preserve">  ordered</w:t>
      </w:r>
    </w:p>
    <w:p w14:paraId="5035473C" w14:textId="77777777" w:rsidR="00750B3D" w:rsidRDefault="00750B3D" w:rsidP="00750B3D">
      <w:pPr>
        <w:pStyle w:val="HTMLPreformatted"/>
        <w:rPr>
          <w:color w:val="000000"/>
        </w:rPr>
      </w:pPr>
      <w:r>
        <w:rPr>
          <w:color w:val="000000"/>
        </w:rPr>
        <w:t xml:space="preserve">  evaluations.</w:t>
      </w:r>
    </w:p>
    <w:p w14:paraId="26FAAB2E" w14:textId="77777777" w:rsidR="00750B3D" w:rsidRDefault="00750B3D" w:rsidP="00750B3D">
      <w:pPr>
        <w:pStyle w:val="HTMLPreformatted"/>
        <w:rPr>
          <w:color w:val="000000"/>
        </w:rPr>
      </w:pPr>
      <w:r>
        <w:rPr>
          <w:color w:val="000000"/>
        </w:rPr>
        <w:t xml:space="preserve">    (4)  </w:t>
      </w:r>
      <w:proofErr w:type="gramStart"/>
      <w:r>
        <w:rPr>
          <w:color w:val="000000"/>
        </w:rPr>
        <w:t>Upon  appointment</w:t>
      </w:r>
      <w:proofErr w:type="gramEnd"/>
      <w:r>
        <w:rPr>
          <w:color w:val="000000"/>
        </w:rPr>
        <w:t>,  the  court  shall  require such child custody</w:t>
      </w:r>
    </w:p>
    <w:p w14:paraId="7985CA24" w14:textId="77777777" w:rsidR="00750B3D" w:rsidRDefault="00750B3D" w:rsidP="00750B3D">
      <w:pPr>
        <w:pStyle w:val="HTMLPreformatted"/>
        <w:rPr>
          <w:color w:val="000000"/>
        </w:rPr>
      </w:pPr>
      <w:r>
        <w:rPr>
          <w:color w:val="000000"/>
        </w:rPr>
        <w:t xml:space="preserve">  forensic evaluator to show proof of certification for </w:t>
      </w:r>
      <w:proofErr w:type="gramStart"/>
      <w:r>
        <w:rPr>
          <w:color w:val="000000"/>
        </w:rPr>
        <w:t>completing  within</w:t>
      </w:r>
      <w:proofErr w:type="gramEnd"/>
    </w:p>
    <w:p w14:paraId="1CA8BD64" w14:textId="77777777" w:rsidR="00750B3D" w:rsidRDefault="00750B3D" w:rsidP="00750B3D">
      <w:pPr>
        <w:pStyle w:val="HTMLPreformatted"/>
        <w:rPr>
          <w:color w:val="000000"/>
        </w:rPr>
      </w:pPr>
      <w:r>
        <w:rPr>
          <w:color w:val="000000"/>
        </w:rPr>
        <w:t xml:space="preserve">  </w:t>
      </w:r>
      <w:proofErr w:type="gramStart"/>
      <w:r>
        <w:rPr>
          <w:color w:val="000000"/>
        </w:rPr>
        <w:t>the  last</w:t>
      </w:r>
      <w:proofErr w:type="gramEnd"/>
      <w:r>
        <w:rPr>
          <w:color w:val="000000"/>
        </w:rPr>
        <w:t xml:space="preserve">  two  years  the training program pursuant to paragraph (o) of</w:t>
      </w:r>
    </w:p>
    <w:p w14:paraId="107677FA" w14:textId="77777777" w:rsidR="00750B3D" w:rsidRDefault="00750B3D" w:rsidP="00750B3D">
      <w:pPr>
        <w:pStyle w:val="HTMLPreformatted"/>
        <w:rPr>
          <w:color w:val="000000"/>
        </w:rPr>
      </w:pPr>
      <w:r>
        <w:rPr>
          <w:color w:val="000000"/>
        </w:rPr>
        <w:t xml:space="preserve">  subdivision three of section five hundred seventy-five of </w:t>
      </w:r>
      <w:proofErr w:type="gramStart"/>
      <w:r>
        <w:rPr>
          <w:color w:val="000000"/>
        </w:rPr>
        <w:t>the  executive</w:t>
      </w:r>
      <w:proofErr w:type="gramEnd"/>
    </w:p>
    <w:p w14:paraId="2BE572B6" w14:textId="77777777" w:rsidR="00750B3D" w:rsidRDefault="00750B3D" w:rsidP="00750B3D">
      <w:pPr>
        <w:pStyle w:val="HTMLPreformatted"/>
        <w:rPr>
          <w:color w:val="000000"/>
        </w:rPr>
      </w:pPr>
      <w:r>
        <w:rPr>
          <w:color w:val="000000"/>
        </w:rPr>
        <w:t xml:space="preserve">  law.</w:t>
      </w:r>
    </w:p>
    <w:p w14:paraId="1C6E6F22" w14:textId="77777777" w:rsidR="00750B3D" w:rsidRDefault="00750B3D" w:rsidP="00750B3D">
      <w:pPr>
        <w:pStyle w:val="HTMLPreformatted"/>
        <w:rPr>
          <w:color w:val="000000"/>
        </w:rPr>
      </w:pPr>
      <w:r>
        <w:rPr>
          <w:color w:val="000000"/>
        </w:rPr>
        <w:t xml:space="preserve">    (5)  </w:t>
      </w:r>
      <w:proofErr w:type="gramStart"/>
      <w:r>
        <w:rPr>
          <w:color w:val="000000"/>
        </w:rPr>
        <w:t>A  court</w:t>
      </w:r>
      <w:proofErr w:type="gramEnd"/>
      <w:r>
        <w:rPr>
          <w:color w:val="000000"/>
        </w:rPr>
        <w:t xml:space="preserve"> shall appoint a forensic evaluator who has completed the</w:t>
      </w:r>
    </w:p>
    <w:p w14:paraId="53AA3BF9" w14:textId="77777777" w:rsidR="00750B3D" w:rsidRDefault="00750B3D" w:rsidP="00750B3D">
      <w:pPr>
        <w:pStyle w:val="HTMLPreformatted"/>
        <w:rPr>
          <w:color w:val="000000"/>
        </w:rPr>
      </w:pPr>
      <w:r>
        <w:rPr>
          <w:color w:val="000000"/>
        </w:rPr>
        <w:t xml:space="preserve">  training program pursuant </w:t>
      </w:r>
      <w:proofErr w:type="gramStart"/>
      <w:r>
        <w:rPr>
          <w:color w:val="000000"/>
        </w:rPr>
        <w:t>to  paragraph</w:t>
      </w:r>
      <w:proofErr w:type="gramEnd"/>
      <w:r>
        <w:rPr>
          <w:color w:val="000000"/>
        </w:rPr>
        <w:t xml:space="preserve">  (o)  of  subdivision  three  of</w:t>
      </w:r>
    </w:p>
    <w:p w14:paraId="44CBAA61" w14:textId="77777777" w:rsidR="00750B3D" w:rsidRDefault="00750B3D" w:rsidP="00750B3D">
      <w:pPr>
        <w:pStyle w:val="HTMLPreformatted"/>
        <w:rPr>
          <w:color w:val="000000"/>
        </w:rPr>
      </w:pPr>
      <w:r>
        <w:rPr>
          <w:color w:val="000000"/>
        </w:rPr>
        <w:t xml:space="preserve">  section five hundred seventy-five of the executive law when the child is</w:t>
      </w:r>
    </w:p>
    <w:p w14:paraId="54542CCB" w14:textId="77777777" w:rsidR="00750B3D" w:rsidRDefault="00750B3D" w:rsidP="00750B3D">
      <w:pPr>
        <w:pStyle w:val="HTMLPreformatted"/>
        <w:rPr>
          <w:color w:val="000000"/>
        </w:rPr>
      </w:pPr>
      <w:r>
        <w:rPr>
          <w:color w:val="000000"/>
        </w:rPr>
        <w:t xml:space="preserve">  </w:t>
      </w:r>
      <w:proofErr w:type="gramStart"/>
      <w:r>
        <w:rPr>
          <w:color w:val="000000"/>
        </w:rPr>
        <w:t>living  out</w:t>
      </w:r>
      <w:proofErr w:type="gramEnd"/>
      <w:r>
        <w:rPr>
          <w:color w:val="000000"/>
        </w:rPr>
        <w:t>-of-state  and is farther than one hundred miles from the New</w:t>
      </w:r>
    </w:p>
    <w:p w14:paraId="3C47549E" w14:textId="77777777" w:rsidR="00750B3D" w:rsidRDefault="00750B3D" w:rsidP="00750B3D">
      <w:pPr>
        <w:pStyle w:val="HTMLPreformatted"/>
        <w:rPr>
          <w:color w:val="000000"/>
        </w:rPr>
      </w:pPr>
      <w:r>
        <w:rPr>
          <w:color w:val="000000"/>
        </w:rPr>
        <w:t xml:space="preserve">  </w:t>
      </w:r>
      <w:proofErr w:type="gramStart"/>
      <w:r>
        <w:rPr>
          <w:color w:val="000000"/>
        </w:rPr>
        <w:t>York  state</w:t>
      </w:r>
      <w:proofErr w:type="gramEnd"/>
      <w:r>
        <w:rPr>
          <w:color w:val="000000"/>
        </w:rPr>
        <w:t xml:space="preserve">  border;  provided,  however,  that  such  forensic  custody</w:t>
      </w:r>
    </w:p>
    <w:p w14:paraId="17860851" w14:textId="77777777" w:rsidR="00750B3D" w:rsidRDefault="00750B3D" w:rsidP="00750B3D">
      <w:pPr>
        <w:pStyle w:val="HTMLPreformatted"/>
        <w:rPr>
          <w:color w:val="000000"/>
        </w:rPr>
      </w:pPr>
      <w:r>
        <w:rPr>
          <w:color w:val="000000"/>
        </w:rPr>
        <w:t xml:space="preserve">  evaluation   may   </w:t>
      </w:r>
      <w:proofErr w:type="gramStart"/>
      <w:r>
        <w:rPr>
          <w:color w:val="000000"/>
        </w:rPr>
        <w:t>be  conducted</w:t>
      </w:r>
      <w:proofErr w:type="gramEnd"/>
      <w:r>
        <w:rPr>
          <w:color w:val="000000"/>
        </w:rPr>
        <w:t xml:space="preserve">  remotely  utilizing  videoconferencing</w:t>
      </w:r>
    </w:p>
    <w:p w14:paraId="0BF9D9E1" w14:textId="77777777" w:rsidR="00750B3D" w:rsidRDefault="00750B3D" w:rsidP="00750B3D">
      <w:pPr>
        <w:pStyle w:val="HTMLPreformatted"/>
        <w:rPr>
          <w:color w:val="000000"/>
        </w:rPr>
      </w:pPr>
      <w:r>
        <w:rPr>
          <w:color w:val="000000"/>
        </w:rPr>
        <w:t xml:space="preserve">  technology. The evaluator must take all </w:t>
      </w:r>
      <w:proofErr w:type="gramStart"/>
      <w:r>
        <w:rPr>
          <w:color w:val="000000"/>
        </w:rPr>
        <w:t>steps  reasonably</w:t>
      </w:r>
      <w:proofErr w:type="gramEnd"/>
      <w:r>
        <w:rPr>
          <w:color w:val="000000"/>
        </w:rPr>
        <w:t xml:space="preserve">  available  to</w:t>
      </w:r>
    </w:p>
    <w:p w14:paraId="0B284709" w14:textId="77777777" w:rsidR="00750B3D" w:rsidRDefault="00750B3D" w:rsidP="00750B3D">
      <w:pPr>
        <w:pStyle w:val="HTMLPreformatted"/>
        <w:rPr>
          <w:color w:val="000000"/>
        </w:rPr>
      </w:pPr>
      <w:r>
        <w:rPr>
          <w:color w:val="000000"/>
        </w:rPr>
        <w:t xml:space="preserve">  protect   the   </w:t>
      </w:r>
      <w:proofErr w:type="gramStart"/>
      <w:r>
        <w:rPr>
          <w:color w:val="000000"/>
        </w:rPr>
        <w:t>confidentiality  of</w:t>
      </w:r>
      <w:proofErr w:type="gramEnd"/>
      <w:r>
        <w:rPr>
          <w:color w:val="000000"/>
        </w:rPr>
        <w:t xml:space="preserve">  the  child's  disclosures  for  any</w:t>
      </w:r>
    </w:p>
    <w:p w14:paraId="2339E3E3" w14:textId="77777777" w:rsidR="00750B3D" w:rsidRDefault="00750B3D" w:rsidP="00750B3D">
      <w:pPr>
        <w:pStyle w:val="HTMLPreformatted"/>
        <w:rPr>
          <w:color w:val="000000"/>
        </w:rPr>
      </w:pPr>
      <w:r>
        <w:rPr>
          <w:color w:val="000000"/>
        </w:rPr>
        <w:t xml:space="preserve">  evaluation conducted remotely utilizing videoconferencing technology, as</w:t>
      </w:r>
    </w:p>
    <w:p w14:paraId="7EE8371B" w14:textId="77777777" w:rsidR="00750B3D" w:rsidRDefault="00750B3D" w:rsidP="00750B3D">
      <w:pPr>
        <w:pStyle w:val="HTMLPreformatted"/>
        <w:rPr>
          <w:color w:val="000000"/>
        </w:rPr>
      </w:pPr>
      <w:r>
        <w:rPr>
          <w:color w:val="000000"/>
        </w:rPr>
        <w:t xml:space="preserve">  needed.</w:t>
      </w:r>
    </w:p>
    <w:bookmarkEnd w:id="7"/>
    <w:p w14:paraId="6D03AA99" w14:textId="77777777" w:rsidR="00D17A8F" w:rsidRDefault="00D17A8F" w:rsidP="009719A3">
      <w:pPr>
        <w:pStyle w:val="Heading2"/>
        <w:numPr>
          <w:ilvl w:val="0"/>
          <w:numId w:val="0"/>
        </w:numPr>
        <w:jc w:val="both"/>
        <w:rPr>
          <w:b/>
          <w:bCs/>
        </w:rPr>
      </w:pPr>
    </w:p>
    <w:p w14:paraId="3564034E" w14:textId="381732C6" w:rsidR="009719A3" w:rsidRPr="009719A3" w:rsidRDefault="009719A3" w:rsidP="009719A3">
      <w:pPr>
        <w:pStyle w:val="Heading2"/>
        <w:numPr>
          <w:ilvl w:val="0"/>
          <w:numId w:val="0"/>
        </w:numPr>
        <w:jc w:val="both"/>
        <w:rPr>
          <w:b/>
          <w:bCs/>
        </w:rPr>
      </w:pPr>
      <w:r w:rsidRPr="009719A3">
        <w:rPr>
          <w:b/>
          <w:bCs/>
        </w:rPr>
        <w:t xml:space="preserve">Extreme Risk Orders of Protection – Exempt from Index Number Fee </w:t>
      </w:r>
    </w:p>
    <w:p w14:paraId="5C11E3FB" w14:textId="58DF891F" w:rsidR="009719A3" w:rsidRDefault="009719A3" w:rsidP="009719A3">
      <w:pPr>
        <w:pStyle w:val="Heading2"/>
        <w:numPr>
          <w:ilvl w:val="0"/>
          <w:numId w:val="0"/>
        </w:numPr>
        <w:jc w:val="both"/>
      </w:pPr>
      <w:r w:rsidRPr="009719A3">
        <w:tab/>
        <w:t xml:space="preserve">CPLR §8018(b) is </w:t>
      </w:r>
      <w:r w:rsidRPr="009719A3">
        <w:rPr>
          <w:b/>
          <w:bCs/>
          <w:u w:val="single"/>
        </w:rPr>
        <w:t>amended, effective September 15, 2023</w:t>
      </w:r>
      <w:r w:rsidRPr="009719A3">
        <w:t>, by the addition of a new paragraph 6, which exempts applications for extreme risk orders of protection pursuant to CPLR Article 63-a from the index number fee. A.05835/S.03436, Laws of 2023, Chapter 428.</w:t>
      </w:r>
    </w:p>
    <w:p w14:paraId="29CD96C4" w14:textId="77777777" w:rsidR="00750B3D" w:rsidRPr="00750B3D" w:rsidRDefault="00750B3D" w:rsidP="00750B3D">
      <w:pPr>
        <w:pStyle w:val="Heading2"/>
        <w:numPr>
          <w:ilvl w:val="0"/>
          <w:numId w:val="0"/>
        </w:numPr>
        <w:rPr>
          <w:b/>
          <w:bCs/>
        </w:rPr>
      </w:pPr>
      <w:bookmarkStart w:id="8" w:name="_Hlk157178423"/>
      <w:r w:rsidRPr="00750B3D">
        <w:rPr>
          <w:b/>
          <w:bCs/>
        </w:rPr>
        <w:t>Gender Affirming Care</w:t>
      </w:r>
    </w:p>
    <w:p w14:paraId="4F1DB7DE" w14:textId="77777777" w:rsidR="00750B3D" w:rsidRPr="00750B3D" w:rsidRDefault="00750B3D" w:rsidP="00750B3D">
      <w:pPr>
        <w:pStyle w:val="Heading2"/>
        <w:numPr>
          <w:ilvl w:val="0"/>
          <w:numId w:val="0"/>
        </w:numPr>
      </w:pPr>
      <w:r w:rsidRPr="00750B3D">
        <w:tab/>
        <w:t xml:space="preserve">Family Court Act 659 is </w:t>
      </w:r>
      <w:r w:rsidRPr="00750B3D">
        <w:rPr>
          <w:b/>
          <w:bCs/>
          <w:u w:val="single"/>
        </w:rPr>
        <w:t>added, effective June 25, 2023</w:t>
      </w:r>
      <w:r w:rsidRPr="00750B3D">
        <w:t>, and provides:</w:t>
      </w:r>
    </w:p>
    <w:p w14:paraId="4223913F" w14:textId="77777777" w:rsidR="00750B3D" w:rsidRPr="00750B3D" w:rsidRDefault="00750B3D" w:rsidP="00750B3D">
      <w:pPr>
        <w:pStyle w:val="HTMLPreformatted"/>
        <w:jc w:val="both"/>
        <w:rPr>
          <w:color w:val="000000"/>
        </w:rPr>
      </w:pPr>
      <w:r w:rsidRPr="00750B3D">
        <w:lastRenderedPageBreak/>
        <w:tab/>
        <w:t xml:space="preserve">§659. </w:t>
      </w:r>
      <w:r w:rsidRPr="00750B3D">
        <w:rPr>
          <w:color w:val="000000"/>
        </w:rPr>
        <w:t>Consideration of law allowing gender-affirming care. 1. A law</w:t>
      </w:r>
    </w:p>
    <w:p w14:paraId="6987F04E" w14:textId="77777777" w:rsidR="00750B3D" w:rsidRPr="00750B3D" w:rsidRDefault="00750B3D" w:rsidP="00750B3D">
      <w:pPr>
        <w:pStyle w:val="HTMLPreformatted"/>
        <w:jc w:val="both"/>
        <w:rPr>
          <w:color w:val="000000"/>
        </w:rPr>
      </w:pPr>
      <w:r w:rsidRPr="00750B3D">
        <w:rPr>
          <w:color w:val="000000"/>
        </w:rPr>
        <w:t xml:space="preserve">  of another state that authorizes a child to be removed from their parent</w:t>
      </w:r>
    </w:p>
    <w:p w14:paraId="1F1AD90C" w14:textId="77777777" w:rsidR="00750B3D" w:rsidRPr="00750B3D" w:rsidRDefault="00750B3D" w:rsidP="00750B3D">
      <w:pPr>
        <w:pStyle w:val="HTMLPreformatted"/>
        <w:jc w:val="both"/>
        <w:rPr>
          <w:color w:val="000000"/>
        </w:rPr>
      </w:pPr>
      <w:r w:rsidRPr="00750B3D">
        <w:rPr>
          <w:color w:val="000000"/>
        </w:rPr>
        <w:t xml:space="preserve">  or guardian based on the parent or guardian allowing their child to</w:t>
      </w:r>
    </w:p>
    <w:p w14:paraId="64056CBC" w14:textId="77777777" w:rsidR="00750B3D" w:rsidRPr="00750B3D" w:rsidRDefault="00750B3D" w:rsidP="00750B3D">
      <w:pPr>
        <w:pStyle w:val="HTMLPreformatted"/>
        <w:jc w:val="both"/>
        <w:rPr>
          <w:color w:val="000000"/>
        </w:rPr>
      </w:pPr>
      <w:r w:rsidRPr="00750B3D">
        <w:rPr>
          <w:color w:val="000000"/>
        </w:rPr>
        <w:t xml:space="preserve">  receive gender-affirming care shall not be enforced or applied in a case</w:t>
      </w:r>
    </w:p>
    <w:p w14:paraId="3F295E29" w14:textId="77777777" w:rsidR="00750B3D" w:rsidRPr="00750B3D" w:rsidRDefault="00750B3D" w:rsidP="00750B3D">
      <w:pPr>
        <w:pStyle w:val="HTMLPreformatted"/>
        <w:jc w:val="both"/>
        <w:rPr>
          <w:color w:val="000000"/>
        </w:rPr>
      </w:pPr>
      <w:r w:rsidRPr="00750B3D">
        <w:rPr>
          <w:color w:val="000000"/>
        </w:rPr>
        <w:t xml:space="preserve">  pending in a court in this state.</w:t>
      </w:r>
    </w:p>
    <w:p w14:paraId="310E1A05" w14:textId="77777777" w:rsidR="00750B3D" w:rsidRPr="00750B3D" w:rsidRDefault="00750B3D" w:rsidP="00750B3D">
      <w:pPr>
        <w:pStyle w:val="HTMLPreformatted"/>
        <w:jc w:val="both"/>
        <w:rPr>
          <w:color w:val="000000"/>
        </w:rPr>
      </w:pPr>
      <w:r w:rsidRPr="00750B3D">
        <w:rPr>
          <w:color w:val="000000"/>
        </w:rPr>
        <w:t xml:space="preserve">    2.  No court in this state shall admit or consider a finding of abuse</w:t>
      </w:r>
    </w:p>
    <w:p w14:paraId="05090477" w14:textId="77777777" w:rsidR="00750B3D" w:rsidRPr="00750B3D" w:rsidRDefault="00750B3D" w:rsidP="00750B3D">
      <w:pPr>
        <w:pStyle w:val="HTMLPreformatted"/>
        <w:jc w:val="both"/>
        <w:rPr>
          <w:color w:val="000000"/>
        </w:rPr>
      </w:pPr>
      <w:r w:rsidRPr="00750B3D">
        <w:rPr>
          <w:color w:val="000000"/>
        </w:rPr>
        <w:t xml:space="preserve">  based on the parent or guardian allowing their child to receive or seek</w:t>
      </w:r>
    </w:p>
    <w:p w14:paraId="45FD0A1E" w14:textId="77777777" w:rsidR="00750B3D" w:rsidRPr="00750B3D" w:rsidRDefault="00750B3D" w:rsidP="00750B3D">
      <w:pPr>
        <w:pStyle w:val="HTMLPreformatted"/>
        <w:jc w:val="both"/>
        <w:rPr>
          <w:color w:val="000000"/>
        </w:rPr>
      </w:pPr>
      <w:r w:rsidRPr="00750B3D">
        <w:rPr>
          <w:color w:val="000000"/>
        </w:rPr>
        <w:t xml:space="preserve">  gender-affirming care as evidence in any proceeding with respect to that</w:t>
      </w:r>
    </w:p>
    <w:p w14:paraId="177A0647" w14:textId="77777777" w:rsidR="00750B3D" w:rsidRPr="00750B3D" w:rsidRDefault="00750B3D" w:rsidP="00750B3D">
      <w:pPr>
        <w:pStyle w:val="HTMLPreformatted"/>
        <w:jc w:val="both"/>
        <w:rPr>
          <w:color w:val="000000"/>
        </w:rPr>
      </w:pPr>
      <w:r w:rsidRPr="00750B3D">
        <w:rPr>
          <w:color w:val="000000"/>
        </w:rPr>
        <w:t xml:space="preserve">  parent or guardian and any of their children, unless such conduct would</w:t>
      </w:r>
    </w:p>
    <w:p w14:paraId="3F4FA26B" w14:textId="77777777" w:rsidR="00750B3D" w:rsidRPr="00750B3D" w:rsidRDefault="00750B3D" w:rsidP="00750B3D">
      <w:pPr>
        <w:pStyle w:val="HTMLPreformatted"/>
        <w:jc w:val="both"/>
        <w:rPr>
          <w:color w:val="000000"/>
        </w:rPr>
      </w:pPr>
      <w:r w:rsidRPr="00750B3D">
        <w:rPr>
          <w:color w:val="000000"/>
        </w:rPr>
        <w:t xml:space="preserve">  constitute abuse under the laws of this state if it occurred in this</w:t>
      </w:r>
    </w:p>
    <w:p w14:paraId="6D16A76E" w14:textId="77777777" w:rsidR="00750B3D" w:rsidRPr="00750B3D" w:rsidRDefault="00750B3D" w:rsidP="00750B3D">
      <w:pPr>
        <w:pStyle w:val="HTMLPreformatted"/>
        <w:jc w:val="both"/>
        <w:rPr>
          <w:color w:val="000000"/>
        </w:rPr>
      </w:pPr>
      <w:r w:rsidRPr="00750B3D">
        <w:rPr>
          <w:color w:val="000000"/>
        </w:rPr>
        <w:t xml:space="preserve">  state.</w:t>
      </w:r>
    </w:p>
    <w:p w14:paraId="2ED0A582" w14:textId="77777777" w:rsidR="00750B3D" w:rsidRDefault="00750B3D" w:rsidP="00750B3D">
      <w:pPr>
        <w:pStyle w:val="Heading2"/>
        <w:numPr>
          <w:ilvl w:val="0"/>
          <w:numId w:val="0"/>
        </w:numPr>
        <w:jc w:val="both"/>
      </w:pPr>
      <w:r w:rsidRPr="00750B3D">
        <w:tab/>
      </w:r>
    </w:p>
    <w:p w14:paraId="608357D6" w14:textId="7B7CA20A" w:rsidR="00750B3D" w:rsidRPr="009719A3" w:rsidRDefault="00750B3D" w:rsidP="00750B3D">
      <w:pPr>
        <w:pStyle w:val="Heading2"/>
        <w:numPr>
          <w:ilvl w:val="0"/>
          <w:numId w:val="0"/>
        </w:numPr>
        <w:jc w:val="both"/>
      </w:pPr>
      <w:r w:rsidRPr="00750B3D">
        <w:t>A.06</w:t>
      </w:r>
      <w:r w:rsidR="00D17A8F">
        <w:t>0</w:t>
      </w:r>
      <w:r w:rsidRPr="00750B3D">
        <w:t>46B/S</w:t>
      </w:r>
      <w:r w:rsidR="00D17A8F">
        <w:t>.</w:t>
      </w:r>
      <w:r w:rsidRPr="00750B3D">
        <w:t>02475</w:t>
      </w:r>
      <w:r w:rsidR="00D17A8F">
        <w:t>B</w:t>
      </w:r>
      <w:r w:rsidRPr="00750B3D">
        <w:t>, Laws of 2023, Chapter 143, signed June 25, 2023. Note that numerous other laws were added or amended to give effect to the policies enacted by new FCA 659, the text of which can be accessed by a search using the above-mentioned bill numbers on the Assembly or Senate websites.</w:t>
      </w:r>
      <w:bookmarkEnd w:id="8"/>
    </w:p>
    <w:p w14:paraId="412E18FC" w14:textId="77777777" w:rsidR="009719A3" w:rsidRPr="00841F77" w:rsidRDefault="009719A3" w:rsidP="00841F77">
      <w:pPr>
        <w:pStyle w:val="Heading2"/>
        <w:numPr>
          <w:ilvl w:val="0"/>
          <w:numId w:val="0"/>
        </w:numPr>
        <w:jc w:val="both"/>
      </w:pPr>
    </w:p>
    <w:p w14:paraId="5AB5873F" w14:textId="7B0EBAC6" w:rsidR="00841F77" w:rsidRPr="00691C58" w:rsidRDefault="00841F77" w:rsidP="00691C58">
      <w:pPr>
        <w:pStyle w:val="Heading2"/>
        <w:numPr>
          <w:ilvl w:val="0"/>
          <w:numId w:val="0"/>
        </w:numPr>
        <w:jc w:val="both"/>
      </w:pPr>
    </w:p>
    <w:p w14:paraId="1B01FDA1" w14:textId="7EB2E3C1" w:rsidR="00691C58" w:rsidRPr="001626DE" w:rsidRDefault="00691C58" w:rsidP="001626DE">
      <w:pPr>
        <w:pStyle w:val="Heading2"/>
        <w:numPr>
          <w:ilvl w:val="0"/>
          <w:numId w:val="0"/>
        </w:numPr>
        <w:jc w:val="both"/>
        <w:rPr>
          <w:b/>
          <w:bCs/>
        </w:rPr>
      </w:pPr>
    </w:p>
    <w:sectPr w:rsidR="00691C58" w:rsidRPr="00162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33C3A"/>
    <w:rsid w:val="00051512"/>
    <w:rsid w:val="0005543C"/>
    <w:rsid w:val="0006780C"/>
    <w:rsid w:val="0007559B"/>
    <w:rsid w:val="000827AF"/>
    <w:rsid w:val="000B21E3"/>
    <w:rsid w:val="000B536B"/>
    <w:rsid w:val="000D7ADC"/>
    <w:rsid w:val="000F47EE"/>
    <w:rsid w:val="001270FF"/>
    <w:rsid w:val="0014019F"/>
    <w:rsid w:val="001626DE"/>
    <w:rsid w:val="00166C26"/>
    <w:rsid w:val="00174DA9"/>
    <w:rsid w:val="00191BDF"/>
    <w:rsid w:val="00192EA0"/>
    <w:rsid w:val="00195367"/>
    <w:rsid w:val="00196B70"/>
    <w:rsid w:val="00197828"/>
    <w:rsid w:val="001A729B"/>
    <w:rsid w:val="001F4CBA"/>
    <w:rsid w:val="00264D9B"/>
    <w:rsid w:val="00266CF4"/>
    <w:rsid w:val="00295975"/>
    <w:rsid w:val="002A378A"/>
    <w:rsid w:val="002B2655"/>
    <w:rsid w:val="002C38DD"/>
    <w:rsid w:val="002F473E"/>
    <w:rsid w:val="002F7615"/>
    <w:rsid w:val="00341AB2"/>
    <w:rsid w:val="00362AAA"/>
    <w:rsid w:val="0039326A"/>
    <w:rsid w:val="003A3A37"/>
    <w:rsid w:val="003B3D44"/>
    <w:rsid w:val="003C5858"/>
    <w:rsid w:val="003E12C1"/>
    <w:rsid w:val="004027AB"/>
    <w:rsid w:val="00423B86"/>
    <w:rsid w:val="00424D96"/>
    <w:rsid w:val="0046490D"/>
    <w:rsid w:val="004D1B2F"/>
    <w:rsid w:val="00534ECF"/>
    <w:rsid w:val="005636F9"/>
    <w:rsid w:val="00574051"/>
    <w:rsid w:val="00574618"/>
    <w:rsid w:val="00593428"/>
    <w:rsid w:val="005A14E6"/>
    <w:rsid w:val="005A63C9"/>
    <w:rsid w:val="005B0F11"/>
    <w:rsid w:val="006008DC"/>
    <w:rsid w:val="00604BBE"/>
    <w:rsid w:val="006207B6"/>
    <w:rsid w:val="006244B6"/>
    <w:rsid w:val="00626431"/>
    <w:rsid w:val="00691C58"/>
    <w:rsid w:val="00695392"/>
    <w:rsid w:val="0069775F"/>
    <w:rsid w:val="006A543B"/>
    <w:rsid w:val="006D181B"/>
    <w:rsid w:val="006E457A"/>
    <w:rsid w:val="006F28E2"/>
    <w:rsid w:val="00704457"/>
    <w:rsid w:val="007165EB"/>
    <w:rsid w:val="007333D3"/>
    <w:rsid w:val="00750B3D"/>
    <w:rsid w:val="00752151"/>
    <w:rsid w:val="007522E2"/>
    <w:rsid w:val="00754F0F"/>
    <w:rsid w:val="007604D9"/>
    <w:rsid w:val="00772BC3"/>
    <w:rsid w:val="007773D2"/>
    <w:rsid w:val="00783A91"/>
    <w:rsid w:val="00783B98"/>
    <w:rsid w:val="00784B49"/>
    <w:rsid w:val="007B398A"/>
    <w:rsid w:val="007B599D"/>
    <w:rsid w:val="007C746B"/>
    <w:rsid w:val="007E0AFE"/>
    <w:rsid w:val="007F0353"/>
    <w:rsid w:val="007F0FE7"/>
    <w:rsid w:val="007F367F"/>
    <w:rsid w:val="008256BC"/>
    <w:rsid w:val="0083296D"/>
    <w:rsid w:val="00837EF3"/>
    <w:rsid w:val="00841F77"/>
    <w:rsid w:val="00855452"/>
    <w:rsid w:val="00915DEF"/>
    <w:rsid w:val="0094100B"/>
    <w:rsid w:val="00963446"/>
    <w:rsid w:val="009719A3"/>
    <w:rsid w:val="0098400E"/>
    <w:rsid w:val="0099446A"/>
    <w:rsid w:val="009A4576"/>
    <w:rsid w:val="009A6AD5"/>
    <w:rsid w:val="009B1427"/>
    <w:rsid w:val="009B457C"/>
    <w:rsid w:val="009C25D9"/>
    <w:rsid w:val="009C2EF5"/>
    <w:rsid w:val="009F0FA5"/>
    <w:rsid w:val="00A01BE5"/>
    <w:rsid w:val="00A06E64"/>
    <w:rsid w:val="00A350A3"/>
    <w:rsid w:val="00A43ED8"/>
    <w:rsid w:val="00A43FC9"/>
    <w:rsid w:val="00A669A6"/>
    <w:rsid w:val="00A746FC"/>
    <w:rsid w:val="00A94CEF"/>
    <w:rsid w:val="00AB1981"/>
    <w:rsid w:val="00AB425B"/>
    <w:rsid w:val="00AD57BF"/>
    <w:rsid w:val="00AD7210"/>
    <w:rsid w:val="00B171AD"/>
    <w:rsid w:val="00B22226"/>
    <w:rsid w:val="00B30C6F"/>
    <w:rsid w:val="00B35C64"/>
    <w:rsid w:val="00B460B4"/>
    <w:rsid w:val="00B649AA"/>
    <w:rsid w:val="00B92FA4"/>
    <w:rsid w:val="00B965AA"/>
    <w:rsid w:val="00BB1342"/>
    <w:rsid w:val="00BE2F60"/>
    <w:rsid w:val="00BE6FC7"/>
    <w:rsid w:val="00C13F4E"/>
    <w:rsid w:val="00C24641"/>
    <w:rsid w:val="00C63A86"/>
    <w:rsid w:val="00C737EA"/>
    <w:rsid w:val="00CA4132"/>
    <w:rsid w:val="00CC22AD"/>
    <w:rsid w:val="00CE265D"/>
    <w:rsid w:val="00CF130C"/>
    <w:rsid w:val="00CF36CC"/>
    <w:rsid w:val="00D053CD"/>
    <w:rsid w:val="00D17A8F"/>
    <w:rsid w:val="00D27CD5"/>
    <w:rsid w:val="00D46011"/>
    <w:rsid w:val="00D70D1D"/>
    <w:rsid w:val="00D752DA"/>
    <w:rsid w:val="00DC1FB8"/>
    <w:rsid w:val="00DC4503"/>
    <w:rsid w:val="00DD0029"/>
    <w:rsid w:val="00E12500"/>
    <w:rsid w:val="00E32494"/>
    <w:rsid w:val="00E42353"/>
    <w:rsid w:val="00E44424"/>
    <w:rsid w:val="00E53F00"/>
    <w:rsid w:val="00EA2EDA"/>
    <w:rsid w:val="00EB3286"/>
    <w:rsid w:val="00EF6197"/>
    <w:rsid w:val="00F433AB"/>
    <w:rsid w:val="00F7094E"/>
    <w:rsid w:val="00F71FA3"/>
    <w:rsid w:val="00F72AB8"/>
    <w:rsid w:val="00FB7F33"/>
    <w:rsid w:val="00FD662D"/>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2024-01-26T21:57:00Z</cp:lastPrinted>
  <dcterms:created xsi:type="dcterms:W3CDTF">2024-01-26T21:58:00Z</dcterms:created>
  <dcterms:modified xsi:type="dcterms:W3CDTF">2024-01-26T21:58:00Z</dcterms:modified>
</cp:coreProperties>
</file>