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B9DA" w14:textId="04D4A9EA" w:rsidR="00963446" w:rsidRDefault="00CA06F9" w:rsidP="00963446">
      <w:pPr>
        <w:pStyle w:val="Heading2"/>
        <w:numPr>
          <w:ilvl w:val="0"/>
          <w:numId w:val="0"/>
        </w:numPr>
        <w:rPr>
          <w:rFonts w:ascii="Stencil" w:hAnsi="Stencil" w:cs="Times New Roman"/>
          <w:b/>
        </w:rPr>
      </w:pPr>
      <w:r>
        <w:rPr>
          <w:rFonts w:ascii="Stencil" w:hAnsi="Stencil" w:cs="Times New Roman"/>
          <w:b/>
          <w:u w:val="single"/>
        </w:rPr>
        <w:t>NYSBA FAMILY LAW SECTION UPDATE,</w:t>
      </w:r>
      <w:r w:rsidR="002F23FB" w:rsidRPr="00D47511">
        <w:rPr>
          <w:rFonts w:ascii="Stencil" w:hAnsi="Stencil" w:cs="Times New Roman"/>
          <w:b/>
        </w:rPr>
        <w:t xml:space="preserve"> </w:t>
      </w:r>
      <w:r w:rsidR="00C83062">
        <w:rPr>
          <w:rFonts w:ascii="Stencil" w:hAnsi="Stencil" w:cs="Times New Roman"/>
          <w:b/>
        </w:rPr>
        <w:t xml:space="preserve">FEBRUARY </w:t>
      </w:r>
      <w:r w:rsidR="0025657B">
        <w:rPr>
          <w:rFonts w:ascii="Stencil" w:hAnsi="Stencil" w:cs="Times New Roman"/>
          <w:b/>
        </w:rPr>
        <w:t>2026</w:t>
      </w:r>
    </w:p>
    <w:p w14:paraId="09CCB385" w14:textId="23D9C2FB" w:rsidR="00963446" w:rsidRPr="00F77769" w:rsidRDefault="00963446" w:rsidP="00963446">
      <w:pPr>
        <w:pStyle w:val="Heading2"/>
        <w:numPr>
          <w:ilvl w:val="0"/>
          <w:numId w:val="0"/>
        </w:numPr>
        <w:spacing w:line="240" w:lineRule="auto"/>
        <w:rPr>
          <w:rFonts w:ascii="Verdana" w:hAnsi="Verdana" w:cs="Times New Roman"/>
          <w:b/>
          <w:bCs/>
        </w:rPr>
      </w:pPr>
      <w:r w:rsidRPr="00F77769">
        <w:rPr>
          <w:rFonts w:ascii="Verdana" w:hAnsi="Verdana" w:cs="Times New Roman"/>
          <w:b/>
          <w:bCs/>
        </w:rPr>
        <w:t>By Bruce J. Wagner</w:t>
      </w:r>
    </w:p>
    <w:p w14:paraId="69A85F08" w14:textId="77777777" w:rsidR="00C83062" w:rsidRDefault="00963446" w:rsidP="0025657B">
      <w:pPr>
        <w:pStyle w:val="Heading2"/>
        <w:numPr>
          <w:ilvl w:val="0"/>
          <w:numId w:val="0"/>
        </w:numPr>
        <w:jc w:val="both"/>
        <w:rPr>
          <w:rFonts w:ascii="Verdana" w:hAnsi="Verdana" w:cs="Times New Roman"/>
          <w:b/>
          <w:bCs/>
        </w:rPr>
      </w:pPr>
      <w:r w:rsidRPr="00F77769">
        <w:rPr>
          <w:rFonts w:ascii="Verdana" w:hAnsi="Verdana" w:cs="Times New Roman"/>
          <w:b/>
          <w:bCs/>
        </w:rPr>
        <w:t>Support Magistrate, Schenectady County Family Court</w:t>
      </w:r>
      <w:r w:rsidR="0025657B">
        <w:rPr>
          <w:rFonts w:ascii="Verdana" w:hAnsi="Verdana" w:cs="Times New Roman"/>
          <w:b/>
          <w:bCs/>
        </w:rPr>
        <w:t xml:space="preserve"> </w:t>
      </w:r>
    </w:p>
    <w:p w14:paraId="77EBAC0B" w14:textId="77777777" w:rsidR="00860AE4" w:rsidRPr="00860AE4" w:rsidRDefault="00860AE4" w:rsidP="00860AE4">
      <w:pPr>
        <w:pStyle w:val="Heading2"/>
        <w:numPr>
          <w:ilvl w:val="0"/>
          <w:numId w:val="0"/>
        </w:numPr>
        <w:rPr>
          <w:b/>
          <w:bCs/>
        </w:rPr>
      </w:pPr>
      <w:r w:rsidRPr="00860AE4">
        <w:rPr>
          <w:rFonts w:ascii="Times New Roman" w:hAnsi="Times New Roman" w:cs="Times New Roman"/>
          <w:b/>
          <w:bCs/>
        </w:rPr>
        <w:t>Arbitration – Stay Limited to Child Support Only</w:t>
      </w:r>
    </w:p>
    <w:p w14:paraId="0B3ADDE4" w14:textId="77777777" w:rsidR="00860AE4" w:rsidRDefault="00860AE4" w:rsidP="00860AE4">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860AE4">
        <w:rPr>
          <w:rFonts w:ascii="Times New Roman" w:hAnsi="Times New Roman" w:cs="Times New Roman"/>
          <w:b/>
          <w:bCs/>
          <w:i/>
          <w:iCs/>
        </w:rPr>
        <w:t>Rosenbaum v Festinger</w:t>
      </w:r>
      <w:r>
        <w:rPr>
          <w:rFonts w:ascii="Times New Roman" w:hAnsi="Times New Roman" w:cs="Times New Roman"/>
        </w:rPr>
        <w:t xml:space="preserve">, 2026 Westlaw 216646 (2d Dept. Jan. 28, 2026), the parties were divorced by a July 2021 judgment which, among other things, directed the husband to pay child support to the wife, which determination was affirmed upon the husband’s appeal therefrom. </w:t>
      </w:r>
      <w:r w:rsidRPr="00860AE4">
        <w:rPr>
          <w:rFonts w:ascii="Times New Roman" w:hAnsi="Times New Roman" w:cs="Times New Roman"/>
          <w:b/>
          <w:bCs/>
          <w:i/>
          <w:iCs/>
        </w:rPr>
        <w:t>Rosenbaum v. Festinger</w:t>
      </w:r>
      <w:r>
        <w:rPr>
          <w:rFonts w:ascii="Times New Roman" w:hAnsi="Times New Roman" w:cs="Times New Roman"/>
        </w:rPr>
        <w:t xml:space="preserve">, 213 AD3d 788 (2d Dept. 2023). The parties agreed to submit to binding arbitration before a Rabbinical Court “all ** claims *** whatsoever between them, included but not limited to claims mentioned and litigated [in the divorce action] … and ruled upon in a secular court.” The parties arbitrated some claims. primarily related to the marital </w:t>
      </w:r>
      <w:proofErr w:type="gramStart"/>
      <w:r>
        <w:rPr>
          <w:rFonts w:ascii="Times New Roman" w:hAnsi="Times New Roman" w:cs="Times New Roman"/>
        </w:rPr>
        <w:t>residence, but</w:t>
      </w:r>
      <w:proofErr w:type="gramEnd"/>
      <w:r>
        <w:rPr>
          <w:rFonts w:ascii="Times New Roman" w:hAnsi="Times New Roman" w:cs="Times New Roman"/>
        </w:rPr>
        <w:t xml:space="preserve"> submitted no child support issues to the Rabbinical Court. In March 2023, the wife moved </w:t>
      </w:r>
      <w:proofErr w:type="gramStart"/>
      <w:r>
        <w:rPr>
          <w:rFonts w:ascii="Times New Roman" w:hAnsi="Times New Roman" w:cs="Times New Roman"/>
        </w:rPr>
        <w:t>in</w:t>
      </w:r>
      <w:proofErr w:type="gramEnd"/>
      <w:r>
        <w:rPr>
          <w:rFonts w:ascii="Times New Roman" w:hAnsi="Times New Roman" w:cs="Times New Roman"/>
        </w:rPr>
        <w:t xml:space="preserve"> Supreme Court for enforcement of the divorce judgment’s child support provisions and to stay arbitration in the Rabbinical Court of claims determined by the judgment of divorce, upon the ground that the agreement to arbitrate was invalid. The husband appealed from Supreme Court’s October 2023 order, which stayed arbitration in the Rabbinical Court of claims determined by the divorce judgment. The Second Department modified, </w:t>
      </w:r>
      <w:proofErr w:type="gramStart"/>
      <w:r>
        <w:rPr>
          <w:rFonts w:ascii="Times New Roman" w:hAnsi="Times New Roman" w:cs="Times New Roman"/>
        </w:rPr>
        <w:t>on</w:t>
      </w:r>
      <w:proofErr w:type="gramEnd"/>
      <w:r>
        <w:rPr>
          <w:rFonts w:ascii="Times New Roman" w:hAnsi="Times New Roman" w:cs="Times New Roman"/>
        </w:rPr>
        <w:t xml:space="preserve"> the law, by limiting the stay of arbitration to claims relating to child support. The Appellate Division held that by participating in arbitration, the wife waived the right to challenge the validity of the agreement to arbitrate. However, the Court also determined that the husband “waived his right to arbitrate claims relating to child support in the Rabbinical Court by appealing from the child support provisions of the judgment of divorce – conduct which is inconsistent with his contention that the parties are obligated to resolve claims relating to child support by arbitration.”</w:t>
      </w:r>
    </w:p>
    <w:p w14:paraId="5EE12678" w14:textId="77777777" w:rsidR="00860AE4" w:rsidRDefault="00860AE4" w:rsidP="00860AE4">
      <w:pPr>
        <w:pStyle w:val="Heading2"/>
        <w:numPr>
          <w:ilvl w:val="0"/>
          <w:numId w:val="0"/>
        </w:numPr>
        <w:spacing w:line="240" w:lineRule="auto"/>
        <w:jc w:val="both"/>
        <w:rPr>
          <w:rFonts w:ascii="Times New Roman" w:hAnsi="Times New Roman" w:cs="Times New Roman"/>
        </w:rPr>
      </w:pPr>
    </w:p>
    <w:p w14:paraId="0B17393D" w14:textId="431B593A" w:rsidR="00A343AE" w:rsidRPr="00A343AE" w:rsidRDefault="00A343AE" w:rsidP="00860AE4">
      <w:pPr>
        <w:pStyle w:val="Heading2"/>
        <w:numPr>
          <w:ilvl w:val="0"/>
          <w:numId w:val="0"/>
        </w:numPr>
        <w:rPr>
          <w:b/>
          <w:bCs/>
        </w:rPr>
      </w:pPr>
      <w:r w:rsidRPr="00A343AE">
        <w:rPr>
          <w:rFonts w:ascii="Times New Roman" w:hAnsi="Times New Roman" w:cs="Times New Roman"/>
          <w:b/>
          <w:bCs/>
        </w:rPr>
        <w:t>Agreements - Postnuptial – Breach – Summary Judgment on Liability</w:t>
      </w:r>
    </w:p>
    <w:p w14:paraId="3E307108" w14:textId="4B2F4566" w:rsidR="00A343AE" w:rsidRDefault="00A343AE" w:rsidP="00A343AE">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A343AE">
        <w:rPr>
          <w:rFonts w:ascii="Times New Roman" w:hAnsi="Times New Roman" w:cs="Times New Roman"/>
          <w:b/>
          <w:bCs/>
          <w:i/>
          <w:iCs/>
        </w:rPr>
        <w:t>Ginns v. Ginns</w:t>
      </w:r>
      <w:r>
        <w:rPr>
          <w:rFonts w:ascii="Times New Roman" w:hAnsi="Times New Roman" w:cs="Times New Roman"/>
        </w:rPr>
        <w:t>, 2026 Westlaw 199521 (1</w:t>
      </w:r>
      <w:r w:rsidRPr="00EF06C3">
        <w:rPr>
          <w:rFonts w:ascii="Times New Roman" w:hAnsi="Times New Roman" w:cs="Times New Roman"/>
          <w:vertAlign w:val="superscript"/>
        </w:rPr>
        <w:t>st</w:t>
      </w:r>
      <w:r>
        <w:rPr>
          <w:rFonts w:ascii="Times New Roman" w:hAnsi="Times New Roman" w:cs="Times New Roman"/>
        </w:rPr>
        <w:t xml:space="preserve"> Dept. Jan. 27, 2026), the parties were married for over 25 years at the time they entered into a postnuptial agreement in July 2004, in which they were represented by counsel. As is here relevant, the July 2004 agreement provided that the husband would provide the wife with 50% of his inheritance upon his parents’ passing. In September 2005, an amended postnuptial agreement superseded the July 2004 agreement and “unambiguously obligates [the husband] to provide half of his share of his ‘substantial inheritance’ to [the wife] within six months of receiving it, regardless of whether these funds were received before or after the marriage was terminated.” The wife alleged the husband breached the September 2005</w:t>
      </w:r>
      <w:r w:rsidR="00CC42FA">
        <w:rPr>
          <w:rFonts w:ascii="Times New Roman" w:hAnsi="Times New Roman" w:cs="Times New Roman"/>
        </w:rPr>
        <w:t xml:space="preserve"> </w:t>
      </w:r>
      <w:r>
        <w:rPr>
          <w:rFonts w:ascii="Times New Roman" w:hAnsi="Times New Roman" w:cs="Times New Roman"/>
        </w:rPr>
        <w:t>amended postnuptial agreement and moved for summary judgment, which Supreme Court granted by a March 2025 order as to liability and ordered a trial on damages. The husband appealed. The First Department affirmed, holding that the husband “failed to raise an issue of fact in opposition” and “failed to show that the terms of the agreement are unconscionable,” while noting that both parties were represented in the July 2004 agreement and the husband declined counsel in the September 2005 agreement. The Appellate Division rejected the husband’s argument, that his obligation to the wife as to his inheritance terminated upon his age 70, as being “inconsistent with the plain language of the Agreement and the clear intent of the parties at the time *** [of execution].”</w:t>
      </w:r>
    </w:p>
    <w:p w14:paraId="6C815A8C" w14:textId="77777777" w:rsidR="00A343AE" w:rsidRDefault="00A343AE" w:rsidP="00A343AE">
      <w:pPr>
        <w:pStyle w:val="Heading2"/>
        <w:numPr>
          <w:ilvl w:val="0"/>
          <w:numId w:val="0"/>
        </w:numPr>
        <w:spacing w:line="240" w:lineRule="auto"/>
        <w:contextualSpacing/>
        <w:jc w:val="both"/>
        <w:rPr>
          <w:rFonts w:ascii="Times New Roman" w:hAnsi="Times New Roman" w:cs="Times New Roman"/>
        </w:rPr>
      </w:pPr>
    </w:p>
    <w:p w14:paraId="07E4D9D7" w14:textId="636D2069" w:rsidR="00C83062" w:rsidRDefault="00C83062" w:rsidP="00A343AE">
      <w:pPr>
        <w:pStyle w:val="Heading2"/>
        <w:numPr>
          <w:ilvl w:val="0"/>
          <w:numId w:val="0"/>
        </w:numPr>
        <w:spacing w:line="240" w:lineRule="auto"/>
        <w:contextualSpacing/>
        <w:jc w:val="both"/>
        <w:rPr>
          <w:rFonts w:ascii="Times New Roman" w:hAnsi="Times New Roman" w:cs="Times New Roman"/>
          <w:b/>
          <w:bCs/>
        </w:rPr>
      </w:pPr>
      <w:r w:rsidRPr="00C83062">
        <w:rPr>
          <w:rFonts w:ascii="Times New Roman" w:hAnsi="Times New Roman" w:cs="Times New Roman"/>
          <w:b/>
          <w:bCs/>
        </w:rPr>
        <w:t xml:space="preserve">Agreements </w:t>
      </w:r>
      <w:r>
        <w:rPr>
          <w:rFonts w:ascii="Times New Roman" w:hAnsi="Times New Roman" w:cs="Times New Roman"/>
          <w:b/>
          <w:bCs/>
        </w:rPr>
        <w:t xml:space="preserve">- </w:t>
      </w:r>
      <w:r w:rsidRPr="00C83062">
        <w:rPr>
          <w:rFonts w:ascii="Times New Roman" w:hAnsi="Times New Roman" w:cs="Times New Roman"/>
          <w:b/>
          <w:bCs/>
        </w:rPr>
        <w:t>Reformation – Non-Marital Relationship – Granted; Agreement-Based Counsel Fees Denied</w:t>
      </w:r>
    </w:p>
    <w:p w14:paraId="57D54BC3" w14:textId="77777777" w:rsidR="00C83062" w:rsidRPr="00C83062" w:rsidRDefault="00C83062" w:rsidP="00C83062">
      <w:pPr>
        <w:pStyle w:val="Heading2"/>
        <w:numPr>
          <w:ilvl w:val="0"/>
          <w:numId w:val="0"/>
        </w:numPr>
        <w:spacing w:line="240" w:lineRule="auto"/>
        <w:contextualSpacing/>
        <w:rPr>
          <w:b/>
          <w:bCs/>
        </w:rPr>
      </w:pPr>
    </w:p>
    <w:p w14:paraId="1DE9C718" w14:textId="0AB7215D" w:rsidR="00620B69" w:rsidRDefault="00C83062" w:rsidP="00C83062">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C83062">
        <w:rPr>
          <w:rFonts w:ascii="Times New Roman" w:hAnsi="Times New Roman" w:cs="Times New Roman"/>
          <w:b/>
          <w:bCs/>
          <w:i/>
          <w:iCs/>
        </w:rPr>
        <w:t>Romano v. Kelly</w:t>
      </w:r>
      <w:r>
        <w:rPr>
          <w:rFonts w:ascii="Times New Roman" w:hAnsi="Times New Roman" w:cs="Times New Roman"/>
        </w:rPr>
        <w:t xml:space="preserve">, 2026 Westlaw 53122 (3d Dept. Jan. 8, 2026), the parties were in a non-marital </w:t>
      </w:r>
      <w:r w:rsidRPr="008135D5">
        <w:rPr>
          <w:rFonts w:ascii="Times New Roman" w:hAnsi="Times New Roman" w:cs="Times New Roman"/>
        </w:rPr>
        <w:t>relationship for over 25 years and acquired 4 properties, 1 used as their residence and the other 3 were rental properties. The “Watervliet property” purchased in 2013 was a duplex, with first and second floor units and, unlike the other 3 parcels, was titled in joint names. The parties separated in 2022</w:t>
      </w:r>
      <w:r>
        <w:rPr>
          <w:rFonts w:ascii="Times New Roman" w:hAnsi="Times New Roman" w:cs="Times New Roman"/>
        </w:rPr>
        <w:t>,</w:t>
      </w:r>
      <w:r w:rsidRPr="008135D5">
        <w:rPr>
          <w:rFonts w:ascii="Times New Roman" w:hAnsi="Times New Roman" w:cs="Times New Roman"/>
        </w:rPr>
        <w:t xml:space="preserve"> and Romano brought an action against Kelly seeking, among other things, partition of all 4 properties. The parties signed a settlement agreement authored by Romano’s counsel in December 2023. </w:t>
      </w:r>
      <w:r>
        <w:rPr>
          <w:rFonts w:ascii="Times New Roman" w:hAnsi="Times New Roman" w:cs="Times New Roman"/>
        </w:rPr>
        <w:t xml:space="preserve"> </w:t>
      </w:r>
      <w:r w:rsidRPr="008135D5">
        <w:rPr>
          <w:rFonts w:ascii="Times New Roman" w:hAnsi="Times New Roman" w:cs="Times New Roman"/>
        </w:rPr>
        <w:t>Kelly appealed from a June 2024 Supreme Court order, which partially granted Romano’s motion to reform the parties’ December 2023 settlement agreement, which was incorporated into a final order disposing of Romano’s aforesaid 2022 partition action. The agreement, as summarized by the Appellate Division, “</w:t>
      </w:r>
      <w:r w:rsidRPr="00BC72F7">
        <w:rPr>
          <w:rFonts w:ascii="Times New Roman" w:hAnsi="Times New Roman" w:cs="Times New Roman"/>
        </w:rPr>
        <w:t xml:space="preserve">purportedly provided </w:t>
      </w:r>
      <w:r w:rsidRPr="008135D5">
        <w:rPr>
          <w:rFonts w:ascii="Times New Roman" w:hAnsi="Times New Roman" w:cs="Times New Roman"/>
        </w:rPr>
        <w:t xml:space="preserve">[Romano] </w:t>
      </w:r>
      <w:r w:rsidRPr="00BC72F7">
        <w:rPr>
          <w:rFonts w:ascii="Times New Roman" w:hAnsi="Times New Roman" w:cs="Times New Roman"/>
        </w:rPr>
        <w:t>with</w:t>
      </w:r>
      <w:r w:rsidRPr="008135D5">
        <w:rPr>
          <w:rFonts w:ascii="Times New Roman" w:hAnsi="Times New Roman" w:cs="Times New Roman"/>
        </w:rPr>
        <w:t xml:space="preserve"> *** </w:t>
      </w:r>
      <w:r w:rsidRPr="00BC72F7">
        <w:rPr>
          <w:rFonts w:ascii="Times New Roman" w:hAnsi="Times New Roman" w:cs="Times New Roman"/>
        </w:rPr>
        <w:t>the exclusive use and occupancy of the second-floor unit of the Watervliet property</w:t>
      </w:r>
      <w:r w:rsidRPr="008135D5">
        <w:rPr>
          <w:rFonts w:ascii="Times New Roman" w:hAnsi="Times New Roman" w:cs="Times New Roman"/>
        </w:rPr>
        <w:t>” and required Kelly</w:t>
      </w:r>
      <w:r w:rsidRPr="00BC72F7">
        <w:rPr>
          <w:rFonts w:ascii="Times New Roman" w:hAnsi="Times New Roman" w:cs="Times New Roman"/>
        </w:rPr>
        <w:t xml:space="preserve"> </w:t>
      </w:r>
      <w:r w:rsidRPr="008135D5">
        <w:rPr>
          <w:rFonts w:ascii="Times New Roman" w:hAnsi="Times New Roman" w:cs="Times New Roman"/>
        </w:rPr>
        <w:t>“</w:t>
      </w:r>
      <w:r w:rsidRPr="00BC72F7">
        <w:rPr>
          <w:rFonts w:ascii="Times New Roman" w:hAnsi="Times New Roman" w:cs="Times New Roman"/>
        </w:rPr>
        <w:t>to sign a warranty deed that conveyed all of his right, title and interest in and t</w:t>
      </w:r>
      <w:r w:rsidRPr="008135D5">
        <w:rPr>
          <w:rFonts w:ascii="Times New Roman" w:hAnsi="Times New Roman" w:cs="Times New Roman"/>
        </w:rPr>
        <w:t xml:space="preserve">o </w:t>
      </w:r>
      <w:r w:rsidRPr="00BC72F7">
        <w:rPr>
          <w:rFonts w:ascii="Times New Roman" w:hAnsi="Times New Roman" w:cs="Times New Roman"/>
        </w:rPr>
        <w:t>the second floor of the Watervliet property and that he would relinquish any future rental payments, pro-rate any current or due rent as of signing . . . and turn over to [</w:t>
      </w:r>
      <w:r w:rsidRPr="008135D5">
        <w:rPr>
          <w:rFonts w:ascii="Times New Roman" w:hAnsi="Times New Roman" w:cs="Times New Roman"/>
        </w:rPr>
        <w:t>Romano]</w:t>
      </w:r>
      <w:r w:rsidRPr="00BC72F7">
        <w:rPr>
          <w:rFonts w:ascii="Times New Roman" w:hAnsi="Times New Roman" w:cs="Times New Roman"/>
        </w:rPr>
        <w:t xml:space="preserve"> any security deposit for the property.</w:t>
      </w:r>
      <w:r w:rsidRPr="008135D5">
        <w:rPr>
          <w:rFonts w:ascii="Times New Roman" w:hAnsi="Times New Roman" w:cs="Times New Roman"/>
        </w:rPr>
        <w:t xml:space="preserve"> (Internal quotation marks omitted).”</w:t>
      </w:r>
      <w:r w:rsidRPr="00BC72F7">
        <w:rPr>
          <w:rFonts w:ascii="Times New Roman" w:hAnsi="Times New Roman" w:cs="Times New Roman"/>
        </w:rPr>
        <w:t xml:space="preserve"> </w:t>
      </w:r>
      <w:r w:rsidRPr="008135D5">
        <w:rPr>
          <w:rFonts w:ascii="Times New Roman" w:hAnsi="Times New Roman" w:cs="Times New Roman"/>
        </w:rPr>
        <w:t xml:space="preserve">Romano argued </w:t>
      </w:r>
      <w:r w:rsidRPr="00BC72F7">
        <w:rPr>
          <w:rFonts w:ascii="Times New Roman" w:hAnsi="Times New Roman" w:cs="Times New Roman"/>
        </w:rPr>
        <w:t xml:space="preserve">that the parties </w:t>
      </w:r>
      <w:r w:rsidRPr="008135D5">
        <w:rPr>
          <w:rFonts w:ascii="Times New Roman" w:hAnsi="Times New Roman" w:cs="Times New Roman"/>
        </w:rPr>
        <w:t>“</w:t>
      </w:r>
      <w:r w:rsidRPr="00BC72F7">
        <w:rPr>
          <w:rFonts w:ascii="Times New Roman" w:hAnsi="Times New Roman" w:cs="Times New Roman"/>
        </w:rPr>
        <w:t>had intended to convey the entire Watervliet property and that inclusion of the second-floor reference, where she was residing after the separation and at the time of the settlement agreement, was the product of a scrivener</w:t>
      </w:r>
      <w:r w:rsidRPr="008135D5">
        <w:rPr>
          <w:rFonts w:ascii="Times New Roman" w:hAnsi="Times New Roman" w:cs="Times New Roman"/>
        </w:rPr>
        <w:t>’</w:t>
      </w:r>
      <w:r w:rsidRPr="00BC72F7">
        <w:rPr>
          <w:rFonts w:ascii="Times New Roman" w:hAnsi="Times New Roman" w:cs="Times New Roman"/>
        </w:rPr>
        <w:t>s error</w:t>
      </w:r>
      <w:r w:rsidRPr="008135D5">
        <w:rPr>
          <w:rFonts w:ascii="Times New Roman" w:hAnsi="Times New Roman" w:cs="Times New Roman"/>
        </w:rPr>
        <w:t>” and that she “</w:t>
      </w:r>
      <w:r w:rsidRPr="00BC72F7">
        <w:rPr>
          <w:rFonts w:ascii="Times New Roman" w:hAnsi="Times New Roman" w:cs="Times New Roman"/>
        </w:rPr>
        <w:t xml:space="preserve">learned of the error after </w:t>
      </w:r>
      <w:r w:rsidRPr="008135D5">
        <w:rPr>
          <w:rFonts w:ascii="Times New Roman" w:hAnsi="Times New Roman" w:cs="Times New Roman"/>
        </w:rPr>
        <w:t xml:space="preserve">[Kelly] </w:t>
      </w:r>
      <w:r w:rsidRPr="00BC72F7">
        <w:rPr>
          <w:rFonts w:ascii="Times New Roman" w:hAnsi="Times New Roman" w:cs="Times New Roman"/>
        </w:rPr>
        <w:t>collected rents from the tenant located in the first-floor unit</w:t>
      </w:r>
      <w:r w:rsidRPr="008135D5">
        <w:rPr>
          <w:rFonts w:ascii="Times New Roman" w:hAnsi="Times New Roman" w:cs="Times New Roman"/>
        </w:rPr>
        <w:t xml:space="preserve"> ***</w:t>
      </w:r>
      <w:r w:rsidRPr="00BC72F7">
        <w:rPr>
          <w:rFonts w:ascii="Times New Roman" w:hAnsi="Times New Roman" w:cs="Times New Roman"/>
        </w:rPr>
        <w:t xml:space="preserve"> for the first two months of 2024.</w:t>
      </w:r>
      <w:r w:rsidRPr="008135D5">
        <w:rPr>
          <w:rFonts w:ascii="Times New Roman" w:hAnsi="Times New Roman" w:cs="Times New Roman"/>
        </w:rPr>
        <w:t>”</w:t>
      </w:r>
      <w:r w:rsidRPr="00BC72F7">
        <w:rPr>
          <w:rFonts w:ascii="Times New Roman" w:hAnsi="Times New Roman" w:cs="Times New Roman"/>
        </w:rPr>
        <w:t xml:space="preserve"> </w:t>
      </w:r>
      <w:r w:rsidRPr="008135D5">
        <w:rPr>
          <w:rFonts w:ascii="Times New Roman" w:hAnsi="Times New Roman" w:cs="Times New Roman"/>
        </w:rPr>
        <w:t xml:space="preserve">Romano then moved </w:t>
      </w:r>
      <w:r w:rsidRPr="00BC72F7">
        <w:rPr>
          <w:rFonts w:ascii="Times New Roman" w:hAnsi="Times New Roman" w:cs="Times New Roman"/>
        </w:rPr>
        <w:t xml:space="preserve">for reformation of the settlement agreement and </w:t>
      </w:r>
      <w:r w:rsidRPr="008135D5">
        <w:rPr>
          <w:rFonts w:ascii="Times New Roman" w:hAnsi="Times New Roman" w:cs="Times New Roman"/>
        </w:rPr>
        <w:t xml:space="preserve">for </w:t>
      </w:r>
      <w:r w:rsidRPr="00BC72F7">
        <w:rPr>
          <w:rFonts w:ascii="Times New Roman" w:hAnsi="Times New Roman" w:cs="Times New Roman"/>
        </w:rPr>
        <w:t>counsel fees</w:t>
      </w:r>
      <w:r w:rsidRPr="008135D5">
        <w:rPr>
          <w:rFonts w:ascii="Times New Roman" w:hAnsi="Times New Roman" w:cs="Times New Roman"/>
        </w:rPr>
        <w:t>.</w:t>
      </w:r>
      <w:r w:rsidRPr="00BC72F7">
        <w:rPr>
          <w:rFonts w:ascii="Times New Roman" w:hAnsi="Times New Roman" w:cs="Times New Roman"/>
        </w:rPr>
        <w:t xml:space="preserve"> </w:t>
      </w:r>
      <w:r w:rsidRPr="008135D5">
        <w:rPr>
          <w:rFonts w:ascii="Times New Roman" w:hAnsi="Times New Roman" w:cs="Times New Roman"/>
        </w:rPr>
        <w:t xml:space="preserve">Kelly </w:t>
      </w:r>
      <w:r w:rsidRPr="00BC72F7">
        <w:rPr>
          <w:rFonts w:ascii="Times New Roman" w:hAnsi="Times New Roman" w:cs="Times New Roman"/>
        </w:rPr>
        <w:t xml:space="preserve">opposed </w:t>
      </w:r>
      <w:r w:rsidRPr="008135D5">
        <w:rPr>
          <w:rFonts w:ascii="Times New Roman" w:hAnsi="Times New Roman" w:cs="Times New Roman"/>
        </w:rPr>
        <w:t xml:space="preserve">the motion </w:t>
      </w:r>
      <w:r w:rsidRPr="00BC72F7">
        <w:rPr>
          <w:rFonts w:ascii="Times New Roman" w:hAnsi="Times New Roman" w:cs="Times New Roman"/>
        </w:rPr>
        <w:t xml:space="preserve">and cross-moved for enforcement of </w:t>
      </w:r>
      <w:r w:rsidRPr="008135D5">
        <w:rPr>
          <w:rFonts w:ascii="Times New Roman" w:hAnsi="Times New Roman" w:cs="Times New Roman"/>
        </w:rPr>
        <w:t xml:space="preserve">other terms of the agreement, which required </w:t>
      </w:r>
      <w:r>
        <w:rPr>
          <w:rFonts w:ascii="Times New Roman" w:hAnsi="Times New Roman" w:cs="Times New Roman"/>
        </w:rPr>
        <w:t xml:space="preserve">Romano </w:t>
      </w:r>
      <w:r w:rsidRPr="00BC72F7">
        <w:rPr>
          <w:rFonts w:ascii="Times New Roman" w:hAnsi="Times New Roman" w:cs="Times New Roman"/>
        </w:rPr>
        <w:t xml:space="preserve">to deposit $20,000 </w:t>
      </w:r>
      <w:proofErr w:type="gramStart"/>
      <w:r w:rsidRPr="008135D5">
        <w:rPr>
          <w:rFonts w:ascii="Times New Roman" w:hAnsi="Times New Roman" w:cs="Times New Roman"/>
        </w:rPr>
        <w:t>to</w:t>
      </w:r>
      <w:proofErr w:type="gramEnd"/>
      <w:r w:rsidRPr="008135D5">
        <w:rPr>
          <w:rFonts w:ascii="Times New Roman" w:hAnsi="Times New Roman" w:cs="Times New Roman"/>
        </w:rPr>
        <w:t xml:space="preserve"> a </w:t>
      </w:r>
      <w:r w:rsidRPr="00BC72F7">
        <w:rPr>
          <w:rFonts w:ascii="Times New Roman" w:hAnsi="Times New Roman" w:cs="Times New Roman"/>
        </w:rPr>
        <w:t xml:space="preserve">529 </w:t>
      </w:r>
      <w:r w:rsidRPr="008135D5">
        <w:rPr>
          <w:rFonts w:ascii="Times New Roman" w:hAnsi="Times New Roman" w:cs="Times New Roman"/>
        </w:rPr>
        <w:t xml:space="preserve">plan </w:t>
      </w:r>
      <w:r w:rsidRPr="00BC72F7">
        <w:rPr>
          <w:rFonts w:ascii="Times New Roman" w:hAnsi="Times New Roman" w:cs="Times New Roman"/>
        </w:rPr>
        <w:t>for the parties</w:t>
      </w:r>
      <w:r w:rsidRPr="008135D5">
        <w:rPr>
          <w:rFonts w:ascii="Times New Roman" w:hAnsi="Times New Roman" w:cs="Times New Roman"/>
        </w:rPr>
        <w:t>’</w:t>
      </w:r>
      <w:r w:rsidRPr="00BC72F7">
        <w:rPr>
          <w:rFonts w:ascii="Times New Roman" w:hAnsi="Times New Roman" w:cs="Times New Roman"/>
        </w:rPr>
        <w:t xml:space="preserve"> children</w:t>
      </w:r>
      <w:r w:rsidRPr="008135D5">
        <w:rPr>
          <w:rFonts w:ascii="Times New Roman" w:hAnsi="Times New Roman" w:cs="Times New Roman"/>
        </w:rPr>
        <w:t xml:space="preserve">, and for </w:t>
      </w:r>
      <w:r w:rsidRPr="00BC72F7">
        <w:rPr>
          <w:rFonts w:ascii="Times New Roman" w:hAnsi="Times New Roman" w:cs="Times New Roman"/>
        </w:rPr>
        <w:t>counsel fees</w:t>
      </w:r>
      <w:r w:rsidRPr="008135D5">
        <w:rPr>
          <w:rFonts w:ascii="Times New Roman" w:hAnsi="Times New Roman" w:cs="Times New Roman"/>
        </w:rPr>
        <w:t xml:space="preserve">, in reliance upon </w:t>
      </w:r>
      <w:r w:rsidRPr="00BC72F7">
        <w:rPr>
          <w:rFonts w:ascii="Times New Roman" w:hAnsi="Times New Roman" w:cs="Times New Roman"/>
        </w:rPr>
        <w:t>the agreement</w:t>
      </w:r>
      <w:r w:rsidRPr="008135D5">
        <w:rPr>
          <w:rFonts w:ascii="Times New Roman" w:hAnsi="Times New Roman" w:cs="Times New Roman"/>
        </w:rPr>
        <w:t>’s provision</w:t>
      </w:r>
      <w:r w:rsidRPr="00BC72F7">
        <w:rPr>
          <w:rFonts w:ascii="Times New Roman" w:hAnsi="Times New Roman" w:cs="Times New Roman"/>
        </w:rPr>
        <w:t xml:space="preserve"> allowing for such fees in the event of a default or breach. Supreme Court</w:t>
      </w:r>
      <w:r w:rsidRPr="008135D5">
        <w:rPr>
          <w:rFonts w:ascii="Times New Roman" w:hAnsi="Times New Roman" w:cs="Times New Roman"/>
        </w:rPr>
        <w:t>: (1)</w:t>
      </w:r>
      <w:r w:rsidRPr="00BC72F7">
        <w:rPr>
          <w:rFonts w:ascii="Times New Roman" w:hAnsi="Times New Roman" w:cs="Times New Roman"/>
        </w:rPr>
        <w:t xml:space="preserve"> partially granted </w:t>
      </w:r>
      <w:r w:rsidRPr="008135D5">
        <w:rPr>
          <w:rFonts w:ascii="Times New Roman" w:hAnsi="Times New Roman" w:cs="Times New Roman"/>
        </w:rPr>
        <w:t xml:space="preserve">Romano’s </w:t>
      </w:r>
      <w:r w:rsidRPr="00BC72F7">
        <w:rPr>
          <w:rFonts w:ascii="Times New Roman" w:hAnsi="Times New Roman" w:cs="Times New Roman"/>
        </w:rPr>
        <w:t>motion and</w:t>
      </w:r>
      <w:r w:rsidRPr="008135D5">
        <w:rPr>
          <w:rFonts w:ascii="Times New Roman" w:hAnsi="Times New Roman" w:cs="Times New Roman"/>
        </w:rPr>
        <w:t xml:space="preserve"> </w:t>
      </w:r>
      <w:r w:rsidRPr="00BC72F7">
        <w:rPr>
          <w:rFonts w:ascii="Times New Roman" w:hAnsi="Times New Roman" w:cs="Times New Roman"/>
        </w:rPr>
        <w:t>reformed the agreement, eliminating the reference to the "2nd floor" of the Watervliet property in the settlement agreement</w:t>
      </w:r>
      <w:r w:rsidRPr="008135D5">
        <w:rPr>
          <w:rFonts w:ascii="Times New Roman" w:hAnsi="Times New Roman" w:cs="Times New Roman"/>
        </w:rPr>
        <w:t xml:space="preserve">; (2) </w:t>
      </w:r>
      <w:r w:rsidRPr="00BC72F7">
        <w:rPr>
          <w:rFonts w:ascii="Times New Roman" w:hAnsi="Times New Roman" w:cs="Times New Roman"/>
        </w:rPr>
        <w:t xml:space="preserve">partially </w:t>
      </w:r>
      <w:r w:rsidR="00B0755C">
        <w:rPr>
          <w:rFonts w:ascii="Times New Roman" w:hAnsi="Times New Roman" w:cs="Times New Roman"/>
        </w:rPr>
        <w:t xml:space="preserve">granted </w:t>
      </w:r>
      <w:r w:rsidRPr="008135D5">
        <w:rPr>
          <w:rFonts w:ascii="Times New Roman" w:hAnsi="Times New Roman" w:cs="Times New Roman"/>
        </w:rPr>
        <w:t xml:space="preserve">Kelly’s </w:t>
      </w:r>
      <w:r w:rsidRPr="00BC72F7">
        <w:rPr>
          <w:rFonts w:ascii="Times New Roman" w:hAnsi="Times New Roman" w:cs="Times New Roman"/>
        </w:rPr>
        <w:t xml:space="preserve">cross-motion ordering </w:t>
      </w:r>
      <w:r w:rsidRPr="008135D5">
        <w:rPr>
          <w:rFonts w:ascii="Times New Roman" w:hAnsi="Times New Roman" w:cs="Times New Roman"/>
        </w:rPr>
        <w:t xml:space="preserve">Romano </w:t>
      </w:r>
      <w:r w:rsidRPr="00BC72F7">
        <w:rPr>
          <w:rFonts w:ascii="Times New Roman" w:hAnsi="Times New Roman" w:cs="Times New Roman"/>
        </w:rPr>
        <w:t xml:space="preserve">to fund </w:t>
      </w:r>
      <w:r w:rsidRPr="008135D5">
        <w:rPr>
          <w:rFonts w:ascii="Times New Roman" w:hAnsi="Times New Roman" w:cs="Times New Roman"/>
        </w:rPr>
        <w:t>the 529 Plan</w:t>
      </w:r>
      <w:r>
        <w:rPr>
          <w:rFonts w:ascii="Times New Roman" w:hAnsi="Times New Roman" w:cs="Times New Roman"/>
        </w:rPr>
        <w:t>;</w:t>
      </w:r>
      <w:r w:rsidRPr="008135D5">
        <w:rPr>
          <w:rFonts w:ascii="Times New Roman" w:hAnsi="Times New Roman" w:cs="Times New Roman"/>
        </w:rPr>
        <w:t xml:space="preserve"> and (3)</w:t>
      </w:r>
      <w:r w:rsidRPr="00BC72F7">
        <w:rPr>
          <w:rFonts w:ascii="Times New Roman" w:hAnsi="Times New Roman" w:cs="Times New Roman"/>
        </w:rPr>
        <w:t xml:space="preserve"> denied both parties</w:t>
      </w:r>
      <w:r w:rsidRPr="008135D5">
        <w:rPr>
          <w:rFonts w:ascii="Times New Roman" w:hAnsi="Times New Roman" w:cs="Times New Roman"/>
        </w:rPr>
        <w:t>’</w:t>
      </w:r>
      <w:r w:rsidRPr="00BC72F7">
        <w:rPr>
          <w:rFonts w:ascii="Times New Roman" w:hAnsi="Times New Roman" w:cs="Times New Roman"/>
        </w:rPr>
        <w:t xml:space="preserve"> requests for counsel fees.</w:t>
      </w:r>
      <w:r w:rsidRPr="008135D5">
        <w:rPr>
          <w:rFonts w:ascii="Times New Roman" w:hAnsi="Times New Roman" w:cs="Times New Roman"/>
        </w:rPr>
        <w:t xml:space="preserve"> The Third Department affirmed, observing that Kelly argued “</w:t>
      </w:r>
      <w:r w:rsidRPr="00BC72F7">
        <w:rPr>
          <w:rFonts w:ascii="Times New Roman" w:hAnsi="Times New Roman" w:cs="Times New Roman"/>
        </w:rPr>
        <w:t>the true intention of the parties is reflected by the various references to the second floor throughout the agreement which establish that they were intentional</w:t>
      </w:r>
      <w:r w:rsidRPr="008135D5">
        <w:rPr>
          <w:rFonts w:ascii="Times New Roman" w:hAnsi="Times New Roman" w:cs="Times New Roman"/>
        </w:rPr>
        <w:t>” and</w:t>
      </w:r>
      <w:r w:rsidRPr="00BC72F7">
        <w:rPr>
          <w:rFonts w:ascii="Times New Roman" w:hAnsi="Times New Roman" w:cs="Times New Roman"/>
        </w:rPr>
        <w:t xml:space="preserve"> </w:t>
      </w:r>
      <w:r w:rsidRPr="008135D5">
        <w:rPr>
          <w:rFonts w:ascii="Times New Roman" w:hAnsi="Times New Roman" w:cs="Times New Roman"/>
        </w:rPr>
        <w:t>“</w:t>
      </w:r>
      <w:r w:rsidRPr="00BC72F7">
        <w:rPr>
          <w:rFonts w:ascii="Times New Roman" w:hAnsi="Times New Roman" w:cs="Times New Roman"/>
        </w:rPr>
        <w:t>he would not have surrendered the entire property without any consideration.</w:t>
      </w:r>
      <w:r w:rsidRPr="008135D5">
        <w:rPr>
          <w:rFonts w:ascii="Times New Roman" w:hAnsi="Times New Roman" w:cs="Times New Roman"/>
        </w:rPr>
        <w:t>” The Appellate Division agreed with Supreme Court and found that Kelly’s contentions “</w:t>
      </w:r>
      <w:r w:rsidRPr="00BC72F7">
        <w:rPr>
          <w:rFonts w:ascii="Times New Roman" w:hAnsi="Times New Roman" w:cs="Times New Roman"/>
        </w:rPr>
        <w:t>are flatly contradicted by the language of the agreement</w:t>
      </w:r>
      <w:r w:rsidRPr="008135D5">
        <w:rPr>
          <w:rFonts w:ascii="Times New Roman" w:hAnsi="Times New Roman" w:cs="Times New Roman"/>
        </w:rPr>
        <w:t>,” noting:</w:t>
      </w:r>
      <w:r w:rsidRPr="00BC72F7">
        <w:rPr>
          <w:rFonts w:ascii="Times New Roman" w:hAnsi="Times New Roman" w:cs="Times New Roman"/>
        </w:rPr>
        <w:t xml:space="preserve"> </w:t>
      </w:r>
      <w:r w:rsidRPr="008135D5">
        <w:rPr>
          <w:rFonts w:ascii="Times New Roman" w:hAnsi="Times New Roman" w:cs="Times New Roman"/>
        </w:rPr>
        <w:t>“</w:t>
      </w:r>
      <w:r w:rsidRPr="00BC72F7">
        <w:rPr>
          <w:rFonts w:ascii="Times New Roman" w:hAnsi="Times New Roman" w:cs="Times New Roman"/>
        </w:rPr>
        <w:t xml:space="preserve">the first reference, which identifies </w:t>
      </w:r>
      <w:r w:rsidRPr="008135D5">
        <w:rPr>
          <w:rFonts w:ascii="Times New Roman" w:hAnsi="Times New Roman" w:cs="Times New Roman"/>
        </w:rPr>
        <w:t xml:space="preserve">[Romano’s] </w:t>
      </w:r>
      <w:r w:rsidRPr="00BC72F7">
        <w:rPr>
          <w:rFonts w:ascii="Times New Roman" w:hAnsi="Times New Roman" w:cs="Times New Roman"/>
        </w:rPr>
        <w:t>current address, omits the appropriate reference to the second floor</w:t>
      </w:r>
      <w:r w:rsidRPr="008135D5">
        <w:rPr>
          <w:rFonts w:ascii="Times New Roman" w:hAnsi="Times New Roman" w:cs="Times New Roman"/>
        </w:rPr>
        <w:t>”; “</w:t>
      </w:r>
      <w:r w:rsidRPr="00BC72F7">
        <w:rPr>
          <w:rFonts w:ascii="Times New Roman" w:hAnsi="Times New Roman" w:cs="Times New Roman"/>
        </w:rPr>
        <w:t>the second reference mistakenly states that the parties were the joint owners of only the second floor of the Watervliet property, which is indicative that the prevailing use of the second-floor qualifier is in error</w:t>
      </w:r>
      <w:r w:rsidRPr="008135D5">
        <w:rPr>
          <w:rFonts w:ascii="Times New Roman" w:hAnsi="Times New Roman" w:cs="Times New Roman"/>
        </w:rPr>
        <w:t>”; “</w:t>
      </w:r>
      <w:r w:rsidRPr="00BC72F7">
        <w:rPr>
          <w:rFonts w:ascii="Times New Roman" w:hAnsi="Times New Roman" w:cs="Times New Roman"/>
        </w:rPr>
        <w:t xml:space="preserve">the manner of conveyance provided in the settlement agreement, which further controverts </w:t>
      </w:r>
      <w:r w:rsidRPr="008135D5">
        <w:rPr>
          <w:rFonts w:ascii="Times New Roman" w:hAnsi="Times New Roman" w:cs="Times New Roman"/>
        </w:rPr>
        <w:t xml:space="preserve">[Kelly’s] </w:t>
      </w:r>
      <w:r w:rsidRPr="00BC72F7">
        <w:rPr>
          <w:rFonts w:ascii="Times New Roman" w:hAnsi="Times New Roman" w:cs="Times New Roman"/>
        </w:rPr>
        <w:t>suggestion of the parties</w:t>
      </w:r>
      <w:r w:rsidRPr="008135D5">
        <w:rPr>
          <w:rFonts w:ascii="Times New Roman" w:hAnsi="Times New Roman" w:cs="Times New Roman"/>
        </w:rPr>
        <w:t>’</w:t>
      </w:r>
      <w:r w:rsidRPr="00BC72F7">
        <w:rPr>
          <w:rFonts w:ascii="Times New Roman" w:hAnsi="Times New Roman" w:cs="Times New Roman"/>
        </w:rPr>
        <w:t xml:space="preserve"> intent to only convey the second floor</w:t>
      </w:r>
      <w:r w:rsidRPr="008135D5">
        <w:rPr>
          <w:rFonts w:ascii="Times New Roman" w:hAnsi="Times New Roman" w:cs="Times New Roman"/>
        </w:rPr>
        <w:t>”;</w:t>
      </w:r>
      <w:r w:rsidRPr="00BC72F7">
        <w:rPr>
          <w:rFonts w:ascii="Times New Roman" w:hAnsi="Times New Roman" w:cs="Times New Roman"/>
        </w:rPr>
        <w:t xml:space="preserve"> </w:t>
      </w:r>
      <w:r w:rsidRPr="008135D5">
        <w:rPr>
          <w:rFonts w:ascii="Times New Roman" w:hAnsi="Times New Roman" w:cs="Times New Roman"/>
        </w:rPr>
        <w:t>and the agreement requires Kelly to “</w:t>
      </w:r>
      <w:r w:rsidRPr="00BC72F7">
        <w:rPr>
          <w:rFonts w:ascii="Times New Roman" w:hAnsi="Times New Roman" w:cs="Times New Roman"/>
        </w:rPr>
        <w:t>provide a warranty deed, as well as any other documents necessary, that effectuated a transfer of sole ownership.</w:t>
      </w:r>
      <w:r w:rsidRPr="008135D5">
        <w:rPr>
          <w:rFonts w:ascii="Times New Roman" w:hAnsi="Times New Roman" w:cs="Times New Roman"/>
        </w:rPr>
        <w:t xml:space="preserve"> (Internal quotation marks omitted).”</w:t>
      </w:r>
      <w:r w:rsidRPr="00BC72F7">
        <w:rPr>
          <w:rFonts w:ascii="Times New Roman" w:hAnsi="Times New Roman" w:cs="Times New Roman"/>
        </w:rPr>
        <w:t xml:space="preserve"> </w:t>
      </w:r>
      <w:r w:rsidRPr="008135D5">
        <w:rPr>
          <w:rFonts w:ascii="Times New Roman" w:hAnsi="Times New Roman" w:cs="Times New Roman"/>
        </w:rPr>
        <w:t>Kelly argued that “</w:t>
      </w:r>
      <w:r w:rsidRPr="00BC72F7">
        <w:rPr>
          <w:rFonts w:ascii="Times New Roman" w:hAnsi="Times New Roman" w:cs="Times New Roman"/>
        </w:rPr>
        <w:t xml:space="preserve">this language should be disregarded as the transfer of the first floor of the Watervliet property could be accomplished by executing a warranty deed that established a </w:t>
      </w:r>
      <w:r w:rsidRPr="008135D5">
        <w:rPr>
          <w:rFonts w:ascii="Times New Roman" w:hAnsi="Times New Roman" w:cs="Times New Roman"/>
        </w:rPr>
        <w:t>‘</w:t>
      </w:r>
      <w:r w:rsidRPr="00BC72F7">
        <w:rPr>
          <w:rFonts w:ascii="Times New Roman" w:hAnsi="Times New Roman" w:cs="Times New Roman"/>
        </w:rPr>
        <w:t>Tenants in Common</w:t>
      </w:r>
      <w:r w:rsidRPr="008135D5">
        <w:rPr>
          <w:rFonts w:ascii="Times New Roman" w:hAnsi="Times New Roman" w:cs="Times New Roman"/>
        </w:rPr>
        <w:t>’</w:t>
      </w:r>
      <w:r w:rsidRPr="00BC72F7">
        <w:rPr>
          <w:rFonts w:ascii="Times New Roman" w:hAnsi="Times New Roman" w:cs="Times New Roman"/>
        </w:rPr>
        <w:t xml:space="preserve"> arrangement.</w:t>
      </w:r>
      <w:r w:rsidRPr="008135D5">
        <w:rPr>
          <w:rFonts w:ascii="Times New Roman" w:hAnsi="Times New Roman" w:cs="Times New Roman"/>
        </w:rPr>
        <w:t>” The Appellate Division concluded on this issue:</w:t>
      </w:r>
      <w:r w:rsidRPr="00BC72F7">
        <w:rPr>
          <w:rFonts w:ascii="Times New Roman" w:hAnsi="Times New Roman" w:cs="Times New Roman"/>
        </w:rPr>
        <w:t xml:space="preserve"> </w:t>
      </w:r>
      <w:r w:rsidRPr="008135D5">
        <w:rPr>
          <w:rFonts w:ascii="Times New Roman" w:hAnsi="Times New Roman" w:cs="Times New Roman"/>
        </w:rPr>
        <w:t>“</w:t>
      </w:r>
      <w:r w:rsidRPr="00BC72F7">
        <w:rPr>
          <w:rFonts w:ascii="Times New Roman" w:hAnsi="Times New Roman" w:cs="Times New Roman"/>
        </w:rPr>
        <w:t xml:space="preserve">Regardless of whether such an arrangement was feasible, the implication that it was intended by the parties is </w:t>
      </w:r>
      <w:r w:rsidRPr="00BC72F7">
        <w:rPr>
          <w:rFonts w:ascii="Times New Roman" w:hAnsi="Times New Roman" w:cs="Times New Roman"/>
        </w:rPr>
        <w:lastRenderedPageBreak/>
        <w:t xml:space="preserve">not supported by the record when one considers that there is no mention of it anywhere in the agreement; to the contrary, as noted by Supreme Court, it is directly controverted by the aforementioned </w:t>
      </w:r>
      <w:r w:rsidRPr="008135D5">
        <w:rPr>
          <w:rFonts w:ascii="Times New Roman" w:hAnsi="Times New Roman" w:cs="Times New Roman"/>
        </w:rPr>
        <w:t>‘</w:t>
      </w:r>
      <w:r w:rsidRPr="00BC72F7">
        <w:rPr>
          <w:rFonts w:ascii="Times New Roman" w:hAnsi="Times New Roman" w:cs="Times New Roman"/>
        </w:rPr>
        <w:t>sole ownership</w:t>
      </w:r>
      <w:r w:rsidRPr="008135D5">
        <w:rPr>
          <w:rFonts w:ascii="Times New Roman" w:hAnsi="Times New Roman" w:cs="Times New Roman"/>
        </w:rPr>
        <w:t>’</w:t>
      </w:r>
      <w:r w:rsidRPr="00BC72F7">
        <w:rPr>
          <w:rFonts w:ascii="Times New Roman" w:hAnsi="Times New Roman" w:cs="Times New Roman"/>
        </w:rPr>
        <w:t xml:space="preserve"> language with respect to the contemplated transfer.</w:t>
      </w:r>
      <w:r w:rsidRPr="008135D5">
        <w:rPr>
          <w:rFonts w:ascii="Times New Roman" w:hAnsi="Times New Roman" w:cs="Times New Roman"/>
        </w:rPr>
        <w:t>” The Third Department further determined Kelly’s contention is undermined by: “</w:t>
      </w:r>
      <w:r w:rsidRPr="00BC72F7">
        <w:rPr>
          <w:rFonts w:ascii="Times New Roman" w:hAnsi="Times New Roman" w:cs="Times New Roman"/>
        </w:rPr>
        <w:t>the language in the settlement agreement concerning his obligation to remove any encumbrances on the Watervliet property</w:t>
      </w:r>
      <w:r w:rsidRPr="008135D5">
        <w:rPr>
          <w:rFonts w:ascii="Times New Roman" w:hAnsi="Times New Roman" w:cs="Times New Roman"/>
        </w:rPr>
        <w:t xml:space="preserve"> *** </w:t>
      </w:r>
      <w:r w:rsidRPr="00BC72F7">
        <w:rPr>
          <w:rFonts w:ascii="Times New Roman" w:hAnsi="Times New Roman" w:cs="Times New Roman"/>
        </w:rPr>
        <w:t xml:space="preserve">which, as noted by Supreme Court, would provide no benefit to </w:t>
      </w:r>
      <w:r w:rsidRPr="008135D5">
        <w:rPr>
          <w:rFonts w:ascii="Times New Roman" w:hAnsi="Times New Roman" w:cs="Times New Roman"/>
        </w:rPr>
        <w:t xml:space="preserve">[Kelly] </w:t>
      </w:r>
      <w:r w:rsidRPr="00BC72F7">
        <w:rPr>
          <w:rFonts w:ascii="Times New Roman" w:hAnsi="Times New Roman" w:cs="Times New Roman"/>
        </w:rPr>
        <w:t>if he were maintaining ownership of the first floor</w:t>
      </w:r>
      <w:r w:rsidRPr="008135D5">
        <w:rPr>
          <w:rFonts w:ascii="Times New Roman" w:hAnsi="Times New Roman" w:cs="Times New Roman"/>
        </w:rPr>
        <w:t>”; Kelly’s covenant to “</w:t>
      </w:r>
      <w:r w:rsidRPr="00BC72F7">
        <w:rPr>
          <w:rFonts w:ascii="Times New Roman" w:hAnsi="Times New Roman" w:cs="Times New Roman"/>
        </w:rPr>
        <w:t>relinquish any future rental payments, pro-rate any current or due rent as of the date of signing and turn over to [</w:t>
      </w:r>
      <w:r w:rsidRPr="008135D5">
        <w:rPr>
          <w:rFonts w:ascii="Times New Roman" w:hAnsi="Times New Roman" w:cs="Times New Roman"/>
        </w:rPr>
        <w:t>Romano]</w:t>
      </w:r>
      <w:r w:rsidRPr="00BC72F7">
        <w:rPr>
          <w:rFonts w:ascii="Times New Roman" w:hAnsi="Times New Roman" w:cs="Times New Roman"/>
        </w:rPr>
        <w:t xml:space="preserve"> any security deposit for the property</w:t>
      </w:r>
      <w:r w:rsidRPr="008135D5">
        <w:rPr>
          <w:rFonts w:ascii="Times New Roman" w:hAnsi="Times New Roman" w:cs="Times New Roman"/>
        </w:rPr>
        <w:t xml:space="preserve"> (internal quotation marks omitted)</w:t>
      </w:r>
      <w:r w:rsidRPr="00BC72F7">
        <w:rPr>
          <w:rFonts w:ascii="Times New Roman" w:hAnsi="Times New Roman" w:cs="Times New Roman"/>
        </w:rPr>
        <w:t>"</w:t>
      </w:r>
      <w:r w:rsidRPr="008135D5">
        <w:rPr>
          <w:rFonts w:ascii="Times New Roman" w:hAnsi="Times New Roman" w:cs="Times New Roman"/>
        </w:rPr>
        <w:t>; Kelly</w:t>
      </w:r>
      <w:r>
        <w:rPr>
          <w:rFonts w:ascii="Times New Roman" w:hAnsi="Times New Roman" w:cs="Times New Roman"/>
        </w:rPr>
        <w:t>’s agreement</w:t>
      </w:r>
      <w:r w:rsidRPr="00BC72F7">
        <w:rPr>
          <w:rFonts w:ascii="Times New Roman" w:hAnsi="Times New Roman" w:cs="Times New Roman"/>
        </w:rPr>
        <w:t xml:space="preserve"> </w:t>
      </w:r>
      <w:r>
        <w:rPr>
          <w:rFonts w:ascii="Times New Roman" w:hAnsi="Times New Roman" w:cs="Times New Roman"/>
        </w:rPr>
        <w:t>“</w:t>
      </w:r>
      <w:r w:rsidRPr="00BC72F7">
        <w:rPr>
          <w:rFonts w:ascii="Times New Roman" w:hAnsi="Times New Roman" w:cs="Times New Roman"/>
        </w:rPr>
        <w:t>to execute the appropriate affidavit for a no-consideration transfer</w:t>
      </w:r>
      <w:r w:rsidRPr="008135D5">
        <w:rPr>
          <w:rFonts w:ascii="Times New Roman" w:hAnsi="Times New Roman" w:cs="Times New Roman"/>
        </w:rPr>
        <w:t>”; and “[f]</w:t>
      </w:r>
      <w:proofErr w:type="spellStart"/>
      <w:r w:rsidRPr="00BC72F7">
        <w:rPr>
          <w:rFonts w:ascii="Times New Roman" w:hAnsi="Times New Roman" w:cs="Times New Roman"/>
        </w:rPr>
        <w:t>inally</w:t>
      </w:r>
      <w:proofErr w:type="spellEnd"/>
      <w:r w:rsidRPr="00BC72F7">
        <w:rPr>
          <w:rFonts w:ascii="Times New Roman" w:hAnsi="Times New Roman" w:cs="Times New Roman"/>
        </w:rPr>
        <w:t>, and perhaps most significant, the settlement agreement purports to articulate the</w:t>
      </w:r>
      <w:r w:rsidRPr="008135D5">
        <w:rPr>
          <w:rFonts w:ascii="Times New Roman" w:hAnsi="Times New Roman" w:cs="Times New Roman"/>
        </w:rPr>
        <w:t xml:space="preserve"> </w:t>
      </w:r>
      <w:r w:rsidRPr="00BC72F7">
        <w:rPr>
          <w:rFonts w:ascii="Times New Roman" w:hAnsi="Times New Roman" w:cs="Times New Roman"/>
        </w:rPr>
        <w:t>parties</w:t>
      </w:r>
      <w:r w:rsidRPr="008135D5">
        <w:rPr>
          <w:rFonts w:ascii="Times New Roman" w:hAnsi="Times New Roman" w:cs="Times New Roman"/>
        </w:rPr>
        <w:t>’</w:t>
      </w:r>
      <w:r w:rsidRPr="00BC72F7">
        <w:rPr>
          <w:rFonts w:ascii="Times New Roman" w:hAnsi="Times New Roman" w:cs="Times New Roman"/>
        </w:rPr>
        <w:t xml:space="preserve"> rights to the four properties that they collectively amassed during their relationship, and </w:t>
      </w:r>
      <w:r w:rsidRPr="008135D5">
        <w:rPr>
          <w:rFonts w:ascii="Times New Roman" w:hAnsi="Times New Roman" w:cs="Times New Roman"/>
        </w:rPr>
        <w:t xml:space="preserve">[Kelly] </w:t>
      </w:r>
      <w:r w:rsidRPr="00BC72F7">
        <w:rPr>
          <w:rFonts w:ascii="Times New Roman" w:hAnsi="Times New Roman" w:cs="Times New Roman"/>
        </w:rPr>
        <w:t>fails to provide any reasonable explanation as to why the parties would omit any reference to the first floor of the Watervliet property as part of their intent to transfer sole ownership of that floor to defendant</w:t>
      </w:r>
      <w:r w:rsidRPr="008135D5">
        <w:rPr>
          <w:rFonts w:ascii="Times New Roman" w:hAnsi="Times New Roman" w:cs="Times New Roman"/>
        </w:rPr>
        <w:t xml:space="preserve"> *** [and] </w:t>
      </w:r>
      <w:r w:rsidRPr="00BC72F7">
        <w:rPr>
          <w:rFonts w:ascii="Times New Roman" w:hAnsi="Times New Roman" w:cs="Times New Roman"/>
        </w:rPr>
        <w:t>there is no indication that defendant would receive sole ownership in the first floor of the Watervliet property by virtue of any language in the agreement when, prior to the agreement, he only possessed a joint ownership interest, which would remain the case if the language in the agreement were to remain unchanged.</w:t>
      </w:r>
      <w:r w:rsidRPr="008135D5">
        <w:rPr>
          <w:rFonts w:ascii="Times New Roman" w:hAnsi="Times New Roman" w:cs="Times New Roman"/>
        </w:rPr>
        <w:t>”</w:t>
      </w:r>
      <w:r w:rsidRPr="00BC72F7">
        <w:rPr>
          <w:rFonts w:ascii="Times New Roman" w:hAnsi="Times New Roman" w:cs="Times New Roman"/>
        </w:rPr>
        <w:t xml:space="preserve"> </w:t>
      </w:r>
      <w:r w:rsidRPr="008135D5">
        <w:rPr>
          <w:rFonts w:ascii="Times New Roman" w:hAnsi="Times New Roman" w:cs="Times New Roman"/>
        </w:rPr>
        <w:t>The Appellate Division concluded that “</w:t>
      </w:r>
      <w:r w:rsidRPr="00BC72F7">
        <w:rPr>
          <w:rFonts w:ascii="Times New Roman" w:hAnsi="Times New Roman" w:cs="Times New Roman"/>
        </w:rPr>
        <w:t xml:space="preserve">the record provides ample support for Supreme Court's determination that </w:t>
      </w:r>
      <w:r>
        <w:rPr>
          <w:rFonts w:ascii="Times New Roman" w:hAnsi="Times New Roman" w:cs="Times New Roman"/>
        </w:rPr>
        <w:t xml:space="preserve">[Romano] </w:t>
      </w:r>
      <w:r w:rsidRPr="00BC72F7">
        <w:rPr>
          <w:rFonts w:ascii="Times New Roman" w:hAnsi="Times New Roman" w:cs="Times New Roman"/>
        </w:rPr>
        <w:t>clearly and convincingly established the need for reformation of the agreement</w:t>
      </w:r>
      <w:r w:rsidRPr="008135D5">
        <w:rPr>
          <w:rFonts w:ascii="Times New Roman" w:hAnsi="Times New Roman" w:cs="Times New Roman"/>
        </w:rPr>
        <w:t xml:space="preserve"> (citations omitted).” As to counsel fees, the Third Department “agreed w</w:t>
      </w:r>
      <w:r w:rsidRPr="00BC72F7">
        <w:rPr>
          <w:rFonts w:ascii="Times New Roman" w:hAnsi="Times New Roman" w:cs="Times New Roman"/>
        </w:rPr>
        <w:t>ith Supreme Court</w:t>
      </w:r>
      <w:r w:rsidRPr="008135D5">
        <w:rPr>
          <w:rFonts w:ascii="Times New Roman" w:hAnsi="Times New Roman" w:cs="Times New Roman"/>
        </w:rPr>
        <w:t>’</w:t>
      </w:r>
      <w:r w:rsidRPr="00BC72F7">
        <w:rPr>
          <w:rFonts w:ascii="Times New Roman" w:hAnsi="Times New Roman" w:cs="Times New Roman"/>
        </w:rPr>
        <w:t xml:space="preserve">s determination denying </w:t>
      </w:r>
      <w:r w:rsidRPr="008135D5">
        <w:rPr>
          <w:rFonts w:ascii="Times New Roman" w:hAnsi="Times New Roman" w:cs="Times New Roman"/>
        </w:rPr>
        <w:t xml:space="preserve">[Kelly’s] </w:t>
      </w:r>
      <w:r w:rsidRPr="00BC72F7">
        <w:rPr>
          <w:rFonts w:ascii="Times New Roman" w:hAnsi="Times New Roman" w:cs="Times New Roman"/>
        </w:rPr>
        <w:t>cross-motion for counsel fees</w:t>
      </w:r>
      <w:r w:rsidRPr="008135D5">
        <w:rPr>
          <w:rFonts w:ascii="Times New Roman" w:hAnsi="Times New Roman" w:cs="Times New Roman"/>
        </w:rPr>
        <w:t xml:space="preserve">,” in that the </w:t>
      </w:r>
      <w:r w:rsidRPr="00BC72F7">
        <w:rPr>
          <w:rFonts w:ascii="Times New Roman" w:hAnsi="Times New Roman" w:cs="Times New Roman"/>
        </w:rPr>
        <w:t xml:space="preserve">agreement </w:t>
      </w:r>
      <w:r w:rsidRPr="008135D5">
        <w:rPr>
          <w:rFonts w:ascii="Times New Roman" w:hAnsi="Times New Roman" w:cs="Times New Roman"/>
        </w:rPr>
        <w:t>“</w:t>
      </w:r>
      <w:r w:rsidRPr="00BC72F7">
        <w:rPr>
          <w:rFonts w:ascii="Times New Roman" w:hAnsi="Times New Roman" w:cs="Times New Roman"/>
        </w:rPr>
        <w:t xml:space="preserve">contemplated an award of counsel fees to a non-defaulting party in connection with an enforcement action for a breach or default by the other party; however, in declining to award either party any fees, Supreme Court determined that, although </w:t>
      </w:r>
      <w:r w:rsidRPr="008135D5">
        <w:rPr>
          <w:rFonts w:ascii="Times New Roman" w:hAnsi="Times New Roman" w:cs="Times New Roman"/>
        </w:rPr>
        <w:t xml:space="preserve">[Romano] </w:t>
      </w:r>
      <w:r w:rsidRPr="00BC72F7">
        <w:rPr>
          <w:rFonts w:ascii="Times New Roman" w:hAnsi="Times New Roman" w:cs="Times New Roman"/>
        </w:rPr>
        <w:t xml:space="preserve">was in default of the agreement, </w:t>
      </w:r>
      <w:r w:rsidRPr="008135D5">
        <w:rPr>
          <w:rFonts w:ascii="Times New Roman" w:hAnsi="Times New Roman" w:cs="Times New Roman"/>
        </w:rPr>
        <w:t xml:space="preserve">[Kelly] </w:t>
      </w:r>
      <w:r w:rsidRPr="00BC72F7">
        <w:rPr>
          <w:rFonts w:ascii="Times New Roman" w:hAnsi="Times New Roman" w:cs="Times New Roman"/>
        </w:rPr>
        <w:t>was also in breach based upon his conduct with respect to the collection of rents from the first-floor tenant in the Watervliet property.</w:t>
      </w:r>
      <w:r>
        <w:rPr>
          <w:rFonts w:ascii="Times New Roman" w:hAnsi="Times New Roman" w:cs="Times New Roman"/>
        </w:rPr>
        <w:t>”</w:t>
      </w:r>
    </w:p>
    <w:p w14:paraId="2E563BF4" w14:textId="77777777" w:rsidR="00C83062" w:rsidRDefault="00C83062" w:rsidP="00C83062">
      <w:pPr>
        <w:pStyle w:val="Heading1"/>
        <w:numPr>
          <w:ilvl w:val="0"/>
          <w:numId w:val="0"/>
        </w:numPr>
        <w:spacing w:line="240" w:lineRule="auto"/>
        <w:contextualSpacing/>
        <w:jc w:val="both"/>
        <w:rPr>
          <w:rFonts w:ascii="Times New Roman" w:hAnsi="Times New Roman" w:cs="Times New Roman"/>
        </w:rPr>
      </w:pPr>
    </w:p>
    <w:p w14:paraId="08F3E26A" w14:textId="681CF04B" w:rsidR="00723FFD" w:rsidRDefault="00723FFD" w:rsidP="00723FFD">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Attorney &amp; Client – Charging Lien – Pendente Lite – Denied; Enforcement – Contempt – No Judiciary Law 756 Warning – Dismissed</w:t>
      </w:r>
    </w:p>
    <w:p w14:paraId="5E112AFC" w14:textId="77777777" w:rsidR="00723FFD" w:rsidRDefault="00723FFD" w:rsidP="00723FFD">
      <w:pPr>
        <w:pStyle w:val="Heading2"/>
        <w:numPr>
          <w:ilvl w:val="0"/>
          <w:numId w:val="0"/>
        </w:numPr>
        <w:spacing w:line="240" w:lineRule="auto"/>
        <w:jc w:val="both"/>
        <w:rPr>
          <w:rFonts w:ascii="Times New Roman" w:hAnsi="Times New Roman" w:cs="Times New Roman"/>
          <w:b/>
          <w:bCs/>
        </w:rPr>
      </w:pPr>
    </w:p>
    <w:p w14:paraId="618CF97E" w14:textId="47A94CF4" w:rsidR="00723FFD" w:rsidRDefault="00723FFD" w:rsidP="00723FFD">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rPr>
        <w:t xml:space="preserve">In </w:t>
      </w:r>
      <w:proofErr w:type="spellStart"/>
      <w:r w:rsidRPr="00860AE4">
        <w:rPr>
          <w:rFonts w:ascii="Times New Roman" w:hAnsi="Times New Roman" w:cs="Times New Roman"/>
          <w:b/>
          <w:bCs/>
          <w:i/>
          <w:iCs/>
        </w:rPr>
        <w:t>Heifitz</w:t>
      </w:r>
      <w:proofErr w:type="spellEnd"/>
      <w:r w:rsidRPr="00860AE4">
        <w:rPr>
          <w:rFonts w:ascii="Times New Roman" w:hAnsi="Times New Roman" w:cs="Times New Roman"/>
          <w:b/>
          <w:bCs/>
          <w:i/>
          <w:iCs/>
        </w:rPr>
        <w:t xml:space="preserve"> v. </w:t>
      </w:r>
      <w:proofErr w:type="spellStart"/>
      <w:r w:rsidRPr="00860AE4">
        <w:rPr>
          <w:rFonts w:ascii="Times New Roman" w:hAnsi="Times New Roman" w:cs="Times New Roman"/>
          <w:b/>
          <w:bCs/>
          <w:i/>
          <w:iCs/>
        </w:rPr>
        <w:t>Garifova</w:t>
      </w:r>
      <w:proofErr w:type="spellEnd"/>
      <w:r>
        <w:rPr>
          <w:rFonts w:ascii="Times New Roman" w:hAnsi="Times New Roman" w:cs="Times New Roman"/>
        </w:rPr>
        <w:t xml:space="preserve">, </w:t>
      </w:r>
      <w:bookmarkStart w:id="0" w:name="_Hlk220707493"/>
      <w:r w:rsidR="00023CA9">
        <w:rPr>
          <w:rFonts w:ascii="Times New Roman" w:hAnsi="Times New Roman" w:cs="Times New Roman"/>
        </w:rPr>
        <w:t>245 NYS3d 625</w:t>
      </w:r>
      <w:bookmarkEnd w:id="0"/>
      <w:r w:rsidR="00023CA9">
        <w:rPr>
          <w:rFonts w:ascii="Times New Roman" w:hAnsi="Times New Roman" w:cs="Times New Roman"/>
        </w:rPr>
        <w:t xml:space="preserve"> </w:t>
      </w:r>
      <w:r>
        <w:rPr>
          <w:rFonts w:ascii="Times New Roman" w:hAnsi="Times New Roman" w:cs="Times New Roman"/>
        </w:rPr>
        <w:t xml:space="preserve">(2d Dept. Jan. 14, 2026), nonparty former attorneys for the wife appealed from a September 2021 Supreme Court order, which denied their motion for, among other things, an order of commitment against the husband and for a charging </w:t>
      </w:r>
      <w:proofErr w:type="gramStart"/>
      <w:r>
        <w:rPr>
          <w:rFonts w:ascii="Times New Roman" w:hAnsi="Times New Roman" w:cs="Times New Roman"/>
        </w:rPr>
        <w:t>lien</w:t>
      </w:r>
      <w:proofErr w:type="gramEnd"/>
      <w:r>
        <w:rPr>
          <w:rFonts w:ascii="Times New Roman" w:hAnsi="Times New Roman" w:cs="Times New Roman"/>
        </w:rPr>
        <w:t>. The Second Department affirmed, holding that because the commitment motion failed to contain the notice and warning required by Judiciary Law 756, the same was properly denied. As to the charging lien, the Appellate Division upheld the denial thereof, finding that “since the matter was not yet concluded, there was no equitable distribution award reflecting the creation of a new fund by [former attorneys for the wife] greater than the value of the interests already held by the [wife] (citation omitted).”</w:t>
      </w:r>
    </w:p>
    <w:p w14:paraId="11BC566C" w14:textId="77777777" w:rsidR="00723FFD" w:rsidRDefault="00723FFD" w:rsidP="00723FFD">
      <w:pPr>
        <w:pStyle w:val="Heading2"/>
        <w:numPr>
          <w:ilvl w:val="0"/>
          <w:numId w:val="0"/>
        </w:numPr>
        <w:spacing w:line="240" w:lineRule="auto"/>
        <w:rPr>
          <w:rFonts w:ascii="Times New Roman" w:hAnsi="Times New Roman" w:cs="Times New Roman"/>
          <w:b/>
          <w:bCs/>
        </w:rPr>
      </w:pPr>
    </w:p>
    <w:p w14:paraId="46F3F827" w14:textId="60FDF02D" w:rsidR="00C83062" w:rsidRPr="005A6FCE" w:rsidRDefault="00C83062" w:rsidP="00C83062">
      <w:pPr>
        <w:pStyle w:val="Heading2"/>
        <w:numPr>
          <w:ilvl w:val="0"/>
          <w:numId w:val="0"/>
        </w:numPr>
      </w:pPr>
      <w:r>
        <w:rPr>
          <w:rFonts w:ascii="Times New Roman" w:hAnsi="Times New Roman" w:cs="Times New Roman"/>
          <w:b/>
          <w:bCs/>
        </w:rPr>
        <w:t xml:space="preserve">Bankruptcy - </w:t>
      </w:r>
      <w:r w:rsidRPr="00C83062">
        <w:rPr>
          <w:rFonts w:ascii="Times New Roman" w:hAnsi="Times New Roman" w:cs="Times New Roman"/>
          <w:b/>
          <w:bCs/>
        </w:rPr>
        <w:t>Domestic Abuse Victims – Need to Know – Article</w:t>
      </w:r>
    </w:p>
    <w:p w14:paraId="61ECB709" w14:textId="1883DBB2" w:rsidR="00C83062" w:rsidRDefault="00C83062" w:rsidP="00C83062">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For an informative article, </w:t>
      </w:r>
      <w:r w:rsidRPr="005A6FCE">
        <w:rPr>
          <w:rFonts w:ascii="Times New Roman" w:hAnsi="Times New Roman" w:cs="Times New Roman"/>
          <w:i/>
          <w:iCs/>
        </w:rPr>
        <w:t>see</w:t>
      </w:r>
      <w:r>
        <w:rPr>
          <w:rFonts w:ascii="Times New Roman" w:hAnsi="Times New Roman" w:cs="Times New Roman"/>
        </w:rPr>
        <w:t xml:space="preserve"> Elisa Reiter and Daniel Pollack, “What Victims of Domestic Abuse Need to Know About Bankruptcy,” </w:t>
      </w:r>
      <w:r w:rsidRPr="005A6FCE">
        <w:rPr>
          <w:rFonts w:ascii="Times New Roman" w:hAnsi="Times New Roman" w:cs="Times New Roman"/>
          <w:i/>
          <w:iCs/>
        </w:rPr>
        <w:t>NY Law Journal</w:t>
      </w:r>
      <w:r>
        <w:rPr>
          <w:rFonts w:ascii="Times New Roman" w:hAnsi="Times New Roman" w:cs="Times New Roman"/>
        </w:rPr>
        <w:t>, Jan. 7, 2026.</w:t>
      </w:r>
    </w:p>
    <w:p w14:paraId="006BF5F4" w14:textId="77777777" w:rsidR="00860AE4" w:rsidRDefault="00860AE4" w:rsidP="00C83062">
      <w:pPr>
        <w:pStyle w:val="Heading1"/>
        <w:numPr>
          <w:ilvl w:val="0"/>
          <w:numId w:val="0"/>
        </w:numPr>
        <w:spacing w:line="240" w:lineRule="auto"/>
        <w:contextualSpacing/>
        <w:jc w:val="both"/>
        <w:rPr>
          <w:rFonts w:ascii="Times New Roman" w:hAnsi="Times New Roman" w:cs="Times New Roman"/>
        </w:rPr>
      </w:pPr>
    </w:p>
    <w:p w14:paraId="051AFD1C" w14:textId="77777777" w:rsidR="00723FFD" w:rsidRDefault="00723FFD" w:rsidP="00C83062">
      <w:pPr>
        <w:pStyle w:val="Heading1"/>
        <w:numPr>
          <w:ilvl w:val="0"/>
          <w:numId w:val="0"/>
        </w:numPr>
        <w:spacing w:line="240" w:lineRule="auto"/>
        <w:contextualSpacing/>
        <w:jc w:val="both"/>
        <w:rPr>
          <w:rFonts w:ascii="Times New Roman" w:hAnsi="Times New Roman" w:cs="Times New Roman"/>
        </w:rPr>
      </w:pPr>
    </w:p>
    <w:p w14:paraId="0F37E56A" w14:textId="77777777" w:rsidR="00723FFD" w:rsidRPr="00723FFD" w:rsidRDefault="00723FFD" w:rsidP="00723FFD">
      <w:pPr>
        <w:pStyle w:val="Heading2"/>
        <w:numPr>
          <w:ilvl w:val="0"/>
          <w:numId w:val="0"/>
        </w:numPr>
        <w:jc w:val="both"/>
        <w:rPr>
          <w:rFonts w:ascii="Times New Roman" w:hAnsi="Times New Roman" w:cs="Times New Roman"/>
          <w:b/>
          <w:bCs/>
        </w:rPr>
      </w:pPr>
      <w:r w:rsidRPr="00723FFD">
        <w:rPr>
          <w:rFonts w:ascii="Times New Roman" w:hAnsi="Times New Roman" w:cs="Times New Roman"/>
          <w:b/>
          <w:bCs/>
        </w:rPr>
        <w:lastRenderedPageBreak/>
        <w:t>Counsel Fees - Family Court – Article</w:t>
      </w:r>
    </w:p>
    <w:p w14:paraId="2224204B" w14:textId="6E68C45C" w:rsidR="00723FFD" w:rsidRDefault="00723FFD" w:rsidP="00723FFD">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For an informative article, </w:t>
      </w:r>
      <w:r w:rsidRPr="00B32ADD">
        <w:rPr>
          <w:rFonts w:ascii="Times New Roman" w:hAnsi="Times New Roman" w:cs="Times New Roman"/>
          <w:i/>
          <w:iCs/>
        </w:rPr>
        <w:t>see</w:t>
      </w:r>
      <w:r>
        <w:rPr>
          <w:rFonts w:ascii="Times New Roman" w:hAnsi="Times New Roman" w:cs="Times New Roman"/>
        </w:rPr>
        <w:t xml:space="preserve"> Magistrate Sondra Mendelson-Toscano, “Legal Fees Applications in Family Court Support Cases, </w:t>
      </w:r>
      <w:r w:rsidRPr="00B32ADD">
        <w:rPr>
          <w:rFonts w:ascii="Times New Roman" w:hAnsi="Times New Roman" w:cs="Times New Roman"/>
          <w:i/>
          <w:iCs/>
        </w:rPr>
        <w:t>NY Law Journal</w:t>
      </w:r>
      <w:r>
        <w:rPr>
          <w:rFonts w:ascii="Times New Roman" w:hAnsi="Times New Roman" w:cs="Times New Roman"/>
        </w:rPr>
        <w:t>, Jan. 12, 2026.</w:t>
      </w:r>
    </w:p>
    <w:p w14:paraId="35015408" w14:textId="77777777" w:rsidR="00C83062" w:rsidRDefault="00C83062" w:rsidP="00C83062">
      <w:pPr>
        <w:pStyle w:val="Heading1"/>
        <w:numPr>
          <w:ilvl w:val="0"/>
          <w:numId w:val="0"/>
        </w:numPr>
        <w:spacing w:line="240" w:lineRule="auto"/>
        <w:contextualSpacing/>
        <w:jc w:val="both"/>
        <w:rPr>
          <w:rFonts w:ascii="Times New Roman" w:hAnsi="Times New Roman" w:cs="Times New Roman"/>
        </w:rPr>
      </w:pPr>
    </w:p>
    <w:p w14:paraId="70B5582C" w14:textId="77777777" w:rsidR="00600535" w:rsidRPr="00600535" w:rsidRDefault="00C83062" w:rsidP="00600535">
      <w:pPr>
        <w:pStyle w:val="Heading2"/>
        <w:numPr>
          <w:ilvl w:val="0"/>
          <w:numId w:val="0"/>
        </w:numPr>
        <w:jc w:val="both"/>
        <w:rPr>
          <w:b/>
          <w:bCs/>
        </w:rPr>
      </w:pPr>
      <w:r w:rsidRPr="00600535">
        <w:rPr>
          <w:rFonts w:ascii="Times New Roman" w:hAnsi="Times New Roman" w:cs="Times New Roman"/>
          <w:b/>
          <w:bCs/>
        </w:rPr>
        <w:t xml:space="preserve">Custody - </w:t>
      </w:r>
      <w:r w:rsidR="00600535" w:rsidRPr="00600535">
        <w:rPr>
          <w:rFonts w:ascii="Times New Roman" w:hAnsi="Times New Roman" w:cs="Times New Roman"/>
          <w:b/>
          <w:bCs/>
        </w:rPr>
        <w:t>Joint Legal and Physical Upheld – Divided Decision Making, Prior Neglect Finding</w:t>
      </w:r>
    </w:p>
    <w:p w14:paraId="492F0BAA" w14:textId="079A6282" w:rsidR="00C83062" w:rsidRDefault="00600535" w:rsidP="00600535">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600535">
        <w:rPr>
          <w:rFonts w:ascii="Times New Roman" w:hAnsi="Times New Roman" w:cs="Times New Roman"/>
          <w:b/>
          <w:bCs/>
          <w:i/>
          <w:iCs/>
        </w:rPr>
        <w:t>Matter of Johnathan S.</w:t>
      </w:r>
      <w:r>
        <w:rPr>
          <w:rFonts w:ascii="Times New Roman" w:hAnsi="Times New Roman" w:cs="Times New Roman"/>
        </w:rPr>
        <w:t xml:space="preserve">, </w:t>
      </w:r>
      <w:r w:rsidR="00023CA9">
        <w:rPr>
          <w:rFonts w:ascii="Times New Roman" w:hAnsi="Times New Roman" w:cs="Times New Roman"/>
        </w:rPr>
        <w:t xml:space="preserve">246 NYS3d 59 </w:t>
      </w:r>
      <w:r>
        <w:rPr>
          <w:rFonts w:ascii="Times New Roman" w:hAnsi="Times New Roman" w:cs="Times New Roman"/>
        </w:rPr>
        <w:t>(1</w:t>
      </w:r>
      <w:r w:rsidRPr="0069174F">
        <w:rPr>
          <w:rFonts w:ascii="Times New Roman" w:hAnsi="Times New Roman" w:cs="Times New Roman"/>
          <w:vertAlign w:val="superscript"/>
        </w:rPr>
        <w:t>st</w:t>
      </w:r>
      <w:r>
        <w:rPr>
          <w:rFonts w:ascii="Times New Roman" w:hAnsi="Times New Roman" w:cs="Times New Roman"/>
        </w:rPr>
        <w:t xml:space="preserve"> Dept. Jan. 6, 2026), the father appealed from a January 2023 Family Court order, which granted joint legal and physical custody of the subject child to the mother and him. The First Department affirmed, holding that the trial evidence established that both parents were fit, such that divided decision making authority [details not specified] was appropriate.  The Appellate Division rejected the father’s contention “that a prior finding of neglect against the mother is </w:t>
      </w:r>
      <w:r w:rsidR="00E958F5">
        <w:rPr>
          <w:rFonts w:ascii="Times New Roman" w:hAnsi="Times New Roman" w:cs="Times New Roman"/>
        </w:rPr>
        <w:t xml:space="preserve">*** </w:t>
      </w:r>
      <w:r>
        <w:rPr>
          <w:rFonts w:ascii="Times New Roman" w:hAnsi="Times New Roman" w:cs="Times New Roman"/>
        </w:rPr>
        <w:t>a bar to her being awarded custody,” given “the mother’s proactive and remedial measures put in place to address the circumstances which *** led to the child being removed.”</w:t>
      </w:r>
    </w:p>
    <w:p w14:paraId="6B277A01" w14:textId="77777777" w:rsidR="00860AE4" w:rsidRDefault="00860AE4" w:rsidP="00600535">
      <w:pPr>
        <w:pStyle w:val="Heading1"/>
        <w:numPr>
          <w:ilvl w:val="0"/>
          <w:numId w:val="0"/>
        </w:numPr>
        <w:spacing w:line="240" w:lineRule="auto"/>
        <w:contextualSpacing/>
        <w:jc w:val="both"/>
        <w:rPr>
          <w:rFonts w:ascii="Times New Roman" w:hAnsi="Times New Roman" w:cs="Times New Roman"/>
        </w:rPr>
      </w:pPr>
    </w:p>
    <w:p w14:paraId="3B4ED50B" w14:textId="77777777" w:rsidR="00860AE4" w:rsidRDefault="00860AE4" w:rsidP="00860AE4">
      <w:pPr>
        <w:pStyle w:val="Heading2"/>
        <w:numPr>
          <w:ilvl w:val="0"/>
          <w:numId w:val="0"/>
        </w:numPr>
        <w:spacing w:line="240" w:lineRule="auto"/>
        <w:jc w:val="both"/>
        <w:rPr>
          <w:rFonts w:ascii="Times New Roman" w:hAnsi="Times New Roman" w:cs="Times New Roman"/>
          <w:b/>
          <w:bCs/>
        </w:rPr>
      </w:pPr>
      <w:r w:rsidRPr="00860AE4">
        <w:rPr>
          <w:rFonts w:ascii="Times New Roman" w:hAnsi="Times New Roman" w:cs="Times New Roman"/>
          <w:b/>
          <w:bCs/>
        </w:rPr>
        <w:t>Custody - Modification – Joint to Sole – Reversed on Appeal; AFC Substituted Judgment; Domestic Violence Not Proved; Primary to Father Continued</w:t>
      </w:r>
    </w:p>
    <w:p w14:paraId="75BD0F8E" w14:textId="77777777" w:rsidR="00860AE4" w:rsidRPr="00860AE4" w:rsidRDefault="00860AE4" w:rsidP="00860AE4">
      <w:pPr>
        <w:pStyle w:val="Heading2"/>
        <w:numPr>
          <w:ilvl w:val="0"/>
          <w:numId w:val="0"/>
        </w:numPr>
        <w:spacing w:line="240" w:lineRule="auto"/>
        <w:jc w:val="both"/>
        <w:rPr>
          <w:b/>
          <w:bCs/>
        </w:rPr>
      </w:pPr>
    </w:p>
    <w:p w14:paraId="2ABBBC9B" w14:textId="5A4FD897" w:rsidR="00860AE4" w:rsidRDefault="00860AE4" w:rsidP="00860AE4">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860AE4">
        <w:rPr>
          <w:rFonts w:ascii="Times New Roman" w:hAnsi="Times New Roman" w:cs="Times New Roman"/>
          <w:b/>
          <w:bCs/>
          <w:i/>
          <w:iCs/>
        </w:rPr>
        <w:t>Matter of Alex Y. v. Mindy X.</w:t>
      </w:r>
      <w:r>
        <w:rPr>
          <w:rFonts w:ascii="Times New Roman" w:hAnsi="Times New Roman" w:cs="Times New Roman"/>
        </w:rPr>
        <w:t xml:space="preserve">, 2026 Westlaw 232310 (3d Dept. Jan. 29, 2026), the mother appealed from a September 2023 Family Court order, which, following fact-finding and </w:t>
      </w:r>
      <w:r w:rsidRPr="008046A3">
        <w:rPr>
          <w:rFonts w:ascii="Times New Roman" w:hAnsi="Times New Roman" w:cs="Times New Roman"/>
          <w:i/>
          <w:iCs/>
        </w:rPr>
        <w:t>Lincoln</w:t>
      </w:r>
      <w:r>
        <w:rPr>
          <w:rFonts w:ascii="Times New Roman" w:hAnsi="Times New Roman" w:cs="Times New Roman"/>
        </w:rPr>
        <w:t xml:space="preserve"> hearings, determined the parties’ 2021 petitions to modify a 2018 consent order (joint legal, primary to father) pertaining to their child born in 2012. The parties’ modification petitions each sought sole legal custody. The order appealed from awarded the father sole legal custody with increased time to the mother. The Third Department </w:t>
      </w:r>
      <w:proofErr w:type="gramStart"/>
      <w:r>
        <w:rPr>
          <w:rFonts w:ascii="Times New Roman" w:hAnsi="Times New Roman" w:cs="Times New Roman"/>
        </w:rPr>
        <w:t>modified, on the law</w:t>
      </w:r>
      <w:proofErr w:type="gramEnd"/>
      <w:r>
        <w:rPr>
          <w:rFonts w:ascii="Times New Roman" w:hAnsi="Times New Roman" w:cs="Times New Roman"/>
        </w:rPr>
        <w:t xml:space="preserve">, by reversing so much of the order appealed from as awarded sole legal custody of the child to the father, granted the parties joint legal custody, and otherwise affirmed. The Appellate Division held that the parties “are able to constructively communicate regarding the child” and did not find a “sound and substantial basis in the record for Family Court’s determination that the parties could not effectively coparent so as to render joint legal custody unworkable.” The Court disagreed with the mother’s contention that Family Court did not adequately consider domestic violence, for example, </w:t>
      </w:r>
      <w:proofErr w:type="gramStart"/>
      <w:r>
        <w:rPr>
          <w:rFonts w:ascii="Times New Roman" w:hAnsi="Times New Roman" w:cs="Times New Roman"/>
        </w:rPr>
        <w:t>a ”verbal</w:t>
      </w:r>
      <w:proofErr w:type="gramEnd"/>
      <w:r>
        <w:rPr>
          <w:rFonts w:ascii="Times New Roman" w:hAnsi="Times New Roman" w:cs="Times New Roman"/>
        </w:rPr>
        <w:t xml:space="preserve"> altercation *** between the father and the </w:t>
      </w:r>
      <w:proofErr w:type="spellStart"/>
      <w:r>
        <w:rPr>
          <w:rFonts w:ascii="Times New Roman" w:hAnsi="Times New Roman" w:cs="Times New Roman"/>
        </w:rPr>
        <w:t>half sister’s</w:t>
      </w:r>
      <w:proofErr w:type="spellEnd"/>
      <w:r>
        <w:rPr>
          <w:rFonts w:ascii="Times New Roman" w:hAnsi="Times New Roman" w:cs="Times New Roman"/>
        </w:rPr>
        <w:t xml:space="preserve"> mother” as to which Family Court “credited the father’s testimony that the incident was a stand-alone occurrence.” The Third Department noted that Family Court found “certain witnesses incredible and others to have been motivated by bias,” and determined that “the allegations of domestic violence were not proven by a preponderance of the evidence” and the father “has demonstrated a greater willingness to foster a relationship between the child and the mother.” The Appellate Division concluded that the AFC’s decision to substitute judgment, by advocating for a position adverse to the child’s wishes, was proper and in accordance with 22 NYCRR 7.2(d)(3),  based upon what the AFC “believed to be coaching from both parents, which, in conjunction with the years of ongoing litigation, had impacted the child’s ability to make a voluntary judgment despite her age and relative maturity.”</w:t>
      </w:r>
    </w:p>
    <w:p w14:paraId="27899777" w14:textId="77777777" w:rsidR="00723FFD" w:rsidRDefault="00723FFD" w:rsidP="00600535">
      <w:pPr>
        <w:pStyle w:val="Heading1"/>
        <w:numPr>
          <w:ilvl w:val="0"/>
          <w:numId w:val="0"/>
        </w:numPr>
        <w:spacing w:line="240" w:lineRule="auto"/>
        <w:contextualSpacing/>
        <w:jc w:val="both"/>
        <w:rPr>
          <w:rFonts w:ascii="Times New Roman" w:hAnsi="Times New Roman" w:cs="Times New Roman"/>
        </w:rPr>
      </w:pPr>
    </w:p>
    <w:p w14:paraId="46CB4BE1" w14:textId="77777777" w:rsidR="00600535" w:rsidRPr="00600535" w:rsidRDefault="00600535" w:rsidP="00600535">
      <w:pPr>
        <w:pStyle w:val="Heading2"/>
        <w:numPr>
          <w:ilvl w:val="0"/>
          <w:numId w:val="0"/>
        </w:numPr>
        <w:jc w:val="both"/>
        <w:rPr>
          <w:rFonts w:ascii="Times New Roman" w:hAnsi="Times New Roman" w:cs="Times New Roman"/>
          <w:b/>
          <w:bCs/>
        </w:rPr>
      </w:pPr>
      <w:r w:rsidRPr="00600535">
        <w:rPr>
          <w:rFonts w:ascii="Times New Roman" w:hAnsi="Times New Roman" w:cs="Times New Roman"/>
          <w:b/>
          <w:bCs/>
        </w:rPr>
        <w:t>Custody - Private Pay AFCs – Article</w:t>
      </w:r>
    </w:p>
    <w:p w14:paraId="1CA01AB5" w14:textId="002AD1C8" w:rsidR="00600535" w:rsidRDefault="00600535" w:rsidP="00600535">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For an informative article, </w:t>
      </w:r>
      <w:r w:rsidRPr="004E6215">
        <w:rPr>
          <w:rFonts w:ascii="Times New Roman" w:hAnsi="Times New Roman" w:cs="Times New Roman"/>
          <w:i/>
          <w:iCs/>
        </w:rPr>
        <w:t>see</w:t>
      </w:r>
      <w:r>
        <w:rPr>
          <w:rFonts w:ascii="Times New Roman" w:hAnsi="Times New Roman" w:cs="Times New Roman"/>
        </w:rPr>
        <w:t xml:space="preserve"> Joel R. Brandes, “Privately Paid Attorneys for the Child,” </w:t>
      </w:r>
      <w:r w:rsidRPr="004E6215">
        <w:rPr>
          <w:rFonts w:ascii="Times New Roman" w:hAnsi="Times New Roman" w:cs="Times New Roman"/>
          <w:i/>
          <w:iCs/>
        </w:rPr>
        <w:t>NY Law Journal</w:t>
      </w:r>
      <w:r>
        <w:rPr>
          <w:rFonts w:ascii="Times New Roman" w:hAnsi="Times New Roman" w:cs="Times New Roman"/>
        </w:rPr>
        <w:t>, Jan. 4, 2026.</w:t>
      </w:r>
    </w:p>
    <w:p w14:paraId="26E82A1D" w14:textId="77777777" w:rsidR="00600535" w:rsidRPr="00600535" w:rsidRDefault="00600535" w:rsidP="00600535">
      <w:pPr>
        <w:pStyle w:val="Heading2"/>
        <w:numPr>
          <w:ilvl w:val="0"/>
          <w:numId w:val="0"/>
        </w:numPr>
        <w:jc w:val="both"/>
        <w:rPr>
          <w:rFonts w:ascii="Times New Roman" w:hAnsi="Times New Roman" w:cs="Times New Roman"/>
          <w:b/>
          <w:bCs/>
        </w:rPr>
      </w:pPr>
      <w:r w:rsidRPr="00600535">
        <w:rPr>
          <w:rFonts w:ascii="Times New Roman" w:hAnsi="Times New Roman" w:cs="Times New Roman"/>
          <w:b/>
          <w:bCs/>
        </w:rPr>
        <w:lastRenderedPageBreak/>
        <w:t>Custody - Relocation (GA) – Granted</w:t>
      </w:r>
    </w:p>
    <w:p w14:paraId="6F642680" w14:textId="33A464B7" w:rsidR="00600535" w:rsidRDefault="00600535" w:rsidP="00600535">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600535">
        <w:rPr>
          <w:rFonts w:ascii="Times New Roman" w:hAnsi="Times New Roman" w:cs="Times New Roman"/>
          <w:b/>
          <w:bCs/>
          <w:i/>
          <w:iCs/>
        </w:rPr>
        <w:t>Matter of Miguel C. v. Bennie B.</w:t>
      </w:r>
      <w:r>
        <w:rPr>
          <w:rFonts w:ascii="Times New Roman" w:hAnsi="Times New Roman" w:cs="Times New Roman"/>
        </w:rPr>
        <w:t>, 2026 Westlaw 31389 (1</w:t>
      </w:r>
      <w:r w:rsidRPr="003960D3">
        <w:rPr>
          <w:rFonts w:ascii="Times New Roman" w:hAnsi="Times New Roman" w:cs="Times New Roman"/>
          <w:vertAlign w:val="superscript"/>
        </w:rPr>
        <w:t>st</w:t>
      </w:r>
      <w:r>
        <w:rPr>
          <w:rFonts w:ascii="Times New Roman" w:hAnsi="Times New Roman" w:cs="Times New Roman"/>
        </w:rPr>
        <w:t xml:space="preserve"> Dept. Jan. 6, 2026), the father appealed from an April 2024 Supreme Court (IDV Part) Order which dismissed his violation petition against the mother and granted the mother’s modification petition and allowed her to relocate to Georgia with the subject children. The First Department affirmed, holding that the father failed to prove by clear and convincing evidence that the mother willfully violated the prior custody order to his prejudice, citing the mother’s credible testimony that “she notified the father of her intention to move to Georgia with the children, and that [he] failed to respond *** or *** object to the move.” The Appellate Division found the mother proved that the children’s relocation to GA was in their best interests, noting: she was their primary caretaker; “the father did not contribute financially to their care or consistently visit with the children in the years preceding their move to Georgia”; and the father “appeared incapable of placing their needs above his own.”</w:t>
      </w:r>
    </w:p>
    <w:p w14:paraId="7EDD631D" w14:textId="77777777" w:rsidR="00600535" w:rsidRDefault="00600535" w:rsidP="00600535">
      <w:pPr>
        <w:pStyle w:val="Heading1"/>
        <w:numPr>
          <w:ilvl w:val="0"/>
          <w:numId w:val="0"/>
        </w:numPr>
        <w:spacing w:line="240" w:lineRule="auto"/>
        <w:contextualSpacing/>
        <w:jc w:val="both"/>
        <w:rPr>
          <w:rFonts w:ascii="Times New Roman" w:hAnsi="Times New Roman" w:cs="Times New Roman"/>
        </w:rPr>
      </w:pPr>
    </w:p>
    <w:p w14:paraId="2095C37D" w14:textId="77777777" w:rsidR="00600535" w:rsidRPr="00600535" w:rsidRDefault="00600535" w:rsidP="00600535">
      <w:pPr>
        <w:pStyle w:val="Heading2"/>
        <w:numPr>
          <w:ilvl w:val="0"/>
          <w:numId w:val="0"/>
        </w:numPr>
        <w:jc w:val="both"/>
        <w:rPr>
          <w:rFonts w:ascii="Times New Roman" w:hAnsi="Times New Roman" w:cs="Times New Roman"/>
          <w:b/>
          <w:bCs/>
        </w:rPr>
      </w:pPr>
      <w:r w:rsidRPr="00600535">
        <w:rPr>
          <w:rFonts w:ascii="Times New Roman" w:hAnsi="Times New Roman" w:cs="Times New Roman"/>
          <w:b/>
          <w:bCs/>
        </w:rPr>
        <w:t>Custody - Sole – Primary Parent, Stability, Likely to Foster Other Parent Relationship</w:t>
      </w:r>
    </w:p>
    <w:p w14:paraId="6E2DBA4E" w14:textId="41A6D948" w:rsidR="00600535" w:rsidRDefault="00600535" w:rsidP="00600535">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600535">
        <w:rPr>
          <w:rFonts w:ascii="Times New Roman" w:hAnsi="Times New Roman" w:cs="Times New Roman"/>
          <w:b/>
          <w:bCs/>
          <w:i/>
          <w:iCs/>
        </w:rPr>
        <w:t>Matter of Cory E.L. v Alexandria O.,</w:t>
      </w:r>
      <w:r>
        <w:rPr>
          <w:rFonts w:ascii="Times New Roman" w:hAnsi="Times New Roman" w:cs="Times New Roman"/>
        </w:rPr>
        <w:t xml:space="preserve"> 2026 Westlaw 31391 (1</w:t>
      </w:r>
      <w:r w:rsidRPr="00630D74">
        <w:rPr>
          <w:rFonts w:ascii="Times New Roman" w:hAnsi="Times New Roman" w:cs="Times New Roman"/>
          <w:vertAlign w:val="superscript"/>
        </w:rPr>
        <w:t>st</w:t>
      </w:r>
      <w:r>
        <w:rPr>
          <w:rFonts w:ascii="Times New Roman" w:hAnsi="Times New Roman" w:cs="Times New Roman"/>
        </w:rPr>
        <w:t xml:space="preserve"> Dept. Jan. 6, 2026), the mother appealed from a December 2024 Family Court order which, after a hearing, granted the father’s petition for sole legal and physical custody. The First Department affirmed, holding that Family Court “properly determined that joint custody was not appropriate due to the parents’ demonstrated difficulties with communicating effectively,” which was evidenced by, among other things, the mother’s repeated refusal “to let him see the child in 2020 and </w:t>
      </w:r>
      <w:r w:rsidR="00B0755C">
        <w:rPr>
          <w:rFonts w:ascii="Times New Roman" w:hAnsi="Times New Roman" w:cs="Times New Roman"/>
        </w:rPr>
        <w:t xml:space="preserve">[she] </w:t>
      </w:r>
      <w:r>
        <w:rPr>
          <w:rFonts w:ascii="Times New Roman" w:hAnsi="Times New Roman" w:cs="Times New Roman"/>
        </w:rPr>
        <w:t>regularly failed to answer the telephone and respond to important messages regarding the child.” As to the custody determination, the Appellate Division noted: “the father is a supportive parent, who would provide the child with adequate housing, financial support, and a stable home life”; the father “was the primary parent involved with the child’s schooling, extracurriculars and medical appointments”; and “the father is more likely to foster the relationship between the mother and the child.” In contrast, the mother “did not have regular employment, and the child was often absent or late to school while in the mother’s custody, to the detriment of [his] academic performance (citation and internal quotation marks omitted).”</w:t>
      </w:r>
    </w:p>
    <w:p w14:paraId="1DDAC7DA" w14:textId="77777777" w:rsidR="00600535" w:rsidRDefault="00600535" w:rsidP="00600535">
      <w:pPr>
        <w:pStyle w:val="Heading1"/>
        <w:numPr>
          <w:ilvl w:val="0"/>
          <w:numId w:val="0"/>
        </w:numPr>
        <w:spacing w:line="240" w:lineRule="auto"/>
        <w:contextualSpacing/>
        <w:jc w:val="both"/>
        <w:rPr>
          <w:rFonts w:ascii="Times New Roman" w:hAnsi="Times New Roman" w:cs="Times New Roman"/>
        </w:rPr>
      </w:pPr>
    </w:p>
    <w:p w14:paraId="4B288595" w14:textId="77777777" w:rsidR="00600535" w:rsidRPr="00600535" w:rsidRDefault="00600535" w:rsidP="00600535">
      <w:pPr>
        <w:pStyle w:val="Heading2"/>
        <w:numPr>
          <w:ilvl w:val="0"/>
          <w:numId w:val="0"/>
        </w:numPr>
        <w:jc w:val="both"/>
        <w:rPr>
          <w:rFonts w:ascii="Times New Roman" w:hAnsi="Times New Roman" w:cs="Times New Roman"/>
          <w:b/>
          <w:bCs/>
        </w:rPr>
      </w:pPr>
      <w:r w:rsidRPr="00600535">
        <w:rPr>
          <w:rFonts w:ascii="Times New Roman" w:hAnsi="Times New Roman" w:cs="Times New Roman"/>
          <w:b/>
          <w:bCs/>
        </w:rPr>
        <w:t>Custody - Unfounded ACS Reports in Custody Cases – Article</w:t>
      </w:r>
    </w:p>
    <w:p w14:paraId="2965EDB2" w14:textId="6C9987F5" w:rsidR="00600535" w:rsidRDefault="00600535" w:rsidP="00600535">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For an informative article, </w:t>
      </w:r>
      <w:r w:rsidRPr="004438A2">
        <w:rPr>
          <w:rFonts w:ascii="Times New Roman" w:hAnsi="Times New Roman" w:cs="Times New Roman"/>
          <w:i/>
          <w:iCs/>
        </w:rPr>
        <w:t>see</w:t>
      </w:r>
      <w:r>
        <w:rPr>
          <w:rFonts w:ascii="Times New Roman" w:hAnsi="Times New Roman" w:cs="Times New Roman"/>
        </w:rPr>
        <w:t xml:space="preserve"> Deepti Shenoy, “Unfounded ACS Reports in Custody Cases,” </w:t>
      </w:r>
      <w:r w:rsidRPr="004438A2">
        <w:rPr>
          <w:rFonts w:ascii="Times New Roman" w:hAnsi="Times New Roman" w:cs="Times New Roman"/>
          <w:i/>
          <w:iCs/>
        </w:rPr>
        <w:t>NY Law Journal</w:t>
      </w:r>
      <w:r>
        <w:rPr>
          <w:rFonts w:ascii="Times New Roman" w:hAnsi="Times New Roman" w:cs="Times New Roman"/>
        </w:rPr>
        <w:t xml:space="preserve"> Jan. 8, 2026.</w:t>
      </w:r>
    </w:p>
    <w:p w14:paraId="496180DA" w14:textId="77777777" w:rsidR="00723FFD" w:rsidRDefault="00723FFD" w:rsidP="00600535">
      <w:pPr>
        <w:pStyle w:val="Heading1"/>
        <w:numPr>
          <w:ilvl w:val="0"/>
          <w:numId w:val="0"/>
        </w:numPr>
        <w:spacing w:line="240" w:lineRule="auto"/>
        <w:contextualSpacing/>
        <w:jc w:val="both"/>
        <w:rPr>
          <w:rFonts w:ascii="Times New Roman" w:hAnsi="Times New Roman" w:cs="Times New Roman"/>
        </w:rPr>
      </w:pPr>
    </w:p>
    <w:p w14:paraId="7CAEB55F" w14:textId="77777777" w:rsidR="00723FFD" w:rsidRPr="00723FFD" w:rsidRDefault="00723FFD" w:rsidP="00723FFD">
      <w:pPr>
        <w:pStyle w:val="Heading2"/>
        <w:numPr>
          <w:ilvl w:val="0"/>
          <w:numId w:val="0"/>
        </w:numPr>
        <w:jc w:val="both"/>
        <w:rPr>
          <w:rFonts w:ascii="Times New Roman" w:hAnsi="Times New Roman" w:cs="Times New Roman"/>
          <w:b/>
          <w:bCs/>
        </w:rPr>
      </w:pPr>
      <w:r w:rsidRPr="00723FFD">
        <w:rPr>
          <w:rFonts w:ascii="Times New Roman" w:hAnsi="Times New Roman" w:cs="Times New Roman"/>
          <w:b/>
          <w:bCs/>
        </w:rPr>
        <w:t xml:space="preserve">Custody - UCCJEA – Dismissed – Forum Non </w:t>
      </w:r>
      <w:proofErr w:type="spellStart"/>
      <w:r w:rsidRPr="00723FFD">
        <w:rPr>
          <w:rFonts w:ascii="Times New Roman" w:hAnsi="Times New Roman" w:cs="Times New Roman"/>
          <w:b/>
          <w:bCs/>
        </w:rPr>
        <w:t>Conveniens</w:t>
      </w:r>
      <w:proofErr w:type="spellEnd"/>
    </w:p>
    <w:p w14:paraId="560F742E" w14:textId="15F44307" w:rsidR="00723FFD" w:rsidRDefault="00723FFD" w:rsidP="00723FFD">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723FFD">
        <w:rPr>
          <w:rFonts w:ascii="Times New Roman" w:hAnsi="Times New Roman" w:cs="Times New Roman"/>
          <w:b/>
          <w:bCs/>
          <w:i/>
          <w:iCs/>
        </w:rPr>
        <w:t>Vassilev v. Vassilev</w:t>
      </w:r>
      <w:r>
        <w:rPr>
          <w:rFonts w:ascii="Times New Roman" w:hAnsi="Times New Roman" w:cs="Times New Roman"/>
        </w:rPr>
        <w:t>, 2026 Westlaw 110545 (1</w:t>
      </w:r>
      <w:r w:rsidRPr="000C1B8D">
        <w:rPr>
          <w:rFonts w:ascii="Times New Roman" w:hAnsi="Times New Roman" w:cs="Times New Roman"/>
          <w:vertAlign w:val="superscript"/>
        </w:rPr>
        <w:t>st</w:t>
      </w:r>
      <w:r>
        <w:rPr>
          <w:rFonts w:ascii="Times New Roman" w:hAnsi="Times New Roman" w:cs="Times New Roman"/>
        </w:rPr>
        <w:t xml:space="preserve"> Dept. Jan. 15, 2026), the wife appealed from an April 2025 Supreme Court order, which granted the husband’s February 2025 motion to dismiss her March 2023 divorce action</w:t>
      </w:r>
      <w:r w:rsidR="00B0755C">
        <w:rPr>
          <w:rFonts w:ascii="Times New Roman" w:hAnsi="Times New Roman" w:cs="Times New Roman"/>
        </w:rPr>
        <w:t>,</w:t>
      </w:r>
      <w:r>
        <w:rPr>
          <w:rFonts w:ascii="Times New Roman" w:hAnsi="Times New Roman" w:cs="Times New Roman"/>
        </w:rPr>
        <w:t xml:space="preserve"> upon the ground of inconvenient forum pursuant to DRL 76-</w:t>
      </w:r>
      <w:proofErr w:type="gramStart"/>
      <w:r>
        <w:rPr>
          <w:rFonts w:ascii="Times New Roman" w:hAnsi="Times New Roman" w:cs="Times New Roman"/>
        </w:rPr>
        <w:t>f(</w:t>
      </w:r>
      <w:proofErr w:type="gramEnd"/>
      <w:r>
        <w:rPr>
          <w:rFonts w:ascii="Times New Roman" w:hAnsi="Times New Roman" w:cs="Times New Roman"/>
        </w:rPr>
        <w:t xml:space="preserve">1) and (2)[a-h]. By August 2023, the parties had moved to separate towns in NJ. In November 2023, the husband moved to dismiss the action upon forum non </w:t>
      </w:r>
      <w:proofErr w:type="spellStart"/>
      <w:r>
        <w:rPr>
          <w:rFonts w:ascii="Times New Roman" w:hAnsi="Times New Roman" w:cs="Times New Roman"/>
        </w:rPr>
        <w:t>conveniens</w:t>
      </w:r>
      <w:proofErr w:type="spellEnd"/>
      <w:r>
        <w:rPr>
          <w:rFonts w:ascii="Times New Roman" w:hAnsi="Times New Roman" w:cs="Times New Roman"/>
        </w:rPr>
        <w:t xml:space="preserve"> grounds, but Supreme Court denied the motion as premature, as it would be another 3 months until NJ had home state jurisdiction under DRL 75-</w:t>
      </w:r>
      <w:proofErr w:type="gramStart"/>
      <w:r>
        <w:rPr>
          <w:rFonts w:ascii="Times New Roman" w:hAnsi="Times New Roman" w:cs="Times New Roman"/>
        </w:rPr>
        <w:t>a(</w:t>
      </w:r>
      <w:proofErr w:type="gramEnd"/>
      <w:r>
        <w:rPr>
          <w:rFonts w:ascii="Times New Roman" w:hAnsi="Times New Roman" w:cs="Times New Roman"/>
        </w:rPr>
        <w:t>7). The 1</w:t>
      </w:r>
      <w:r w:rsidRPr="00B60077">
        <w:rPr>
          <w:rFonts w:ascii="Times New Roman" w:hAnsi="Times New Roman" w:cs="Times New Roman"/>
          <w:vertAlign w:val="superscript"/>
        </w:rPr>
        <w:t>st</w:t>
      </w:r>
      <w:r>
        <w:rPr>
          <w:rFonts w:ascii="Times New Roman" w:hAnsi="Times New Roman" w:cs="Times New Roman"/>
        </w:rPr>
        <w:t xml:space="preserve"> Department affirmed, holding that NJ was the home state and “is also the more convenient forum to decide child custody, considering the relevant factors,” </w:t>
      </w:r>
      <w:r>
        <w:rPr>
          <w:rFonts w:ascii="Times New Roman" w:hAnsi="Times New Roman" w:cs="Times New Roman"/>
        </w:rPr>
        <w:lastRenderedPageBreak/>
        <w:t>citing DRL 76-f, and noting that “[t]he children’s schools, residence, caregivers, and professionals are nearly all located in New Jersey and substantial evidence is no longer available in New York State concerning the children’s care, protection and personal relationships (citation omitted).”</w:t>
      </w:r>
    </w:p>
    <w:p w14:paraId="7983A4E2" w14:textId="77777777" w:rsidR="00AD555F" w:rsidRDefault="00AD555F" w:rsidP="00723FFD">
      <w:pPr>
        <w:pStyle w:val="Heading1"/>
        <w:numPr>
          <w:ilvl w:val="0"/>
          <w:numId w:val="0"/>
        </w:numPr>
        <w:spacing w:line="240" w:lineRule="auto"/>
        <w:contextualSpacing/>
        <w:jc w:val="both"/>
        <w:rPr>
          <w:rFonts w:ascii="Times New Roman" w:hAnsi="Times New Roman" w:cs="Times New Roman"/>
        </w:rPr>
      </w:pPr>
    </w:p>
    <w:p w14:paraId="15052C66" w14:textId="77777777" w:rsidR="00AD555F" w:rsidRPr="00AD555F" w:rsidRDefault="00AD555F" w:rsidP="00AD555F">
      <w:pPr>
        <w:pStyle w:val="Heading2"/>
        <w:numPr>
          <w:ilvl w:val="0"/>
          <w:numId w:val="0"/>
        </w:numPr>
        <w:jc w:val="both"/>
        <w:rPr>
          <w:rFonts w:ascii="Times New Roman" w:hAnsi="Times New Roman" w:cs="Times New Roman"/>
          <w:b/>
          <w:bCs/>
        </w:rPr>
      </w:pPr>
      <w:r w:rsidRPr="00AD555F">
        <w:rPr>
          <w:rFonts w:ascii="Times New Roman" w:hAnsi="Times New Roman" w:cs="Times New Roman"/>
          <w:b/>
          <w:bCs/>
        </w:rPr>
        <w:t>Custody - Transportation Sharing and AFC Role</w:t>
      </w:r>
    </w:p>
    <w:p w14:paraId="6637D86C" w14:textId="56BC2062" w:rsidR="00AD555F" w:rsidRDefault="00AD555F" w:rsidP="00AD555F">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AD555F">
        <w:rPr>
          <w:rFonts w:ascii="Times New Roman" w:hAnsi="Times New Roman" w:cs="Times New Roman"/>
          <w:b/>
          <w:bCs/>
          <w:i/>
          <w:iCs/>
        </w:rPr>
        <w:t xml:space="preserve">Matter of Jeremy S. v. </w:t>
      </w:r>
      <w:proofErr w:type="spellStart"/>
      <w:r w:rsidRPr="00AD555F">
        <w:rPr>
          <w:rFonts w:ascii="Times New Roman" w:hAnsi="Times New Roman" w:cs="Times New Roman"/>
          <w:b/>
          <w:bCs/>
          <w:i/>
          <w:iCs/>
        </w:rPr>
        <w:t>Fransely</w:t>
      </w:r>
      <w:proofErr w:type="spellEnd"/>
      <w:r w:rsidRPr="00AD555F">
        <w:rPr>
          <w:rFonts w:ascii="Times New Roman" w:hAnsi="Times New Roman" w:cs="Times New Roman"/>
          <w:b/>
          <w:bCs/>
          <w:i/>
          <w:iCs/>
        </w:rPr>
        <w:t xml:space="preserve"> P.</w:t>
      </w:r>
      <w:r>
        <w:rPr>
          <w:rFonts w:ascii="Times New Roman" w:hAnsi="Times New Roman" w:cs="Times New Roman"/>
        </w:rPr>
        <w:t>, 2026 Westlaw 173988 (1</w:t>
      </w:r>
      <w:r w:rsidRPr="006D38C5">
        <w:rPr>
          <w:rFonts w:ascii="Times New Roman" w:hAnsi="Times New Roman" w:cs="Times New Roman"/>
          <w:vertAlign w:val="superscript"/>
        </w:rPr>
        <w:t>st</w:t>
      </w:r>
      <w:r>
        <w:rPr>
          <w:rFonts w:ascii="Times New Roman" w:hAnsi="Times New Roman" w:cs="Times New Roman"/>
        </w:rPr>
        <w:t xml:space="preserve"> Dept. Jan. 22, 2026), the mother appealed from a December 2024 Family Court Order which, after a hearing, directed her “to produce the subject children for visitation at the Manhattan side of the Staten Island Ferry Terminal on alternating Fridays.” The First Department affirmed as being in the children’s best interests, holding that Family Court “properly took into consideration the totality of the circumstances, including the children’s wishes as expressed through the *** (AFC), as well as the burden and costs involved for both parties.” While noting that the mother’s claim that “the AFC should have remained ‘mute’ during the proceedings is unpreserved,” the “argument is unavailing because the AFC is authorized to advocate on the children’s behalf for a manner of transportation and visitation that benefits them (citation omitted).”</w:t>
      </w:r>
    </w:p>
    <w:p w14:paraId="1DEE41BE" w14:textId="77777777" w:rsidR="00AD555F" w:rsidRDefault="00AD555F" w:rsidP="00AD555F">
      <w:pPr>
        <w:pStyle w:val="Heading1"/>
        <w:numPr>
          <w:ilvl w:val="0"/>
          <w:numId w:val="0"/>
        </w:numPr>
        <w:spacing w:line="240" w:lineRule="auto"/>
        <w:contextualSpacing/>
        <w:jc w:val="both"/>
        <w:rPr>
          <w:rFonts w:ascii="Times New Roman" w:hAnsi="Times New Roman" w:cs="Times New Roman"/>
        </w:rPr>
      </w:pPr>
    </w:p>
    <w:p w14:paraId="7BBEE568" w14:textId="17B87820" w:rsidR="00AD555F" w:rsidRDefault="00AD555F" w:rsidP="00B0755C">
      <w:pPr>
        <w:pStyle w:val="Heading2"/>
        <w:numPr>
          <w:ilvl w:val="0"/>
          <w:numId w:val="0"/>
        </w:numPr>
        <w:spacing w:line="240" w:lineRule="auto"/>
        <w:jc w:val="both"/>
        <w:rPr>
          <w:rFonts w:ascii="Times New Roman" w:hAnsi="Times New Roman" w:cs="Times New Roman"/>
          <w:b/>
          <w:bCs/>
        </w:rPr>
      </w:pPr>
      <w:r w:rsidRPr="00AD555F">
        <w:rPr>
          <w:rFonts w:ascii="Times New Roman" w:hAnsi="Times New Roman" w:cs="Times New Roman"/>
          <w:b/>
          <w:bCs/>
        </w:rPr>
        <w:t>Disclosure - Deposition Scope Expansion, Husband’s Dating Relationships, His Mother’s Finances – All Denied</w:t>
      </w:r>
      <w:r>
        <w:rPr>
          <w:rFonts w:ascii="Times New Roman" w:hAnsi="Times New Roman" w:cs="Times New Roman"/>
          <w:b/>
          <w:bCs/>
        </w:rPr>
        <w:t>; Pendente Lite – Counsel Fees – Increased</w:t>
      </w:r>
    </w:p>
    <w:p w14:paraId="5DAD22FE" w14:textId="77777777" w:rsidR="00AD555F" w:rsidRPr="00AD555F" w:rsidRDefault="00AD555F" w:rsidP="00AD555F">
      <w:pPr>
        <w:pStyle w:val="Heading2"/>
        <w:numPr>
          <w:ilvl w:val="0"/>
          <w:numId w:val="0"/>
        </w:numPr>
        <w:spacing w:line="240" w:lineRule="auto"/>
        <w:rPr>
          <w:b/>
          <w:bCs/>
        </w:rPr>
      </w:pPr>
    </w:p>
    <w:p w14:paraId="7BADB987" w14:textId="67B05E6F" w:rsidR="00AD555F" w:rsidRDefault="00AD555F" w:rsidP="00AD555F">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AD555F">
        <w:rPr>
          <w:rFonts w:ascii="Times New Roman" w:hAnsi="Times New Roman" w:cs="Times New Roman"/>
          <w:b/>
          <w:bCs/>
          <w:i/>
          <w:iCs/>
        </w:rPr>
        <w:t>Villareal Garza v. Ramirez</w:t>
      </w:r>
      <w:r>
        <w:rPr>
          <w:rFonts w:ascii="Times New Roman" w:hAnsi="Times New Roman" w:cs="Times New Roman"/>
        </w:rPr>
        <w:t>, 2026 Westlaw 17399</w:t>
      </w:r>
      <w:r w:rsidR="00EF371F">
        <w:rPr>
          <w:rFonts w:ascii="Times New Roman" w:hAnsi="Times New Roman" w:cs="Times New Roman"/>
        </w:rPr>
        <w:t>3</w:t>
      </w:r>
      <w:r>
        <w:rPr>
          <w:rFonts w:ascii="Times New Roman" w:hAnsi="Times New Roman" w:cs="Times New Roman"/>
        </w:rPr>
        <w:t xml:space="preserve"> (1</w:t>
      </w:r>
      <w:r w:rsidRPr="00D456A1">
        <w:rPr>
          <w:rFonts w:ascii="Times New Roman" w:hAnsi="Times New Roman" w:cs="Times New Roman"/>
          <w:vertAlign w:val="superscript"/>
        </w:rPr>
        <w:t>st</w:t>
      </w:r>
      <w:r>
        <w:rPr>
          <w:rFonts w:ascii="Times New Roman" w:hAnsi="Times New Roman" w:cs="Times New Roman"/>
        </w:rPr>
        <w:t xml:space="preserve"> Dept. Jan. 22, 2026), the wife appealed from a February 2025 Supreme Court order which granted her motion for additional temporary counsel fees to the extent of $25,000, and among other things, denied her motion for a CPLR 3103 protective order: directing the husband to appear for a continuation of his deposition; seeking disclosure of the names of persons with whom the husband had relationships and the nature of those relationships, during the parties’ marriage and after; and to obtain information pertaining to his mother’s finances. The First Department affirmed on the deposition and disclosure issues, holding: “the wife affirmatively sought to expand the scope of discovery to obtain information going well beyond the bounds [of] the disclosure that would be reasonable to ascertain the husband’s finances (citations omitted)”; and declining “to disturb the court’s determination that inquiry into the finances of the husband’s mother was neither necessary nor appropriate.”  The Appellate Division modified, on the law, by increasing the counsel fee award to $75,000, determining “Supreme Court properly found that the wife is the less monied spouse, as she is unemployed while the husband makes in excess of $1 million annually.” The Court concluded: “Given the parties’ relative financial </w:t>
      </w:r>
      <w:proofErr w:type="gramStart"/>
      <w:r>
        <w:rPr>
          <w:rFonts w:ascii="Times New Roman" w:hAnsi="Times New Roman" w:cs="Times New Roman"/>
        </w:rPr>
        <w:t>positions, and</w:t>
      </w:r>
      <w:proofErr w:type="gramEnd"/>
      <w:r>
        <w:rPr>
          <w:rFonts w:ascii="Times New Roman" w:hAnsi="Times New Roman" w:cs="Times New Roman"/>
        </w:rPr>
        <w:t xml:space="preserve"> given the fact that they have incurred similar amounts of counsel fees, we vacate the counsel fee award of $25,000 and award the wife $75,000 in counsel fees.”</w:t>
      </w:r>
    </w:p>
    <w:p w14:paraId="62FBC35F" w14:textId="77777777" w:rsidR="00AD555F" w:rsidRDefault="00AD555F" w:rsidP="00AD555F">
      <w:pPr>
        <w:pStyle w:val="Heading1"/>
        <w:numPr>
          <w:ilvl w:val="0"/>
          <w:numId w:val="0"/>
        </w:numPr>
        <w:spacing w:line="240" w:lineRule="auto"/>
        <w:contextualSpacing/>
        <w:jc w:val="both"/>
        <w:rPr>
          <w:rFonts w:ascii="Times New Roman" w:hAnsi="Times New Roman" w:cs="Times New Roman"/>
        </w:rPr>
      </w:pPr>
    </w:p>
    <w:p w14:paraId="111CB63A" w14:textId="23EC8B67" w:rsidR="00AD555F" w:rsidRPr="00AD555F" w:rsidRDefault="00AD555F" w:rsidP="00AD555F">
      <w:pPr>
        <w:pStyle w:val="Heading1"/>
        <w:numPr>
          <w:ilvl w:val="0"/>
          <w:numId w:val="0"/>
        </w:numPr>
        <w:spacing w:line="240" w:lineRule="auto"/>
        <w:contextualSpacing/>
        <w:jc w:val="both"/>
        <w:rPr>
          <w:rFonts w:ascii="Times New Roman" w:hAnsi="Times New Roman" w:cs="Times New Roman"/>
          <w:b/>
          <w:bCs/>
        </w:rPr>
      </w:pPr>
      <w:r w:rsidRPr="00AD555F">
        <w:rPr>
          <w:rFonts w:ascii="Times New Roman" w:hAnsi="Times New Roman" w:cs="Times New Roman"/>
          <w:b/>
          <w:bCs/>
        </w:rPr>
        <w:t>Divorce – Length of Process – Article</w:t>
      </w:r>
    </w:p>
    <w:p w14:paraId="4BCFC746" w14:textId="77777777" w:rsidR="00AD555F" w:rsidRDefault="00AD555F" w:rsidP="00AD555F">
      <w:pPr>
        <w:pStyle w:val="Heading1"/>
        <w:numPr>
          <w:ilvl w:val="0"/>
          <w:numId w:val="0"/>
        </w:numPr>
        <w:spacing w:line="240" w:lineRule="auto"/>
        <w:contextualSpacing/>
        <w:jc w:val="both"/>
        <w:rPr>
          <w:rFonts w:ascii="Times New Roman" w:hAnsi="Times New Roman" w:cs="Times New Roman"/>
        </w:rPr>
      </w:pPr>
    </w:p>
    <w:p w14:paraId="4D36D200" w14:textId="1C345706" w:rsidR="00AD555F" w:rsidRDefault="00AD555F" w:rsidP="00AD555F">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For an informative article, </w:t>
      </w:r>
      <w:r w:rsidRPr="00DA14F0">
        <w:rPr>
          <w:rFonts w:ascii="Times New Roman" w:hAnsi="Times New Roman" w:cs="Times New Roman"/>
          <w:i/>
          <w:iCs/>
        </w:rPr>
        <w:t>see</w:t>
      </w:r>
      <w:r>
        <w:rPr>
          <w:rFonts w:ascii="Times New Roman" w:hAnsi="Times New Roman" w:cs="Times New Roman"/>
        </w:rPr>
        <w:t xml:space="preserve"> Erin K. Colgan, “How Long Does the Divorce Process Usually Take in New York?” </w:t>
      </w:r>
      <w:r w:rsidRPr="00DA14F0">
        <w:rPr>
          <w:rFonts w:ascii="Times New Roman" w:hAnsi="Times New Roman" w:cs="Times New Roman"/>
          <w:i/>
          <w:iCs/>
        </w:rPr>
        <w:t>NY Law Journal</w:t>
      </w:r>
      <w:r>
        <w:rPr>
          <w:rFonts w:ascii="Times New Roman" w:hAnsi="Times New Roman" w:cs="Times New Roman"/>
        </w:rPr>
        <w:t>, Jan. 16, 2026.</w:t>
      </w:r>
    </w:p>
    <w:p w14:paraId="5BDEDEC4" w14:textId="77777777" w:rsidR="00E22585" w:rsidRDefault="00E22585" w:rsidP="00AD555F">
      <w:pPr>
        <w:pStyle w:val="Heading1"/>
        <w:numPr>
          <w:ilvl w:val="0"/>
          <w:numId w:val="0"/>
        </w:numPr>
        <w:spacing w:line="240" w:lineRule="auto"/>
        <w:contextualSpacing/>
        <w:jc w:val="both"/>
        <w:rPr>
          <w:rFonts w:ascii="Times New Roman" w:hAnsi="Times New Roman" w:cs="Times New Roman"/>
        </w:rPr>
      </w:pPr>
    </w:p>
    <w:p w14:paraId="0E723B81" w14:textId="77777777" w:rsidR="00E22585" w:rsidRDefault="00E22585" w:rsidP="00AD555F">
      <w:pPr>
        <w:pStyle w:val="Heading1"/>
        <w:numPr>
          <w:ilvl w:val="0"/>
          <w:numId w:val="0"/>
        </w:numPr>
        <w:spacing w:line="240" w:lineRule="auto"/>
        <w:contextualSpacing/>
        <w:jc w:val="both"/>
        <w:rPr>
          <w:rFonts w:ascii="Times New Roman" w:hAnsi="Times New Roman" w:cs="Times New Roman"/>
        </w:rPr>
      </w:pPr>
    </w:p>
    <w:p w14:paraId="69BEAFAE" w14:textId="77777777" w:rsidR="00E22585" w:rsidRDefault="00E22585" w:rsidP="00AD555F">
      <w:pPr>
        <w:pStyle w:val="Heading1"/>
        <w:numPr>
          <w:ilvl w:val="0"/>
          <w:numId w:val="0"/>
        </w:numPr>
        <w:spacing w:line="240" w:lineRule="auto"/>
        <w:contextualSpacing/>
        <w:jc w:val="both"/>
        <w:rPr>
          <w:rFonts w:ascii="Times New Roman" w:hAnsi="Times New Roman" w:cs="Times New Roman"/>
        </w:rPr>
      </w:pPr>
    </w:p>
    <w:p w14:paraId="5795C39B" w14:textId="77777777" w:rsidR="00AD555F" w:rsidRDefault="00AD555F" w:rsidP="00AD555F">
      <w:pPr>
        <w:pStyle w:val="Heading1"/>
        <w:numPr>
          <w:ilvl w:val="0"/>
          <w:numId w:val="0"/>
        </w:numPr>
        <w:spacing w:line="240" w:lineRule="auto"/>
        <w:contextualSpacing/>
        <w:jc w:val="both"/>
        <w:rPr>
          <w:rFonts w:ascii="Times New Roman" w:hAnsi="Times New Roman" w:cs="Times New Roman"/>
        </w:rPr>
      </w:pPr>
    </w:p>
    <w:p w14:paraId="4DF658D8" w14:textId="15BEDA16" w:rsidR="00927355" w:rsidRPr="00927355" w:rsidRDefault="00927355" w:rsidP="00927355">
      <w:pPr>
        <w:pStyle w:val="Heading2"/>
        <w:numPr>
          <w:ilvl w:val="0"/>
          <w:numId w:val="0"/>
        </w:numPr>
        <w:spacing w:line="240" w:lineRule="auto"/>
        <w:jc w:val="both"/>
        <w:rPr>
          <w:rFonts w:ascii="Times New Roman" w:hAnsi="Times New Roman" w:cs="Times New Roman"/>
          <w:b/>
          <w:bCs/>
        </w:rPr>
      </w:pPr>
      <w:r w:rsidRPr="00927355">
        <w:rPr>
          <w:rFonts w:ascii="Times New Roman" w:hAnsi="Times New Roman" w:cs="Times New Roman"/>
          <w:b/>
          <w:bCs/>
        </w:rPr>
        <w:lastRenderedPageBreak/>
        <w:t>Enforcement – Child Support – Willful – Found – Insufficient Employment Efforts, Monies from Family Member, No Financial Documents, No Inability to Pay, Residence Built on Sister’s Land to Avoid Judgment</w:t>
      </w:r>
    </w:p>
    <w:p w14:paraId="67B0B827" w14:textId="77777777" w:rsidR="00927355" w:rsidRPr="004E247C" w:rsidRDefault="00927355" w:rsidP="00927355">
      <w:pPr>
        <w:pStyle w:val="Heading2"/>
        <w:numPr>
          <w:ilvl w:val="0"/>
          <w:numId w:val="0"/>
        </w:numPr>
        <w:spacing w:line="240" w:lineRule="auto"/>
        <w:jc w:val="both"/>
      </w:pPr>
    </w:p>
    <w:p w14:paraId="3018E55A" w14:textId="29BFF6CB" w:rsidR="00AD555F" w:rsidRDefault="00927355" w:rsidP="00AD555F">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927355">
        <w:rPr>
          <w:rFonts w:ascii="Times New Roman" w:hAnsi="Times New Roman" w:cs="Times New Roman"/>
          <w:b/>
          <w:bCs/>
          <w:i/>
          <w:iCs/>
        </w:rPr>
        <w:t>Matter of Shannon JJ. v. George JJ.</w:t>
      </w:r>
      <w:r>
        <w:rPr>
          <w:rFonts w:ascii="Times New Roman" w:hAnsi="Times New Roman" w:cs="Times New Roman"/>
        </w:rPr>
        <w:t>, 2026 Westlaw 174</w:t>
      </w:r>
      <w:r w:rsidR="002E7BF2">
        <w:rPr>
          <w:rFonts w:ascii="Times New Roman" w:hAnsi="Times New Roman" w:cs="Times New Roman"/>
        </w:rPr>
        <w:t xml:space="preserve">246 </w:t>
      </w:r>
      <w:r>
        <w:rPr>
          <w:rFonts w:ascii="Times New Roman" w:hAnsi="Times New Roman" w:cs="Times New Roman"/>
        </w:rPr>
        <w:t xml:space="preserve">(3d Dept. Jan. 22, 2026), the mother appealed from an April 2024 Family Court Order, which, following her objections to a Support Magistrate Order rendered upon her December 2022 petition seeking to enforce the child support terms of a May 2021 Judgment of Divorce, sustained the Magistrate’s determination that the father did not willfully violate the Judgment. The Third Department reversed, on the law and the facts, and remitted to Family Court for further proceedings, holding that the father “failed to meet” the burden “to come forward with competent, credible evidence of his *** inability to pay.” </w:t>
      </w:r>
      <w:r w:rsidR="00B0755C">
        <w:rPr>
          <w:rFonts w:ascii="Times New Roman" w:hAnsi="Times New Roman" w:cs="Times New Roman"/>
        </w:rPr>
        <w:t>Although t</w:t>
      </w:r>
      <w:r>
        <w:rPr>
          <w:rFonts w:ascii="Times New Roman" w:hAnsi="Times New Roman" w:cs="Times New Roman"/>
        </w:rPr>
        <w:t>he father’s support obligation “was calculated based upon his earnings as a union laborer, he testified that union work was unavailable locally and that he allowed his union membership to lapse during the COVID-19 pandemic.” The Appellate Division noted: despite “evidence that the father previously worked on a union project in a neighboring county, he testified that he did not search for nonlocal union work to be available for his parenting time *** and to avoid wear and tear on his vehicle”; the father “transitioned to self-employment and performed occasional subcontracting work, receiving income from those jobs as well as thousands of dollars from his sister”; “during this same period, the father constructed a residence on his sister’s land, which arrangement he admitted was intended to shield the residence from judgment”; the father claimed “he lacked the resources to make the support payments, *** [but] presented no documentary evidence of his income, assets or financial obligations”; and the record does not “reflect even a minimal effort to comply with the support order.” The Court concluded: “the father’s conclusory assertions of financial hardship were insufficient to establish an inability to pay.”</w:t>
      </w:r>
      <w:r w:rsidR="00AD555F">
        <w:rPr>
          <w:rFonts w:ascii="Times New Roman" w:hAnsi="Times New Roman" w:cs="Times New Roman"/>
        </w:rPr>
        <w:tab/>
      </w:r>
    </w:p>
    <w:p w14:paraId="31FA8C24" w14:textId="77777777" w:rsidR="00600535" w:rsidRDefault="00600535" w:rsidP="00600535">
      <w:pPr>
        <w:pStyle w:val="Heading1"/>
        <w:numPr>
          <w:ilvl w:val="0"/>
          <w:numId w:val="0"/>
        </w:numPr>
        <w:spacing w:line="240" w:lineRule="auto"/>
        <w:contextualSpacing/>
        <w:jc w:val="both"/>
        <w:rPr>
          <w:rFonts w:ascii="Times New Roman" w:hAnsi="Times New Roman" w:cs="Times New Roman"/>
        </w:rPr>
      </w:pPr>
    </w:p>
    <w:p w14:paraId="73567373" w14:textId="4D57C1CD" w:rsidR="00600535" w:rsidRDefault="00600535" w:rsidP="00600535">
      <w:pPr>
        <w:pStyle w:val="Heading2"/>
        <w:numPr>
          <w:ilvl w:val="0"/>
          <w:numId w:val="0"/>
        </w:numPr>
        <w:tabs>
          <w:tab w:val="clear" w:pos="720"/>
        </w:tabs>
        <w:spacing w:line="240" w:lineRule="auto"/>
        <w:contextualSpacing/>
        <w:jc w:val="both"/>
        <w:rPr>
          <w:rFonts w:ascii="Times New Roman" w:hAnsi="Times New Roman" w:cs="Times New Roman"/>
          <w:b/>
          <w:bCs/>
        </w:rPr>
      </w:pPr>
      <w:r w:rsidRPr="00600535">
        <w:rPr>
          <w:rFonts w:ascii="Times New Roman" w:hAnsi="Times New Roman" w:cs="Times New Roman"/>
          <w:b/>
          <w:bCs/>
        </w:rPr>
        <w:t xml:space="preserve">Enforcement - </w:t>
      </w:r>
      <w:bookmarkStart w:id="1" w:name="_Hlk219023458"/>
      <w:r w:rsidRPr="00600535">
        <w:rPr>
          <w:rFonts w:ascii="Times New Roman" w:hAnsi="Times New Roman" w:cs="Times New Roman"/>
          <w:b/>
          <w:bCs/>
        </w:rPr>
        <w:t>Contempt – Pendente Lite Order – No Hearing – Upheld – Other Expenses Paid First</w:t>
      </w:r>
      <w:bookmarkEnd w:id="1"/>
      <w:r w:rsidR="00E912DF">
        <w:rPr>
          <w:rFonts w:ascii="Times New Roman" w:hAnsi="Times New Roman" w:cs="Times New Roman"/>
          <w:b/>
          <w:bCs/>
        </w:rPr>
        <w:t>, Insufficient Employment Efforts</w:t>
      </w:r>
    </w:p>
    <w:p w14:paraId="03245465" w14:textId="77777777" w:rsidR="00600535" w:rsidRPr="00600535" w:rsidRDefault="00600535" w:rsidP="00600535">
      <w:pPr>
        <w:pStyle w:val="Heading2"/>
        <w:numPr>
          <w:ilvl w:val="0"/>
          <w:numId w:val="0"/>
        </w:numPr>
        <w:tabs>
          <w:tab w:val="clear" w:pos="720"/>
        </w:tabs>
        <w:spacing w:line="240" w:lineRule="auto"/>
        <w:contextualSpacing/>
        <w:jc w:val="both"/>
        <w:rPr>
          <w:b/>
          <w:bCs/>
        </w:rPr>
      </w:pPr>
    </w:p>
    <w:p w14:paraId="4F946C80" w14:textId="3447CCB7" w:rsidR="00600535" w:rsidRDefault="00600535" w:rsidP="00600535">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E912DF">
        <w:rPr>
          <w:rFonts w:ascii="Times New Roman" w:hAnsi="Times New Roman" w:cs="Times New Roman"/>
          <w:b/>
          <w:bCs/>
          <w:i/>
          <w:iCs/>
        </w:rPr>
        <w:t>Chen v. Chen</w:t>
      </w:r>
      <w:r>
        <w:rPr>
          <w:rFonts w:ascii="Times New Roman" w:hAnsi="Times New Roman" w:cs="Times New Roman"/>
        </w:rPr>
        <w:t xml:space="preserve">, </w:t>
      </w:r>
      <w:r w:rsidR="008D531C">
        <w:rPr>
          <w:rFonts w:ascii="Times New Roman" w:hAnsi="Times New Roman" w:cs="Times New Roman"/>
        </w:rPr>
        <w:t xml:space="preserve">245 NYS3d 232 </w:t>
      </w:r>
      <w:r>
        <w:rPr>
          <w:rFonts w:ascii="Times New Roman" w:hAnsi="Times New Roman" w:cs="Times New Roman"/>
        </w:rPr>
        <w:t>(1</w:t>
      </w:r>
      <w:r w:rsidRPr="00A93F8B">
        <w:rPr>
          <w:rFonts w:ascii="Times New Roman" w:hAnsi="Times New Roman" w:cs="Times New Roman"/>
          <w:vertAlign w:val="superscript"/>
        </w:rPr>
        <w:t>st</w:t>
      </w:r>
      <w:r>
        <w:rPr>
          <w:rFonts w:ascii="Times New Roman" w:hAnsi="Times New Roman" w:cs="Times New Roman"/>
        </w:rPr>
        <w:t xml:space="preserve"> Dept. Jan. 6, 2026), the husband appealed from a November 2025 Supreme Court Order which, without a hearing, held him in civil contempt pursuant to Judiciary Law 753 of a June 2023 temporary order and directed him to pay a fine of $52,873.83, comprised of arrears thereunder and the wife’s counsel fees in the enforcement proceeding. The First Department affirmed, finding that the husband failed to rebut the wife’s prima facie showing “with competent and credible evidence establishing his inability to pay,” while noting: “his own financial statements *** showed that he prioritized payment of his own expenses ahead of child support obligations”; and he “failed to establish adequate efforts to obtain employment that would generate sufficient income to meet his child support obligations.”</w:t>
      </w:r>
    </w:p>
    <w:p w14:paraId="02846800" w14:textId="77777777" w:rsidR="00860AE4" w:rsidRDefault="00860AE4" w:rsidP="00600535">
      <w:pPr>
        <w:pStyle w:val="Heading1"/>
        <w:numPr>
          <w:ilvl w:val="0"/>
          <w:numId w:val="0"/>
        </w:numPr>
        <w:spacing w:line="240" w:lineRule="auto"/>
        <w:contextualSpacing/>
        <w:jc w:val="both"/>
        <w:rPr>
          <w:rFonts w:ascii="Times New Roman" w:hAnsi="Times New Roman" w:cs="Times New Roman"/>
        </w:rPr>
      </w:pPr>
    </w:p>
    <w:p w14:paraId="64FA742B" w14:textId="77777777" w:rsidR="00860AE4" w:rsidRPr="00860AE4" w:rsidRDefault="00860AE4" w:rsidP="00860AE4">
      <w:pPr>
        <w:pStyle w:val="Heading2"/>
        <w:numPr>
          <w:ilvl w:val="0"/>
          <w:numId w:val="0"/>
        </w:numPr>
        <w:jc w:val="both"/>
        <w:rPr>
          <w:b/>
          <w:bCs/>
        </w:rPr>
      </w:pPr>
      <w:r w:rsidRPr="00860AE4">
        <w:rPr>
          <w:rFonts w:ascii="Times New Roman" w:hAnsi="Times New Roman" w:cs="Times New Roman"/>
          <w:b/>
          <w:bCs/>
        </w:rPr>
        <w:t>Enforcement - Summer Camp Expenses – Prior Discussion Requirement</w:t>
      </w:r>
    </w:p>
    <w:p w14:paraId="228A9A54" w14:textId="774776BA" w:rsidR="00860AE4" w:rsidRDefault="00860AE4" w:rsidP="00860AE4">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860AE4">
        <w:rPr>
          <w:rFonts w:ascii="Times New Roman" w:hAnsi="Times New Roman" w:cs="Times New Roman"/>
          <w:b/>
          <w:bCs/>
          <w:i/>
          <w:iCs/>
        </w:rPr>
        <w:t>Neimark v. Lefferts</w:t>
      </w:r>
      <w:r>
        <w:rPr>
          <w:rFonts w:ascii="Times New Roman" w:hAnsi="Times New Roman" w:cs="Times New Roman"/>
        </w:rPr>
        <w:t xml:space="preserve">, 2026 Westlawn 216641 (2d Dept. Jan. 28, 2026), the former husband (husband) appealed from a June 2023 Supreme Court order, which granted the former wife’s (wife’s) May 2023 motion to enforce the parties’ stipulation incorporated into a May 2014 judgment of divorce, and required him to pay for the youngest child’s 2023 summer camp expenses. The incorporated stipulation  stated that the husband had to pay “all summer camp (sleep </w:t>
      </w:r>
      <w:r>
        <w:rPr>
          <w:rFonts w:ascii="Times New Roman" w:hAnsi="Times New Roman" w:cs="Times New Roman"/>
        </w:rPr>
        <w:lastRenderedPageBreak/>
        <w:t xml:space="preserve">away and/or day camp) expenses incurred on behalf of the children, as mutually discussed, agreed upon and approved by the parties” and in the event of an impasse, “the [wife] shall make the final selection provided said decision is based upon the application of the above-factors.”  The husband had also moved for various relief, including enforcement, then withdrew his motion, and the parties </w:t>
      </w:r>
      <w:proofErr w:type="gramStart"/>
      <w:r>
        <w:rPr>
          <w:rFonts w:ascii="Times New Roman" w:hAnsi="Times New Roman" w:cs="Times New Roman"/>
        </w:rPr>
        <w:t>entered into</w:t>
      </w:r>
      <w:proofErr w:type="gramEnd"/>
      <w:r>
        <w:rPr>
          <w:rFonts w:ascii="Times New Roman" w:hAnsi="Times New Roman" w:cs="Times New Roman"/>
        </w:rPr>
        <w:t xml:space="preserve"> a June 2023 stipulation, which, by its terms, resolved “the outstanding applications pending before the Court, with the exception of the 2023 Summer Camp.” The Second Department affirmed, rejecting the husband’s contention that Supreme Court should not have decided the summer camp issue, noting that the wife did not withdraw that portion of her motion, and noting the stipulation’s above-cited terms. The Appellate Division held that the husband “was not relieved from his contractual obligation to pay for the summer camp expenses *** on the ground that the [wife] did not adequately discuss the matter with him, where the parties’ submissions demonstrated that the [wife] had made attempts to do so and that the [husband] failed to respond to those attempts but nevertheless discussed the matter with the [wife’s] attorney.”</w:t>
      </w:r>
    </w:p>
    <w:p w14:paraId="411786E0" w14:textId="77777777" w:rsidR="00860AE4" w:rsidRDefault="00860AE4" w:rsidP="00600535">
      <w:pPr>
        <w:pStyle w:val="Heading1"/>
        <w:numPr>
          <w:ilvl w:val="0"/>
          <w:numId w:val="0"/>
        </w:numPr>
        <w:spacing w:line="240" w:lineRule="auto"/>
        <w:contextualSpacing/>
        <w:jc w:val="both"/>
        <w:rPr>
          <w:rFonts w:ascii="Times New Roman" w:hAnsi="Times New Roman" w:cs="Times New Roman"/>
        </w:rPr>
      </w:pPr>
    </w:p>
    <w:p w14:paraId="5187ECAB" w14:textId="235BE7CC" w:rsidR="00860AE4" w:rsidRDefault="00860AE4" w:rsidP="00600535">
      <w:pPr>
        <w:pStyle w:val="Heading1"/>
        <w:numPr>
          <w:ilvl w:val="0"/>
          <w:numId w:val="0"/>
        </w:numPr>
        <w:spacing w:line="240" w:lineRule="auto"/>
        <w:contextualSpacing/>
        <w:jc w:val="both"/>
        <w:rPr>
          <w:rFonts w:ascii="Times New Roman" w:hAnsi="Times New Roman" w:cs="Times New Roman"/>
          <w:b/>
          <w:bCs/>
        </w:rPr>
      </w:pPr>
      <w:r w:rsidRPr="00860AE4">
        <w:rPr>
          <w:rFonts w:ascii="Times New Roman" w:hAnsi="Times New Roman" w:cs="Times New Roman"/>
          <w:b/>
          <w:bCs/>
        </w:rPr>
        <w:t xml:space="preserve">Equitable Distribution – Domestic Violence </w:t>
      </w:r>
      <w:r>
        <w:rPr>
          <w:rFonts w:ascii="Times New Roman" w:hAnsi="Times New Roman" w:cs="Times New Roman"/>
          <w:b/>
          <w:bCs/>
        </w:rPr>
        <w:t>–</w:t>
      </w:r>
      <w:r w:rsidRPr="00860AE4">
        <w:rPr>
          <w:rFonts w:ascii="Times New Roman" w:hAnsi="Times New Roman" w:cs="Times New Roman"/>
          <w:b/>
          <w:bCs/>
        </w:rPr>
        <w:t xml:space="preserve"> Article</w:t>
      </w:r>
    </w:p>
    <w:p w14:paraId="27B5C809" w14:textId="77777777" w:rsidR="00860AE4" w:rsidRDefault="00860AE4" w:rsidP="00600535">
      <w:pPr>
        <w:pStyle w:val="Heading1"/>
        <w:numPr>
          <w:ilvl w:val="0"/>
          <w:numId w:val="0"/>
        </w:numPr>
        <w:spacing w:line="240" w:lineRule="auto"/>
        <w:contextualSpacing/>
        <w:jc w:val="both"/>
        <w:rPr>
          <w:rFonts w:ascii="Times New Roman" w:hAnsi="Times New Roman" w:cs="Times New Roman"/>
          <w:b/>
          <w:bCs/>
        </w:rPr>
      </w:pPr>
    </w:p>
    <w:p w14:paraId="5E0BA24C" w14:textId="60075D29" w:rsidR="00860AE4" w:rsidRPr="00860AE4" w:rsidRDefault="00860AE4" w:rsidP="00600535">
      <w:pPr>
        <w:pStyle w:val="Heading1"/>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rPr>
        <w:t xml:space="preserve">For an informative article, </w:t>
      </w:r>
      <w:r w:rsidRPr="00735EEC">
        <w:rPr>
          <w:rFonts w:ascii="Times New Roman" w:hAnsi="Times New Roman" w:cs="Times New Roman"/>
          <w:i/>
          <w:iCs/>
        </w:rPr>
        <w:t>see</w:t>
      </w:r>
      <w:r>
        <w:rPr>
          <w:rFonts w:ascii="Times New Roman" w:hAnsi="Times New Roman" w:cs="Times New Roman"/>
        </w:rPr>
        <w:t xml:space="preserve"> Kara M. Bellew, “How ‘Factor 14’ Made Domestic Violence Matter in Divorce Property Division,” </w:t>
      </w:r>
      <w:r w:rsidRPr="00735EEC">
        <w:rPr>
          <w:rFonts w:ascii="Times New Roman" w:hAnsi="Times New Roman" w:cs="Times New Roman"/>
          <w:i/>
          <w:iCs/>
        </w:rPr>
        <w:t>NY Law Journal</w:t>
      </w:r>
      <w:r>
        <w:rPr>
          <w:rFonts w:ascii="Times New Roman" w:hAnsi="Times New Roman" w:cs="Times New Roman"/>
        </w:rPr>
        <w:t>, Jan. 30, 2026.</w:t>
      </w:r>
    </w:p>
    <w:p w14:paraId="1BC32B5F" w14:textId="77777777" w:rsidR="00E912DF" w:rsidRDefault="00E912DF" w:rsidP="00600535">
      <w:pPr>
        <w:pStyle w:val="Heading1"/>
        <w:numPr>
          <w:ilvl w:val="0"/>
          <w:numId w:val="0"/>
        </w:numPr>
        <w:spacing w:line="240" w:lineRule="auto"/>
        <w:contextualSpacing/>
        <w:jc w:val="both"/>
        <w:rPr>
          <w:rFonts w:ascii="Times New Roman" w:hAnsi="Times New Roman" w:cs="Times New Roman"/>
        </w:rPr>
      </w:pPr>
    </w:p>
    <w:p w14:paraId="6FDDDEA0" w14:textId="36E9AB9E" w:rsidR="00E912DF" w:rsidRDefault="00E912DF" w:rsidP="00600535">
      <w:pPr>
        <w:pStyle w:val="Heading1"/>
        <w:numPr>
          <w:ilvl w:val="0"/>
          <w:numId w:val="0"/>
        </w:numPr>
        <w:spacing w:line="240" w:lineRule="auto"/>
        <w:contextualSpacing/>
        <w:jc w:val="both"/>
        <w:rPr>
          <w:rFonts w:ascii="Times New Roman" w:hAnsi="Times New Roman" w:cs="Times New Roman"/>
          <w:b/>
          <w:bCs/>
        </w:rPr>
      </w:pPr>
      <w:r w:rsidRPr="00E912DF">
        <w:rPr>
          <w:rFonts w:ascii="Times New Roman" w:hAnsi="Times New Roman" w:cs="Times New Roman"/>
          <w:b/>
          <w:bCs/>
        </w:rPr>
        <w:t xml:space="preserve">Evidence – Party Admissions, Text and Voice Messages; Family Offense – Intimate Relationship, Menacing 2d </w:t>
      </w:r>
      <w:r>
        <w:rPr>
          <w:rFonts w:ascii="Times New Roman" w:hAnsi="Times New Roman" w:cs="Times New Roman"/>
          <w:b/>
          <w:bCs/>
        </w:rPr>
        <w:t>–</w:t>
      </w:r>
      <w:r w:rsidRPr="00E912DF">
        <w:rPr>
          <w:rFonts w:ascii="Times New Roman" w:hAnsi="Times New Roman" w:cs="Times New Roman"/>
          <w:b/>
          <w:bCs/>
        </w:rPr>
        <w:t xml:space="preserve"> Found</w:t>
      </w:r>
    </w:p>
    <w:p w14:paraId="452CD7F7" w14:textId="77777777" w:rsidR="00E912DF" w:rsidRDefault="00E912DF" w:rsidP="00600535">
      <w:pPr>
        <w:pStyle w:val="Heading1"/>
        <w:numPr>
          <w:ilvl w:val="0"/>
          <w:numId w:val="0"/>
        </w:numPr>
        <w:spacing w:line="240" w:lineRule="auto"/>
        <w:contextualSpacing/>
        <w:jc w:val="both"/>
        <w:rPr>
          <w:rFonts w:ascii="Times New Roman" w:hAnsi="Times New Roman" w:cs="Times New Roman"/>
          <w:b/>
          <w:bCs/>
        </w:rPr>
      </w:pPr>
    </w:p>
    <w:p w14:paraId="73837FD5" w14:textId="77777777" w:rsidR="00E912DF" w:rsidRDefault="00E912DF" w:rsidP="00600535">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r>
      <w:r w:rsidRPr="00E912DF">
        <w:rPr>
          <w:rFonts w:ascii="Times New Roman" w:hAnsi="Times New Roman" w:cs="Times New Roman"/>
          <w:b/>
          <w:bCs/>
          <w:i/>
          <w:iCs/>
        </w:rPr>
        <w:t>In Matter of Darlene B. v. Elsie R.</w:t>
      </w:r>
      <w:r>
        <w:rPr>
          <w:rFonts w:ascii="Times New Roman" w:hAnsi="Times New Roman" w:cs="Times New Roman"/>
        </w:rPr>
        <w:t>, 2026 Westlaw 31279 (1</w:t>
      </w:r>
      <w:r w:rsidRPr="0003747C">
        <w:rPr>
          <w:rFonts w:ascii="Times New Roman" w:hAnsi="Times New Roman" w:cs="Times New Roman"/>
          <w:vertAlign w:val="superscript"/>
        </w:rPr>
        <w:t>st</w:t>
      </w:r>
      <w:r>
        <w:rPr>
          <w:rFonts w:ascii="Times New Roman" w:hAnsi="Times New Roman" w:cs="Times New Roman"/>
        </w:rPr>
        <w:t xml:space="preserve"> Dept. Jan. 6, 2025), respondent appealed from a November 2024 Family Court order which, after </w:t>
      </w:r>
      <w:proofErr w:type="gramStart"/>
      <w:r>
        <w:rPr>
          <w:rFonts w:ascii="Times New Roman" w:hAnsi="Times New Roman" w:cs="Times New Roman"/>
        </w:rPr>
        <w:t>a hearing</w:t>
      </w:r>
      <w:proofErr w:type="gramEnd"/>
      <w:r>
        <w:rPr>
          <w:rFonts w:ascii="Times New Roman" w:hAnsi="Times New Roman" w:cs="Times New Roman"/>
        </w:rPr>
        <w:t xml:space="preserve"> upon petitioner’s 2023 family offense petition, found that she committed menacing 2d and issued an order of protection. The First Department affirmed, holding that: Family Court correctly determined that the parties were involved in an “intimate relationship” within the meaning of FCA 812(1)(e), in that “they began dating in May 2002, were living together by December 2004, and ended their relationship in 2010”; respondent “began contacting petitioner in 2021 because she believed petitioner owed her $500 for credit card transactions *** incurred *** near the end of the relationship”; the fact “the parties were not involved romantically for a number of years before the petition was filed is of no moment under the statute”; and menacing 2d (PL 120.14[2]) was established by testimony showing “respondent threatened to kill petitioner on a least two occasions, thereby placing petitioner in reasonable fear of physical injury,” and that “respondent appeared at petitioner’s place of employment after threatening her, and *** she understood that petitioner would find her presence alarming.” The Appellate Division determined “Family Court properly admitted into evidence an April 2021 text message and a July 2021 voice mail in which respondent threatened petitioner, as respondent’s statements in those messages are admissible as party admissions.”</w:t>
      </w:r>
    </w:p>
    <w:p w14:paraId="725C7A31" w14:textId="77777777" w:rsidR="00927355" w:rsidRDefault="00927355" w:rsidP="00600535">
      <w:pPr>
        <w:pStyle w:val="Heading1"/>
        <w:numPr>
          <w:ilvl w:val="0"/>
          <w:numId w:val="0"/>
        </w:numPr>
        <w:spacing w:line="240" w:lineRule="auto"/>
        <w:contextualSpacing/>
        <w:jc w:val="both"/>
        <w:rPr>
          <w:rFonts w:ascii="Times New Roman" w:hAnsi="Times New Roman" w:cs="Times New Roman"/>
        </w:rPr>
      </w:pPr>
    </w:p>
    <w:p w14:paraId="284CE91D" w14:textId="77777777" w:rsidR="00927355" w:rsidRPr="00927355" w:rsidRDefault="00927355" w:rsidP="00927355">
      <w:pPr>
        <w:pStyle w:val="Heading2"/>
        <w:numPr>
          <w:ilvl w:val="0"/>
          <w:numId w:val="0"/>
        </w:numPr>
        <w:jc w:val="both"/>
        <w:rPr>
          <w:b/>
          <w:bCs/>
        </w:rPr>
      </w:pPr>
      <w:r w:rsidRPr="00927355">
        <w:rPr>
          <w:rFonts w:ascii="Times New Roman" w:hAnsi="Times New Roman" w:cs="Times New Roman"/>
          <w:b/>
          <w:bCs/>
        </w:rPr>
        <w:t>Family Offense - Harassment 2d – Against Child – Found</w:t>
      </w:r>
    </w:p>
    <w:p w14:paraId="096EA54F" w14:textId="639D9378" w:rsidR="00927355" w:rsidRDefault="00927355" w:rsidP="00927355">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927355">
        <w:rPr>
          <w:rFonts w:ascii="Times New Roman" w:hAnsi="Times New Roman" w:cs="Times New Roman"/>
          <w:b/>
          <w:bCs/>
          <w:i/>
          <w:iCs/>
        </w:rPr>
        <w:t>Matter of M.M. v. R.G.</w:t>
      </w:r>
      <w:r>
        <w:rPr>
          <w:rFonts w:ascii="Times New Roman" w:hAnsi="Times New Roman" w:cs="Times New Roman"/>
        </w:rPr>
        <w:t xml:space="preserve">, </w:t>
      </w:r>
      <w:r w:rsidR="000A1F2F">
        <w:rPr>
          <w:rFonts w:ascii="Times New Roman" w:hAnsi="Times New Roman" w:cs="Times New Roman"/>
        </w:rPr>
        <w:t xml:space="preserve">246 NYS3d 88 </w:t>
      </w:r>
      <w:r>
        <w:rPr>
          <w:rFonts w:ascii="Times New Roman" w:hAnsi="Times New Roman" w:cs="Times New Roman"/>
        </w:rPr>
        <w:t>(1</w:t>
      </w:r>
      <w:r w:rsidRPr="00C0181E">
        <w:rPr>
          <w:rFonts w:ascii="Times New Roman" w:hAnsi="Times New Roman" w:cs="Times New Roman"/>
          <w:vertAlign w:val="superscript"/>
        </w:rPr>
        <w:t>st</w:t>
      </w:r>
      <w:r>
        <w:rPr>
          <w:rFonts w:ascii="Times New Roman" w:hAnsi="Times New Roman" w:cs="Times New Roman"/>
        </w:rPr>
        <w:t xml:space="preserve"> Dept. Jan. 15, 2026), the husband (father) appealed from an April 2024 Family Court order which, after a hearing, found that he committed harassment 2d against the parties’ 6-year-old child and issued a 9-month order of protection in favor of the child. The First Department affirmed, holding that the wife established harassment 2d </w:t>
      </w:r>
      <w:r>
        <w:rPr>
          <w:rFonts w:ascii="Times New Roman" w:hAnsi="Times New Roman" w:cs="Times New Roman"/>
        </w:rPr>
        <w:lastRenderedPageBreak/>
        <w:t>through her testimony that the husband made “threats of physical violence against their six-year-old child while having the requisite intent to harass, annoy, or alarm,” and “[w]hen the child began to cry ***, the father repeated the same threat several more times.”</w:t>
      </w:r>
    </w:p>
    <w:p w14:paraId="31836B61" w14:textId="77777777" w:rsidR="00927355" w:rsidRDefault="00927355" w:rsidP="00927355">
      <w:pPr>
        <w:pStyle w:val="Heading1"/>
        <w:numPr>
          <w:ilvl w:val="0"/>
          <w:numId w:val="0"/>
        </w:numPr>
        <w:spacing w:line="240" w:lineRule="auto"/>
        <w:contextualSpacing/>
        <w:jc w:val="both"/>
        <w:rPr>
          <w:rFonts w:ascii="Times New Roman" w:hAnsi="Times New Roman" w:cs="Times New Roman"/>
        </w:rPr>
      </w:pPr>
    </w:p>
    <w:p w14:paraId="4B784AD2" w14:textId="77777777" w:rsidR="00927355" w:rsidRPr="00927355" w:rsidRDefault="00927355" w:rsidP="00927355">
      <w:pPr>
        <w:pStyle w:val="Heading2"/>
        <w:numPr>
          <w:ilvl w:val="0"/>
          <w:numId w:val="0"/>
        </w:numPr>
        <w:jc w:val="both"/>
        <w:rPr>
          <w:rFonts w:ascii="Times New Roman" w:hAnsi="Times New Roman" w:cs="Times New Roman"/>
          <w:b/>
          <w:bCs/>
        </w:rPr>
      </w:pPr>
      <w:r w:rsidRPr="00927355">
        <w:rPr>
          <w:rFonts w:ascii="Times New Roman" w:hAnsi="Times New Roman" w:cs="Times New Roman"/>
          <w:b/>
          <w:bCs/>
        </w:rPr>
        <w:t>Family Offense - Harassment 2d – Not Found</w:t>
      </w:r>
    </w:p>
    <w:p w14:paraId="40C300DA" w14:textId="60DB3D0B" w:rsidR="00927355" w:rsidRDefault="00927355" w:rsidP="00927355">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927355">
        <w:rPr>
          <w:rFonts w:ascii="Times New Roman" w:hAnsi="Times New Roman" w:cs="Times New Roman"/>
          <w:b/>
          <w:bCs/>
          <w:i/>
          <w:iCs/>
        </w:rPr>
        <w:t>Matter of Alison EE. v. Stephen FF.</w:t>
      </w:r>
      <w:r>
        <w:rPr>
          <w:rFonts w:ascii="Times New Roman" w:hAnsi="Times New Roman" w:cs="Times New Roman"/>
        </w:rPr>
        <w:t xml:space="preserve">, 2026 Westlaw 110601 (3d Dept. Jan. 15, 2026), the mother appealed from a February 2025 Family Court order which, after a hearing, dismissed her petition alleging the father committed harassment 2d in January 2025 at the outset of a scheduled supervised visit with the parties’ children born in 2010, 2017 and 2019. The Third Department affirmed, noting that the hearing evidence established when the parties “arrived at the agreed-upon meeting place ***, the mother brought only the youngest child *** [and] “the father became angry, called the mother several curse words, and threw a piece of cheese at her vehicle.” The encounter was 5 </w:t>
      </w:r>
      <w:proofErr w:type="gramStart"/>
      <w:r>
        <w:rPr>
          <w:rFonts w:ascii="Times New Roman" w:hAnsi="Times New Roman" w:cs="Times New Roman"/>
        </w:rPr>
        <w:t>minutes</w:t>
      </w:r>
      <w:proofErr w:type="gramEnd"/>
      <w:r>
        <w:rPr>
          <w:rFonts w:ascii="Times New Roman" w:hAnsi="Times New Roman" w:cs="Times New Roman"/>
        </w:rPr>
        <w:t xml:space="preserve"> and the parties went their separate ways. The Appellate Division agreed that the mother “failed to meet her burden of establishing a course of conduct or repeated acts necessary to commit harassment in the second degree (citations omitted).”</w:t>
      </w:r>
    </w:p>
    <w:p w14:paraId="5560D687" w14:textId="77777777" w:rsidR="00A343AE" w:rsidRDefault="00A343AE" w:rsidP="00927355">
      <w:pPr>
        <w:pStyle w:val="Heading1"/>
        <w:numPr>
          <w:ilvl w:val="0"/>
          <w:numId w:val="0"/>
        </w:numPr>
        <w:spacing w:line="240" w:lineRule="auto"/>
        <w:contextualSpacing/>
        <w:jc w:val="both"/>
        <w:rPr>
          <w:rFonts w:ascii="Times New Roman" w:hAnsi="Times New Roman" w:cs="Times New Roman"/>
        </w:rPr>
      </w:pPr>
    </w:p>
    <w:p w14:paraId="5B9E3D30" w14:textId="7ACFDA1F" w:rsidR="00A343AE" w:rsidRDefault="00A343AE" w:rsidP="00A343AE">
      <w:pPr>
        <w:pStyle w:val="Heading2"/>
        <w:numPr>
          <w:ilvl w:val="0"/>
          <w:numId w:val="0"/>
        </w:numPr>
        <w:spacing w:line="240" w:lineRule="auto"/>
        <w:jc w:val="both"/>
        <w:rPr>
          <w:rFonts w:ascii="Times New Roman" w:hAnsi="Times New Roman" w:cs="Times New Roman"/>
          <w:b/>
          <w:bCs/>
        </w:rPr>
      </w:pPr>
      <w:r w:rsidRPr="00A343AE">
        <w:rPr>
          <w:rFonts w:ascii="Times New Roman" w:hAnsi="Times New Roman" w:cs="Times New Roman"/>
          <w:b/>
          <w:bCs/>
        </w:rPr>
        <w:t>Pendente Lite - Carrying Costs, Child Support, Counsel Fees, Maintenance – Upheld</w:t>
      </w:r>
      <w:r>
        <w:rPr>
          <w:rFonts w:ascii="Times New Roman" w:hAnsi="Times New Roman" w:cs="Times New Roman"/>
          <w:b/>
          <w:bCs/>
        </w:rPr>
        <w:t>; Double Shelter Allowance – Not Found</w:t>
      </w:r>
    </w:p>
    <w:p w14:paraId="0E17084A" w14:textId="77777777" w:rsidR="00A343AE" w:rsidRPr="00A343AE" w:rsidRDefault="00A343AE" w:rsidP="00A343AE">
      <w:pPr>
        <w:pStyle w:val="Heading2"/>
        <w:numPr>
          <w:ilvl w:val="0"/>
          <w:numId w:val="0"/>
        </w:numPr>
        <w:spacing w:line="240" w:lineRule="auto"/>
        <w:rPr>
          <w:b/>
          <w:bCs/>
        </w:rPr>
      </w:pPr>
    </w:p>
    <w:p w14:paraId="0F312549" w14:textId="2EF1EB87" w:rsidR="00A343AE" w:rsidRDefault="00A343AE" w:rsidP="00A343AE">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proofErr w:type="spellStart"/>
      <w:r w:rsidRPr="00A343AE">
        <w:rPr>
          <w:rFonts w:ascii="Times New Roman" w:hAnsi="Times New Roman" w:cs="Times New Roman"/>
          <w:b/>
          <w:bCs/>
          <w:i/>
          <w:iCs/>
        </w:rPr>
        <w:t>Lackwood</w:t>
      </w:r>
      <w:proofErr w:type="spellEnd"/>
      <w:r w:rsidRPr="00A343AE">
        <w:rPr>
          <w:rFonts w:ascii="Times New Roman" w:hAnsi="Times New Roman" w:cs="Times New Roman"/>
          <w:b/>
          <w:bCs/>
          <w:i/>
          <w:iCs/>
        </w:rPr>
        <w:t xml:space="preserve"> v. </w:t>
      </w:r>
      <w:proofErr w:type="spellStart"/>
      <w:r w:rsidRPr="00A343AE">
        <w:rPr>
          <w:rFonts w:ascii="Times New Roman" w:hAnsi="Times New Roman" w:cs="Times New Roman"/>
          <w:b/>
          <w:bCs/>
          <w:i/>
          <w:iCs/>
        </w:rPr>
        <w:t>Lackwood</w:t>
      </w:r>
      <w:proofErr w:type="spellEnd"/>
      <w:r>
        <w:rPr>
          <w:rFonts w:ascii="Times New Roman" w:hAnsi="Times New Roman" w:cs="Times New Roman"/>
        </w:rPr>
        <w:t>, 2026 Westlaw 199548 (1</w:t>
      </w:r>
      <w:r w:rsidRPr="00D8477F">
        <w:rPr>
          <w:rFonts w:ascii="Times New Roman" w:hAnsi="Times New Roman" w:cs="Times New Roman"/>
          <w:vertAlign w:val="superscript"/>
        </w:rPr>
        <w:t>st</w:t>
      </w:r>
      <w:r>
        <w:rPr>
          <w:rFonts w:ascii="Times New Roman" w:hAnsi="Times New Roman" w:cs="Times New Roman"/>
        </w:rPr>
        <w:t xml:space="preserve"> Dept. Jan. 27, 2026), the husband appealed from a December 2024 Supreme Court order which directed him to pay</w:t>
      </w:r>
      <w:r w:rsidRPr="00950609">
        <w:rPr>
          <w:rFonts w:ascii="Times New Roman" w:hAnsi="Times New Roman" w:cs="Times New Roman"/>
        </w:rPr>
        <w:t>: 100% of the carrying costs of both the marital residence and the parties’ downstairs investment apartment; $1,000 per month in pendente lite maintenance; $1,643.54 monthly in temporary child support; and $75,000 for temporary counsel fees, subject to reallocation after trial. The First Department affirmed, holding that Supreme Court correctly found “</w:t>
      </w:r>
      <w:r w:rsidRPr="00D8477F">
        <w:rPr>
          <w:rFonts w:ascii="Times New Roman" w:hAnsi="Times New Roman" w:cs="Times New Roman"/>
        </w:rPr>
        <w:t>the wife was the less monied spouse</w:t>
      </w:r>
      <w:r w:rsidRPr="00950609">
        <w:rPr>
          <w:rFonts w:ascii="Times New Roman" w:hAnsi="Times New Roman" w:cs="Times New Roman"/>
        </w:rPr>
        <w:t>” and “</w:t>
      </w:r>
      <w:r w:rsidRPr="00D8477F">
        <w:rPr>
          <w:rFonts w:ascii="Times New Roman" w:hAnsi="Times New Roman" w:cs="Times New Roman"/>
        </w:rPr>
        <w:t>concluded, based on the husband's admission that his income in 2023 was $321,037, the precise number that he disclosed in his statement of net worth, that this was his actual income.</w:t>
      </w:r>
      <w:r w:rsidRPr="00950609">
        <w:rPr>
          <w:rFonts w:ascii="Times New Roman" w:hAnsi="Times New Roman" w:cs="Times New Roman"/>
        </w:rPr>
        <w:t>” The First Department noted that Supreme Court “</w:t>
      </w:r>
      <w:r w:rsidRPr="00D8477F">
        <w:rPr>
          <w:rFonts w:ascii="Times New Roman" w:hAnsi="Times New Roman" w:cs="Times New Roman"/>
        </w:rPr>
        <w:t>properly concluded that the parties</w:t>
      </w:r>
      <w:r w:rsidRPr="00950609">
        <w:rPr>
          <w:rFonts w:ascii="Times New Roman" w:hAnsi="Times New Roman" w:cs="Times New Roman"/>
        </w:rPr>
        <w:t>’</w:t>
      </w:r>
      <w:r w:rsidRPr="00D8477F">
        <w:rPr>
          <w:rFonts w:ascii="Times New Roman" w:hAnsi="Times New Roman" w:cs="Times New Roman"/>
        </w:rPr>
        <w:t xml:space="preserve"> reported incomes as of their last tax return, compared to their standard of living, were unreliable, warranting imputation of income to both parties in calculating child and spousal support</w:t>
      </w:r>
      <w:r w:rsidRPr="00950609">
        <w:rPr>
          <w:rFonts w:ascii="Times New Roman" w:hAnsi="Times New Roman" w:cs="Times New Roman"/>
        </w:rPr>
        <w:t xml:space="preserve"> (citation omitted).” As to the husband’s claim “that </w:t>
      </w:r>
      <w:r w:rsidRPr="00D8477F">
        <w:rPr>
          <w:rFonts w:ascii="Times New Roman" w:hAnsi="Times New Roman" w:cs="Times New Roman"/>
        </w:rPr>
        <w:t>the pendente lite awards were inequitable, his best remedy is a speedy trial</w:t>
      </w:r>
      <w:r w:rsidRPr="00950609">
        <w:rPr>
          <w:rFonts w:ascii="Times New Roman" w:hAnsi="Times New Roman" w:cs="Times New Roman"/>
        </w:rPr>
        <w:t>.” The Court acknowledged that a temporary award “</w:t>
      </w:r>
      <w:r w:rsidRPr="00D8477F">
        <w:rPr>
          <w:rFonts w:ascii="Times New Roman" w:hAnsi="Times New Roman" w:cs="Times New Roman"/>
        </w:rPr>
        <w:t xml:space="preserve">may be modified where a court awards an impermissible </w:t>
      </w:r>
      <w:r w:rsidRPr="00950609">
        <w:rPr>
          <w:rFonts w:ascii="Times New Roman" w:hAnsi="Times New Roman" w:cs="Times New Roman"/>
        </w:rPr>
        <w:t>‘</w:t>
      </w:r>
      <w:r w:rsidRPr="00D8477F">
        <w:rPr>
          <w:rFonts w:ascii="Times New Roman" w:hAnsi="Times New Roman" w:cs="Times New Roman"/>
        </w:rPr>
        <w:t>double shelter</w:t>
      </w:r>
      <w:r w:rsidRPr="00950609">
        <w:rPr>
          <w:rFonts w:ascii="Times New Roman" w:hAnsi="Times New Roman" w:cs="Times New Roman"/>
        </w:rPr>
        <w:t>’</w:t>
      </w:r>
      <w:r w:rsidRPr="00D8477F">
        <w:rPr>
          <w:rFonts w:ascii="Times New Roman" w:hAnsi="Times New Roman" w:cs="Times New Roman"/>
        </w:rPr>
        <w:t xml:space="preserve"> allowance that results when one party is directed to pay both a child support award under the Child Support Standards Act and the carrying costs on the marital residence</w:t>
      </w:r>
      <w:r w:rsidRPr="00950609">
        <w:rPr>
          <w:rFonts w:ascii="Times New Roman" w:hAnsi="Times New Roman" w:cs="Times New Roman"/>
        </w:rPr>
        <w:t xml:space="preserve">,” but rejected “the </w:t>
      </w:r>
      <w:r w:rsidRPr="00D8477F">
        <w:rPr>
          <w:rFonts w:ascii="Times New Roman" w:hAnsi="Times New Roman" w:cs="Times New Roman"/>
        </w:rPr>
        <w:t>husband's contention that such a modification is warranted here, because the court made clear that it was not awarding child support based on the combined imputed income of the parties, but rather on the basic statutory support cap of $183,000, in consideration of the fact that the husband was paying the carrying costs of the two apartments and the child's private school tuition.</w:t>
      </w:r>
      <w:r w:rsidRPr="00950609">
        <w:rPr>
          <w:rFonts w:ascii="Times New Roman" w:hAnsi="Times New Roman" w:cs="Times New Roman"/>
        </w:rPr>
        <w:t xml:space="preserve"> The Court concluded that the husband’s “</w:t>
      </w:r>
      <w:r w:rsidRPr="00D8477F">
        <w:rPr>
          <w:rFonts w:ascii="Times New Roman" w:hAnsi="Times New Roman" w:cs="Times New Roman"/>
        </w:rPr>
        <w:t>reliance on the wife's automobile lease application, which represented that she earned $120,000, is unavailing, because the court imputed $170,000 in income to the wife.</w:t>
      </w:r>
      <w:r w:rsidRPr="00950609">
        <w:rPr>
          <w:rFonts w:ascii="Times New Roman" w:hAnsi="Times New Roman" w:cs="Times New Roman"/>
        </w:rPr>
        <w:t>”</w:t>
      </w:r>
    </w:p>
    <w:p w14:paraId="2BC5CDFC" w14:textId="77777777" w:rsidR="00E912DF" w:rsidRDefault="00E912DF" w:rsidP="00600535">
      <w:pPr>
        <w:pStyle w:val="Heading1"/>
        <w:numPr>
          <w:ilvl w:val="0"/>
          <w:numId w:val="0"/>
        </w:numPr>
        <w:spacing w:line="240" w:lineRule="auto"/>
        <w:contextualSpacing/>
        <w:jc w:val="both"/>
        <w:rPr>
          <w:rFonts w:ascii="Times New Roman" w:hAnsi="Times New Roman" w:cs="Times New Roman"/>
        </w:rPr>
      </w:pPr>
    </w:p>
    <w:p w14:paraId="213982A5" w14:textId="77777777" w:rsidR="00E22585" w:rsidRDefault="00E22585" w:rsidP="00600535">
      <w:pPr>
        <w:pStyle w:val="Heading1"/>
        <w:numPr>
          <w:ilvl w:val="0"/>
          <w:numId w:val="0"/>
        </w:numPr>
        <w:spacing w:line="240" w:lineRule="auto"/>
        <w:contextualSpacing/>
        <w:jc w:val="both"/>
        <w:rPr>
          <w:rFonts w:ascii="Times New Roman" w:hAnsi="Times New Roman" w:cs="Times New Roman"/>
        </w:rPr>
      </w:pPr>
    </w:p>
    <w:p w14:paraId="0EBCA8C8" w14:textId="77777777" w:rsidR="00E22585" w:rsidRDefault="00E22585" w:rsidP="00600535">
      <w:pPr>
        <w:pStyle w:val="Heading1"/>
        <w:numPr>
          <w:ilvl w:val="0"/>
          <w:numId w:val="0"/>
        </w:numPr>
        <w:spacing w:line="240" w:lineRule="auto"/>
        <w:contextualSpacing/>
        <w:jc w:val="both"/>
        <w:rPr>
          <w:rFonts w:ascii="Times New Roman" w:hAnsi="Times New Roman" w:cs="Times New Roman"/>
        </w:rPr>
      </w:pPr>
    </w:p>
    <w:p w14:paraId="7F62439E" w14:textId="77777777" w:rsidR="00E22585" w:rsidRDefault="00E22585" w:rsidP="00600535">
      <w:pPr>
        <w:pStyle w:val="Heading1"/>
        <w:numPr>
          <w:ilvl w:val="0"/>
          <w:numId w:val="0"/>
        </w:numPr>
        <w:spacing w:line="240" w:lineRule="auto"/>
        <w:contextualSpacing/>
        <w:jc w:val="both"/>
        <w:rPr>
          <w:rFonts w:ascii="Times New Roman" w:hAnsi="Times New Roman" w:cs="Times New Roman"/>
        </w:rPr>
      </w:pPr>
    </w:p>
    <w:p w14:paraId="7FF52169" w14:textId="7A6D1C4A" w:rsidR="00E912DF" w:rsidRDefault="00E912DF" w:rsidP="00E912DF">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lastRenderedPageBreak/>
        <w:t xml:space="preserve">Pendente Lite - </w:t>
      </w:r>
      <w:r w:rsidRPr="00E912DF">
        <w:rPr>
          <w:rFonts w:ascii="Times New Roman" w:hAnsi="Times New Roman" w:cs="Times New Roman"/>
          <w:b/>
          <w:bCs/>
        </w:rPr>
        <w:t>Intervention Denied; Receivership; Sale of Artwork Denied; Sanctions Against Intervenor Upheld</w:t>
      </w:r>
    </w:p>
    <w:p w14:paraId="2B0D5F0E" w14:textId="77777777" w:rsidR="00E912DF" w:rsidRPr="00E912DF" w:rsidRDefault="00E912DF" w:rsidP="00E912DF">
      <w:pPr>
        <w:pStyle w:val="Heading2"/>
        <w:numPr>
          <w:ilvl w:val="0"/>
          <w:numId w:val="0"/>
        </w:numPr>
        <w:spacing w:line="240" w:lineRule="auto"/>
        <w:contextualSpacing/>
        <w:jc w:val="both"/>
        <w:rPr>
          <w:b/>
          <w:bCs/>
        </w:rPr>
      </w:pPr>
    </w:p>
    <w:p w14:paraId="169A3FDD" w14:textId="215B5E51" w:rsidR="00E912DF" w:rsidRDefault="00E912DF" w:rsidP="00E912DF">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E912DF">
        <w:rPr>
          <w:rFonts w:ascii="Times New Roman" w:hAnsi="Times New Roman" w:cs="Times New Roman"/>
          <w:b/>
          <w:bCs/>
          <w:i/>
          <w:iCs/>
        </w:rPr>
        <w:t>Pivar v. Pivar</w:t>
      </w:r>
      <w:r>
        <w:rPr>
          <w:rFonts w:ascii="Times New Roman" w:hAnsi="Times New Roman" w:cs="Times New Roman"/>
        </w:rPr>
        <w:t>, 2026 Westlaw 31289 (1</w:t>
      </w:r>
      <w:r w:rsidRPr="00A1623F">
        <w:rPr>
          <w:rFonts w:ascii="Times New Roman" w:hAnsi="Times New Roman" w:cs="Times New Roman"/>
          <w:vertAlign w:val="superscript"/>
        </w:rPr>
        <w:t>st</w:t>
      </w:r>
      <w:r>
        <w:rPr>
          <w:rFonts w:ascii="Times New Roman" w:hAnsi="Times New Roman" w:cs="Times New Roman"/>
        </w:rPr>
        <w:t xml:space="preserve"> Dept. Jan. 6, 2026), the proposed intervenor (</w:t>
      </w:r>
      <w:proofErr w:type="spellStart"/>
      <w:r>
        <w:rPr>
          <w:rFonts w:ascii="Times New Roman" w:hAnsi="Times New Roman" w:cs="Times New Roman"/>
        </w:rPr>
        <w:t>Hertner</w:t>
      </w:r>
      <w:proofErr w:type="spellEnd"/>
      <w:r>
        <w:rPr>
          <w:rFonts w:ascii="Times New Roman" w:hAnsi="Times New Roman" w:cs="Times New Roman"/>
        </w:rPr>
        <w:t xml:space="preserve">) appealed from a February 2025 Supreme Court Order, which: </w:t>
      </w:r>
      <w:r w:rsidRPr="007669CD">
        <w:rPr>
          <w:rFonts w:ascii="Times New Roman" w:hAnsi="Times New Roman" w:cs="Times New Roman"/>
        </w:rPr>
        <w:t>denied his motion to enforce or ratify a purchase agreement for certain 1962 artwork and for leave to intervene in the wife’s 2021 divorce action</w:t>
      </w:r>
      <w:r>
        <w:rPr>
          <w:rFonts w:ascii="Times New Roman" w:hAnsi="Times New Roman" w:cs="Times New Roman"/>
        </w:rPr>
        <w:t>;</w:t>
      </w:r>
      <w:r w:rsidRPr="007669CD">
        <w:rPr>
          <w:rFonts w:ascii="Times New Roman" w:hAnsi="Times New Roman" w:cs="Times New Roman"/>
        </w:rPr>
        <w:t xml:space="preserve"> granted the parties’ joint cross-motion </w:t>
      </w:r>
      <w:r w:rsidR="00B0755C">
        <w:rPr>
          <w:rFonts w:ascii="Times New Roman" w:hAnsi="Times New Roman" w:cs="Times New Roman"/>
        </w:rPr>
        <w:t xml:space="preserve">to </w:t>
      </w:r>
      <w:r w:rsidRPr="007669CD">
        <w:rPr>
          <w:rFonts w:ascii="Times New Roman" w:hAnsi="Times New Roman" w:cs="Times New Roman"/>
        </w:rPr>
        <w:t>declare the purchase agreement invalid and unenforceable</w:t>
      </w:r>
      <w:r>
        <w:rPr>
          <w:rFonts w:ascii="Times New Roman" w:hAnsi="Times New Roman" w:cs="Times New Roman"/>
        </w:rPr>
        <w:t xml:space="preserve">; </w:t>
      </w:r>
      <w:r w:rsidRPr="007669CD">
        <w:rPr>
          <w:rFonts w:ascii="Times New Roman" w:hAnsi="Times New Roman" w:cs="Times New Roman"/>
        </w:rPr>
        <w:t xml:space="preserve">and awarded sanctions in the form of attorneys’ fees of $2,500 payable by </w:t>
      </w:r>
      <w:proofErr w:type="spellStart"/>
      <w:r w:rsidRPr="007669CD">
        <w:rPr>
          <w:rFonts w:ascii="Times New Roman" w:hAnsi="Times New Roman" w:cs="Times New Roman"/>
        </w:rPr>
        <w:t>Hertner</w:t>
      </w:r>
      <w:proofErr w:type="spellEnd"/>
      <w:r w:rsidRPr="007669CD">
        <w:rPr>
          <w:rFonts w:ascii="Times New Roman" w:hAnsi="Times New Roman" w:cs="Times New Roman"/>
        </w:rPr>
        <w:t xml:space="preserve"> to the husband’s attorney and $2,500 payable by </w:t>
      </w:r>
      <w:proofErr w:type="spellStart"/>
      <w:r w:rsidRPr="007669CD">
        <w:rPr>
          <w:rFonts w:ascii="Times New Roman" w:hAnsi="Times New Roman" w:cs="Times New Roman"/>
        </w:rPr>
        <w:t>Hertner</w:t>
      </w:r>
      <w:proofErr w:type="spellEnd"/>
      <w:r w:rsidRPr="007669CD">
        <w:rPr>
          <w:rFonts w:ascii="Times New Roman" w:hAnsi="Times New Roman" w:cs="Times New Roman"/>
        </w:rPr>
        <w:t xml:space="preserve"> to the wife’s attorney. The First Department affirmed, holding that intervention “</w:t>
      </w:r>
      <w:r w:rsidRPr="00A1623F">
        <w:rPr>
          <w:rFonts w:ascii="Times New Roman" w:hAnsi="Times New Roman" w:cs="Times New Roman"/>
        </w:rPr>
        <w:t>is warranted only where the proposed intervenor demonstrates a real and substantial interest in the outcome of the proceeding</w:t>
      </w:r>
      <w:r w:rsidRPr="007669CD">
        <w:rPr>
          <w:rFonts w:ascii="Times New Roman" w:hAnsi="Times New Roman" w:cs="Times New Roman"/>
        </w:rPr>
        <w:t>” and “</w:t>
      </w:r>
      <w:proofErr w:type="spellStart"/>
      <w:r w:rsidRPr="00A1623F">
        <w:rPr>
          <w:rFonts w:ascii="Times New Roman" w:hAnsi="Times New Roman" w:cs="Times New Roman"/>
        </w:rPr>
        <w:t>Hertner</w:t>
      </w:r>
      <w:proofErr w:type="spellEnd"/>
      <w:r w:rsidRPr="00A1623F">
        <w:rPr>
          <w:rFonts w:ascii="Times New Roman" w:hAnsi="Times New Roman" w:cs="Times New Roman"/>
        </w:rPr>
        <w:t xml:space="preserve"> failed to establish any ownership interest in the artwork sufficient to justify intervention in the matrimonial action</w:t>
      </w:r>
      <w:r w:rsidRPr="007669CD">
        <w:rPr>
          <w:rFonts w:ascii="Times New Roman" w:hAnsi="Times New Roman" w:cs="Times New Roman"/>
        </w:rPr>
        <w:t>.” The Appellate Division found Supreme Court “</w:t>
      </w:r>
      <w:r w:rsidRPr="00A1623F">
        <w:rPr>
          <w:rFonts w:ascii="Times New Roman" w:hAnsi="Times New Roman" w:cs="Times New Roman"/>
        </w:rPr>
        <w:t>correctly determined that the December 22, 2023</w:t>
      </w:r>
      <w:r w:rsidRPr="00A1623F">
        <w:rPr>
          <w:rFonts w:ascii="Times New Roman" w:hAnsi="Times New Roman" w:cs="Times New Roman"/>
          <w:b/>
          <w:bCs/>
          <w:i/>
          <w:iCs/>
        </w:rPr>
        <w:t> </w:t>
      </w:r>
      <w:r w:rsidRPr="00A1623F">
        <w:rPr>
          <w:rFonts w:ascii="Times New Roman" w:hAnsi="Times New Roman" w:cs="Times New Roman"/>
        </w:rPr>
        <w:t>purchase agreement was not valid and enforceable without the court's prior knowledge and approval</w:t>
      </w:r>
      <w:r w:rsidRPr="007669CD">
        <w:rPr>
          <w:rFonts w:ascii="Times New Roman" w:hAnsi="Times New Roman" w:cs="Times New Roman"/>
        </w:rPr>
        <w:t xml:space="preserve"> (citations omitted)” and noted: pursuant to CPLR 6401, </w:t>
      </w:r>
      <w:r w:rsidRPr="00A1623F">
        <w:rPr>
          <w:rFonts w:ascii="Times New Roman" w:hAnsi="Times New Roman" w:cs="Times New Roman"/>
        </w:rPr>
        <w:t xml:space="preserve">a temporary receiver's authority is limited to </w:t>
      </w:r>
      <w:r w:rsidRPr="007669CD">
        <w:rPr>
          <w:rFonts w:ascii="Times New Roman" w:hAnsi="Times New Roman" w:cs="Times New Roman"/>
        </w:rPr>
        <w:t>“</w:t>
      </w:r>
      <w:r w:rsidRPr="00A1623F">
        <w:rPr>
          <w:rFonts w:ascii="Times New Roman" w:hAnsi="Times New Roman" w:cs="Times New Roman"/>
        </w:rPr>
        <w:t>such conditions and for such purposes as the court shall direct</w:t>
      </w:r>
      <w:r w:rsidRPr="007669CD">
        <w:rPr>
          <w:rFonts w:ascii="Times New Roman" w:hAnsi="Times New Roman" w:cs="Times New Roman"/>
        </w:rPr>
        <w:t>”; and while</w:t>
      </w:r>
      <w:r w:rsidRPr="00A1623F">
        <w:rPr>
          <w:rFonts w:ascii="Times New Roman" w:hAnsi="Times New Roman" w:cs="Times New Roman"/>
        </w:rPr>
        <w:t xml:space="preserve"> </w:t>
      </w:r>
      <w:r w:rsidRPr="007669CD">
        <w:rPr>
          <w:rFonts w:ascii="Times New Roman" w:hAnsi="Times New Roman" w:cs="Times New Roman"/>
        </w:rPr>
        <w:t>“</w:t>
      </w:r>
      <w:r w:rsidRPr="00A1623F">
        <w:rPr>
          <w:rFonts w:ascii="Times New Roman" w:hAnsi="Times New Roman" w:cs="Times New Roman"/>
        </w:rPr>
        <w:t>the order appointing the receiver granted her the power to effectuate the sale of the Pivars</w:t>
      </w:r>
      <w:r w:rsidRPr="007669CD">
        <w:rPr>
          <w:rFonts w:ascii="Times New Roman" w:hAnsi="Times New Roman" w:cs="Times New Roman"/>
        </w:rPr>
        <w:t>’</w:t>
      </w:r>
      <w:r w:rsidRPr="00A1623F">
        <w:rPr>
          <w:rFonts w:ascii="Times New Roman" w:hAnsi="Times New Roman" w:cs="Times New Roman"/>
        </w:rPr>
        <w:t xml:space="preserve"> art collection and to execute any documents in connection therewith, </w:t>
      </w:r>
      <w:r w:rsidRPr="007669CD">
        <w:rPr>
          <w:rFonts w:ascii="Times New Roman" w:hAnsi="Times New Roman" w:cs="Times New Roman"/>
        </w:rPr>
        <w:t xml:space="preserve">*** </w:t>
      </w:r>
      <w:r w:rsidRPr="00A1623F">
        <w:rPr>
          <w:rFonts w:ascii="Times New Roman" w:hAnsi="Times New Roman" w:cs="Times New Roman"/>
        </w:rPr>
        <w:t>the order expressly maintained court oversight</w:t>
      </w:r>
      <w:r w:rsidRPr="007669CD">
        <w:rPr>
          <w:rFonts w:ascii="Times New Roman" w:hAnsi="Times New Roman" w:cs="Times New Roman"/>
        </w:rPr>
        <w:t>”; “</w:t>
      </w:r>
      <w:r w:rsidRPr="00A1623F">
        <w:rPr>
          <w:rFonts w:ascii="Times New Roman" w:hAnsi="Times New Roman" w:cs="Times New Roman"/>
        </w:rPr>
        <w:t>courts may not direct the sale of marital property prior to entry of judgment unless the parties have consented to the sale</w:t>
      </w:r>
      <w:r w:rsidRPr="007669CD">
        <w:rPr>
          <w:rFonts w:ascii="Times New Roman" w:hAnsi="Times New Roman" w:cs="Times New Roman"/>
        </w:rPr>
        <w:t>”; “</w:t>
      </w:r>
      <w:r w:rsidRPr="00A1623F">
        <w:rPr>
          <w:rFonts w:ascii="Times New Roman" w:hAnsi="Times New Roman" w:cs="Times New Roman"/>
        </w:rPr>
        <w:t>the Pivars maintain that they had no knowledge of the purchase agreement until late February 2024, approximately two months after it was executed, and prior to entry of any final judgment</w:t>
      </w:r>
      <w:r w:rsidRPr="007669CD">
        <w:rPr>
          <w:rFonts w:ascii="Times New Roman" w:hAnsi="Times New Roman" w:cs="Times New Roman"/>
        </w:rPr>
        <w:t>”; and “</w:t>
      </w:r>
      <w:r w:rsidRPr="00A1623F">
        <w:rPr>
          <w:rFonts w:ascii="Times New Roman" w:hAnsi="Times New Roman" w:cs="Times New Roman"/>
        </w:rPr>
        <w:t>the court-appointed receiver</w:t>
      </w:r>
      <w:r w:rsidRPr="007669CD">
        <w:rPr>
          <w:rFonts w:ascii="Times New Roman" w:hAnsi="Times New Roman" w:cs="Times New Roman"/>
        </w:rPr>
        <w:t>’</w:t>
      </w:r>
      <w:r w:rsidRPr="00A1623F">
        <w:rPr>
          <w:rFonts w:ascii="Times New Roman" w:hAnsi="Times New Roman" w:cs="Times New Roman"/>
        </w:rPr>
        <w:t>s failure to apprise the parties and the court prior to signing the purchase agreement invalidated the agreement</w:t>
      </w:r>
      <w:r w:rsidRPr="007669CD">
        <w:rPr>
          <w:rFonts w:ascii="Times New Roman" w:hAnsi="Times New Roman" w:cs="Times New Roman"/>
        </w:rPr>
        <w:t>.”  The First Department further determined that Supreme Court “</w:t>
      </w:r>
      <w:r w:rsidRPr="00A1623F">
        <w:rPr>
          <w:rFonts w:ascii="Times New Roman" w:hAnsi="Times New Roman" w:cs="Times New Roman"/>
        </w:rPr>
        <w:t>also correctly declined to ratify the purchase agreement</w:t>
      </w:r>
      <w:r w:rsidRPr="007669CD">
        <w:rPr>
          <w:rFonts w:ascii="Times New Roman" w:hAnsi="Times New Roman" w:cs="Times New Roman"/>
        </w:rPr>
        <w:t>,” noting: “[r]</w:t>
      </w:r>
      <w:proofErr w:type="spellStart"/>
      <w:r w:rsidRPr="00A1623F">
        <w:rPr>
          <w:rFonts w:ascii="Times New Roman" w:hAnsi="Times New Roman" w:cs="Times New Roman"/>
        </w:rPr>
        <w:t>atification</w:t>
      </w:r>
      <w:proofErr w:type="spellEnd"/>
      <w:r w:rsidRPr="00A1623F">
        <w:rPr>
          <w:rFonts w:ascii="Times New Roman" w:hAnsi="Times New Roman" w:cs="Times New Roman"/>
        </w:rPr>
        <w:t xml:space="preserve"> requires full knowledge of the material facts relating to the transaction, and the assent must be clearly established and may not be inferred from doubtful or equivocal acts or language </w:t>
      </w:r>
      <w:r w:rsidRPr="007669CD">
        <w:rPr>
          <w:rFonts w:ascii="Times New Roman" w:hAnsi="Times New Roman" w:cs="Times New Roman"/>
        </w:rPr>
        <w:t>(citation omitted)”; “</w:t>
      </w:r>
      <w:r w:rsidRPr="00A1623F">
        <w:rPr>
          <w:rFonts w:ascii="Times New Roman" w:hAnsi="Times New Roman" w:cs="Times New Roman"/>
        </w:rPr>
        <w:t>the record demonstrates that the Pivars were neither provided with a copy of the purchase agreement nor informed of any details concerning the sale of the artwork until late February 2024</w:t>
      </w:r>
      <w:r w:rsidRPr="007669CD">
        <w:rPr>
          <w:rFonts w:ascii="Times New Roman" w:hAnsi="Times New Roman" w:cs="Times New Roman"/>
        </w:rPr>
        <w:t xml:space="preserve">”; and </w:t>
      </w:r>
      <w:r>
        <w:rPr>
          <w:rFonts w:ascii="Times New Roman" w:hAnsi="Times New Roman" w:cs="Times New Roman"/>
        </w:rPr>
        <w:t>“</w:t>
      </w:r>
      <w:proofErr w:type="spellStart"/>
      <w:r w:rsidRPr="00A1623F">
        <w:rPr>
          <w:rFonts w:ascii="Times New Roman" w:hAnsi="Times New Roman" w:cs="Times New Roman"/>
        </w:rPr>
        <w:t>Hertner</w:t>
      </w:r>
      <w:r w:rsidRPr="007669CD">
        <w:rPr>
          <w:rFonts w:ascii="Times New Roman" w:hAnsi="Times New Roman" w:cs="Times New Roman"/>
        </w:rPr>
        <w:t>’</w:t>
      </w:r>
      <w:r w:rsidRPr="00A1623F">
        <w:rPr>
          <w:rFonts w:ascii="Times New Roman" w:hAnsi="Times New Roman" w:cs="Times New Roman"/>
        </w:rPr>
        <w:t>s</w:t>
      </w:r>
      <w:proofErr w:type="spellEnd"/>
      <w:r w:rsidRPr="00A1623F">
        <w:rPr>
          <w:rFonts w:ascii="Times New Roman" w:hAnsi="Times New Roman" w:cs="Times New Roman"/>
        </w:rPr>
        <w:t xml:space="preserve"> continued attempts to obtain the husband's consent to the sale further underscore that the Pivars never assented to the terms of the purchase agreement.</w:t>
      </w:r>
      <w:r>
        <w:rPr>
          <w:rFonts w:ascii="Times New Roman" w:hAnsi="Times New Roman" w:cs="Times New Roman"/>
        </w:rPr>
        <w:t>”</w:t>
      </w:r>
      <w:r w:rsidRPr="007669CD">
        <w:rPr>
          <w:rFonts w:ascii="Times New Roman" w:hAnsi="Times New Roman" w:cs="Times New Roman"/>
        </w:rPr>
        <w:t xml:space="preserve"> The Court concluded that</w:t>
      </w:r>
      <w:r w:rsidRPr="00A1623F">
        <w:rPr>
          <w:rFonts w:ascii="Times New Roman" w:hAnsi="Times New Roman" w:cs="Times New Roman"/>
        </w:rPr>
        <w:t xml:space="preserve"> </w:t>
      </w:r>
      <w:r w:rsidRPr="007669CD">
        <w:rPr>
          <w:rFonts w:ascii="Times New Roman" w:hAnsi="Times New Roman" w:cs="Times New Roman"/>
        </w:rPr>
        <w:t>“</w:t>
      </w:r>
      <w:r w:rsidRPr="00A1623F">
        <w:rPr>
          <w:rFonts w:ascii="Times New Roman" w:hAnsi="Times New Roman" w:cs="Times New Roman"/>
        </w:rPr>
        <w:t xml:space="preserve">the sanctions imposed </w:t>
      </w:r>
      <w:r w:rsidRPr="007669CD">
        <w:rPr>
          <w:rFonts w:ascii="Times New Roman" w:hAnsi="Times New Roman" w:cs="Times New Roman"/>
        </w:rPr>
        <w:t xml:space="preserve">*** </w:t>
      </w:r>
      <w:r w:rsidRPr="00A1623F">
        <w:rPr>
          <w:rFonts w:ascii="Times New Roman" w:hAnsi="Times New Roman" w:cs="Times New Roman"/>
        </w:rPr>
        <w:t xml:space="preserve">were appropriate given </w:t>
      </w:r>
      <w:proofErr w:type="spellStart"/>
      <w:r w:rsidRPr="00A1623F">
        <w:rPr>
          <w:rFonts w:ascii="Times New Roman" w:hAnsi="Times New Roman" w:cs="Times New Roman"/>
        </w:rPr>
        <w:t>Hertner's</w:t>
      </w:r>
      <w:proofErr w:type="spellEnd"/>
      <w:r w:rsidRPr="00A1623F">
        <w:rPr>
          <w:rFonts w:ascii="Times New Roman" w:hAnsi="Times New Roman" w:cs="Times New Roman"/>
        </w:rPr>
        <w:t xml:space="preserve"> involvement in the removal of the artwork from the husband</w:t>
      </w:r>
      <w:r w:rsidRPr="007669CD">
        <w:rPr>
          <w:rFonts w:ascii="Times New Roman" w:hAnsi="Times New Roman" w:cs="Times New Roman"/>
        </w:rPr>
        <w:t>’</w:t>
      </w:r>
      <w:r w:rsidRPr="00A1623F">
        <w:rPr>
          <w:rFonts w:ascii="Times New Roman" w:hAnsi="Times New Roman" w:cs="Times New Roman"/>
        </w:rPr>
        <w:t>s residence and his repeated attempts to contact the husband directly, despite knowing that the husband was represented by an attorney and had been declared incompetent</w:t>
      </w:r>
      <w:r w:rsidRPr="007669CD">
        <w:rPr>
          <w:rFonts w:ascii="Times New Roman" w:hAnsi="Times New Roman" w:cs="Times New Roman"/>
        </w:rPr>
        <w:t>.”</w:t>
      </w:r>
    </w:p>
    <w:p w14:paraId="6ACC337B" w14:textId="77777777" w:rsidR="00E912DF" w:rsidRDefault="00E912DF" w:rsidP="00E912DF">
      <w:pPr>
        <w:pStyle w:val="Heading1"/>
        <w:numPr>
          <w:ilvl w:val="0"/>
          <w:numId w:val="0"/>
        </w:numPr>
        <w:spacing w:line="240" w:lineRule="auto"/>
        <w:contextualSpacing/>
        <w:jc w:val="both"/>
        <w:rPr>
          <w:rFonts w:ascii="Times New Roman" w:hAnsi="Times New Roman" w:cs="Times New Roman"/>
        </w:rPr>
      </w:pPr>
    </w:p>
    <w:p w14:paraId="57DD58E0" w14:textId="77777777" w:rsidR="00AF56FA" w:rsidRPr="00AF56FA" w:rsidRDefault="00E912DF" w:rsidP="00AF56FA">
      <w:pPr>
        <w:pStyle w:val="Heading2"/>
        <w:numPr>
          <w:ilvl w:val="0"/>
          <w:numId w:val="0"/>
        </w:numPr>
        <w:jc w:val="both"/>
        <w:rPr>
          <w:b/>
          <w:bCs/>
        </w:rPr>
      </w:pPr>
      <w:r w:rsidRPr="00AF56FA">
        <w:rPr>
          <w:rFonts w:ascii="Times New Roman" w:hAnsi="Times New Roman" w:cs="Times New Roman"/>
          <w:b/>
          <w:bCs/>
        </w:rPr>
        <w:t xml:space="preserve">Procedure - </w:t>
      </w:r>
      <w:r w:rsidR="00AF56FA" w:rsidRPr="00AF56FA">
        <w:rPr>
          <w:rFonts w:ascii="Times New Roman" w:hAnsi="Times New Roman" w:cs="Times New Roman"/>
          <w:b/>
          <w:bCs/>
        </w:rPr>
        <w:t>Default – Willful – Walked out of Hearing; Denial of Adjournment Upheld</w:t>
      </w:r>
    </w:p>
    <w:p w14:paraId="3F0D5FEA" w14:textId="5C829314" w:rsidR="00927355" w:rsidRDefault="00AF56FA" w:rsidP="00AF56FA">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AF56FA">
        <w:rPr>
          <w:rFonts w:ascii="Times New Roman" w:hAnsi="Times New Roman" w:cs="Times New Roman"/>
          <w:b/>
          <w:bCs/>
          <w:i/>
          <w:iCs/>
        </w:rPr>
        <w:t>Matter of R.M. et al. v. S.B.</w:t>
      </w:r>
      <w:r>
        <w:rPr>
          <w:rFonts w:ascii="Times New Roman" w:hAnsi="Times New Roman" w:cs="Times New Roman"/>
        </w:rPr>
        <w:t>, 2026 Westlaw 31393 (1</w:t>
      </w:r>
      <w:r w:rsidRPr="00EB290B">
        <w:rPr>
          <w:rFonts w:ascii="Times New Roman" w:hAnsi="Times New Roman" w:cs="Times New Roman"/>
          <w:vertAlign w:val="superscript"/>
        </w:rPr>
        <w:t>st</w:t>
      </w:r>
      <w:r>
        <w:rPr>
          <w:rFonts w:ascii="Times New Roman" w:hAnsi="Times New Roman" w:cs="Times New Roman"/>
        </w:rPr>
        <w:t xml:space="preserve"> Dept. Jan. 6, 2026), respondent appealed from a September 2024 Family Court orde</w:t>
      </w:r>
      <w:r w:rsidR="00B0755C">
        <w:rPr>
          <w:rFonts w:ascii="Times New Roman" w:hAnsi="Times New Roman" w:cs="Times New Roman"/>
        </w:rPr>
        <w:t xml:space="preserve">r </w:t>
      </w:r>
      <w:r w:rsidRPr="00FE3DE9">
        <w:rPr>
          <w:rFonts w:ascii="Times New Roman" w:hAnsi="Times New Roman" w:cs="Times New Roman"/>
        </w:rPr>
        <w:t xml:space="preserve">which, upon his default, found that he committed certain family offenses and granted a two-year order of protection in favor of petitioners. The First Department dismissed, upon the ground that the appeal was taken from a </w:t>
      </w:r>
      <w:proofErr w:type="spellStart"/>
      <w:r w:rsidRPr="00FE3DE9">
        <w:rPr>
          <w:rFonts w:ascii="Times New Roman" w:hAnsi="Times New Roman" w:cs="Times New Roman"/>
        </w:rPr>
        <w:t>nonappealable</w:t>
      </w:r>
      <w:proofErr w:type="spellEnd"/>
      <w:r w:rsidRPr="00FE3DE9">
        <w:rPr>
          <w:rFonts w:ascii="Times New Roman" w:hAnsi="Times New Roman" w:cs="Times New Roman"/>
        </w:rPr>
        <w:t xml:space="preserve"> paper, and </w:t>
      </w:r>
      <w:proofErr w:type="gramStart"/>
      <w:r w:rsidRPr="00FE3DE9">
        <w:rPr>
          <w:rFonts w:ascii="Times New Roman" w:hAnsi="Times New Roman" w:cs="Times New Roman"/>
        </w:rPr>
        <w:t>respondent</w:t>
      </w:r>
      <w:proofErr w:type="gramEnd"/>
      <w:r w:rsidRPr="00EB290B">
        <w:rPr>
          <w:rFonts w:ascii="Times New Roman" w:hAnsi="Times New Roman" w:cs="Times New Roman"/>
        </w:rPr>
        <w:t xml:space="preserve"> did not move to vacate his default</w:t>
      </w:r>
      <w:r w:rsidRPr="00FE3DE9">
        <w:rPr>
          <w:rFonts w:ascii="Times New Roman" w:hAnsi="Times New Roman" w:cs="Times New Roman"/>
        </w:rPr>
        <w:t xml:space="preserve">. The Appellate Division rejected respondent’s argument that his default was not </w:t>
      </w:r>
      <w:proofErr w:type="gramStart"/>
      <w:r w:rsidRPr="00FE3DE9">
        <w:rPr>
          <w:rFonts w:ascii="Times New Roman" w:hAnsi="Times New Roman" w:cs="Times New Roman"/>
        </w:rPr>
        <w:t>willful, but</w:t>
      </w:r>
      <w:proofErr w:type="gramEnd"/>
      <w:r w:rsidRPr="00FE3DE9">
        <w:rPr>
          <w:rFonts w:ascii="Times New Roman" w:hAnsi="Times New Roman" w:cs="Times New Roman"/>
        </w:rPr>
        <w:t xml:space="preserve"> found “</w:t>
      </w:r>
      <w:r w:rsidRPr="00EB290B">
        <w:rPr>
          <w:rFonts w:ascii="Times New Roman" w:hAnsi="Times New Roman" w:cs="Times New Roman"/>
        </w:rPr>
        <w:t>his act of walking out of the hearing</w:t>
      </w:r>
      <w:r w:rsidRPr="00FE3DE9">
        <w:rPr>
          <w:rFonts w:ascii="Times New Roman" w:hAnsi="Times New Roman" w:cs="Times New Roman"/>
        </w:rPr>
        <w:t xml:space="preserve"> </w:t>
      </w:r>
      <w:r w:rsidRPr="00EB290B">
        <w:rPr>
          <w:rFonts w:ascii="Times New Roman" w:hAnsi="Times New Roman" w:cs="Times New Roman"/>
        </w:rPr>
        <w:t>—</w:t>
      </w:r>
      <w:r w:rsidRPr="00FE3DE9">
        <w:rPr>
          <w:rFonts w:ascii="Times New Roman" w:hAnsi="Times New Roman" w:cs="Times New Roman"/>
        </w:rPr>
        <w:t xml:space="preserve"> </w:t>
      </w:r>
      <w:r w:rsidRPr="00EB290B">
        <w:rPr>
          <w:rFonts w:ascii="Times New Roman" w:hAnsi="Times New Roman" w:cs="Times New Roman"/>
        </w:rPr>
        <w:t>after being warned that the proceedings would continue in his absence</w:t>
      </w:r>
      <w:r w:rsidRPr="00FE3DE9">
        <w:rPr>
          <w:rFonts w:ascii="Times New Roman" w:hAnsi="Times New Roman" w:cs="Times New Roman"/>
        </w:rPr>
        <w:t xml:space="preserve"> </w:t>
      </w:r>
      <w:r w:rsidRPr="00EB290B">
        <w:rPr>
          <w:rFonts w:ascii="Times New Roman" w:hAnsi="Times New Roman" w:cs="Times New Roman"/>
        </w:rPr>
        <w:t>—</w:t>
      </w:r>
      <w:r w:rsidRPr="00FE3DE9">
        <w:rPr>
          <w:rFonts w:ascii="Times New Roman" w:hAnsi="Times New Roman" w:cs="Times New Roman"/>
        </w:rPr>
        <w:t xml:space="preserve"> </w:t>
      </w:r>
      <w:r w:rsidRPr="00EB290B">
        <w:rPr>
          <w:rFonts w:ascii="Times New Roman" w:hAnsi="Times New Roman" w:cs="Times New Roman"/>
        </w:rPr>
        <w:t>was properly treated as a knowing and willful default</w:t>
      </w:r>
      <w:r w:rsidRPr="00FE3DE9">
        <w:rPr>
          <w:rFonts w:ascii="Times New Roman" w:hAnsi="Times New Roman" w:cs="Times New Roman"/>
        </w:rPr>
        <w:t>.” The Court found that Family Court “</w:t>
      </w:r>
      <w:r w:rsidRPr="00EB290B">
        <w:rPr>
          <w:rFonts w:ascii="Times New Roman" w:hAnsi="Times New Roman" w:cs="Times New Roman"/>
        </w:rPr>
        <w:t>providently exercised its discretion in denying respondent's adjournment request</w:t>
      </w:r>
      <w:r w:rsidRPr="00FE3DE9">
        <w:rPr>
          <w:rFonts w:ascii="Times New Roman" w:hAnsi="Times New Roman" w:cs="Times New Roman"/>
        </w:rPr>
        <w:t>,” noting: he</w:t>
      </w:r>
      <w:r w:rsidRPr="00EB290B">
        <w:rPr>
          <w:rFonts w:ascii="Times New Roman" w:hAnsi="Times New Roman" w:cs="Times New Roman"/>
        </w:rPr>
        <w:t xml:space="preserve"> </w:t>
      </w:r>
      <w:r w:rsidRPr="00FE3DE9">
        <w:rPr>
          <w:rFonts w:ascii="Times New Roman" w:hAnsi="Times New Roman" w:cs="Times New Roman"/>
        </w:rPr>
        <w:t>“</w:t>
      </w:r>
      <w:r w:rsidRPr="00EB290B">
        <w:rPr>
          <w:rFonts w:ascii="Times New Roman" w:hAnsi="Times New Roman" w:cs="Times New Roman"/>
        </w:rPr>
        <w:t xml:space="preserve">had repeatedly </w:t>
      </w:r>
      <w:r w:rsidRPr="00EB290B">
        <w:rPr>
          <w:rFonts w:ascii="Times New Roman" w:hAnsi="Times New Roman" w:cs="Times New Roman"/>
        </w:rPr>
        <w:lastRenderedPageBreak/>
        <w:t>indicated to the court that he was unwilling to retain an attorney and, in fact, proceeded pro se for three days of the hearing</w:t>
      </w:r>
      <w:r w:rsidRPr="00FE3DE9">
        <w:rPr>
          <w:rFonts w:ascii="Times New Roman" w:hAnsi="Times New Roman" w:cs="Times New Roman"/>
        </w:rPr>
        <w:t>”;</w:t>
      </w:r>
      <w:r w:rsidRPr="00EB290B">
        <w:rPr>
          <w:rFonts w:ascii="Times New Roman" w:hAnsi="Times New Roman" w:cs="Times New Roman"/>
        </w:rPr>
        <w:t xml:space="preserve"> </w:t>
      </w:r>
      <w:r w:rsidRPr="00FE3DE9">
        <w:rPr>
          <w:rFonts w:ascii="Times New Roman" w:hAnsi="Times New Roman" w:cs="Times New Roman"/>
        </w:rPr>
        <w:t>Family Court “</w:t>
      </w:r>
      <w:r w:rsidRPr="00EB290B">
        <w:rPr>
          <w:rFonts w:ascii="Times New Roman" w:hAnsi="Times New Roman" w:cs="Times New Roman"/>
        </w:rPr>
        <w:t>granted multiple requests to allow him additional time to secure representation, as well as an adjournment based on his asserted medical emergency</w:t>
      </w:r>
      <w:r w:rsidRPr="00FE3DE9">
        <w:rPr>
          <w:rFonts w:ascii="Times New Roman" w:hAnsi="Times New Roman" w:cs="Times New Roman"/>
        </w:rPr>
        <w:t>”;</w:t>
      </w:r>
      <w:r w:rsidRPr="00EB290B">
        <w:rPr>
          <w:rFonts w:ascii="Times New Roman" w:hAnsi="Times New Roman" w:cs="Times New Roman"/>
        </w:rPr>
        <w:t xml:space="preserve"> </w:t>
      </w:r>
      <w:r w:rsidRPr="00FE3DE9">
        <w:rPr>
          <w:rFonts w:ascii="Times New Roman" w:hAnsi="Times New Roman" w:cs="Times New Roman"/>
        </w:rPr>
        <w:t>and since respondent “</w:t>
      </w:r>
      <w:r w:rsidRPr="00EB290B">
        <w:rPr>
          <w:rFonts w:ascii="Times New Roman" w:hAnsi="Times New Roman" w:cs="Times New Roman"/>
        </w:rPr>
        <w:t>did not qualify for assigned counsel and was unwilling to proceed pro se, the court properly declined to grant a further adjournment</w:t>
      </w:r>
      <w:r w:rsidRPr="00FE3DE9">
        <w:rPr>
          <w:rFonts w:ascii="Times New Roman" w:hAnsi="Times New Roman" w:cs="Times New Roman"/>
        </w:rPr>
        <w:t>.” The First Department rejected, as lacking in credibility, “</w:t>
      </w:r>
      <w:r w:rsidRPr="00EB290B">
        <w:rPr>
          <w:rFonts w:ascii="Times New Roman" w:hAnsi="Times New Roman" w:cs="Times New Roman"/>
        </w:rPr>
        <w:t>respondent's contention that a medical emergency prevented him from continuing with the fact-finding hearing</w:t>
      </w:r>
      <w:r w:rsidRPr="00FE3DE9">
        <w:rPr>
          <w:rFonts w:ascii="Times New Roman" w:hAnsi="Times New Roman" w:cs="Times New Roman"/>
        </w:rPr>
        <w:t>,” noting that Family Court “</w:t>
      </w:r>
      <w:r w:rsidRPr="00EB290B">
        <w:rPr>
          <w:rFonts w:ascii="Times New Roman" w:hAnsi="Times New Roman" w:cs="Times New Roman"/>
        </w:rPr>
        <w:t>observed that respondent had appeared earlier that morning and made no mention of any physical ailments or limitations that would have prevented him from proceeding with the hearing</w:t>
      </w:r>
      <w:r w:rsidRPr="00FE3DE9">
        <w:rPr>
          <w:rFonts w:ascii="Times New Roman" w:hAnsi="Times New Roman" w:cs="Times New Roman"/>
        </w:rPr>
        <w:t>.”</w:t>
      </w:r>
    </w:p>
    <w:p w14:paraId="583383AD" w14:textId="77777777" w:rsidR="00927355" w:rsidRDefault="00927355" w:rsidP="00AF56FA">
      <w:pPr>
        <w:pStyle w:val="Heading1"/>
        <w:numPr>
          <w:ilvl w:val="0"/>
          <w:numId w:val="0"/>
        </w:numPr>
        <w:spacing w:line="240" w:lineRule="auto"/>
        <w:contextualSpacing/>
        <w:jc w:val="both"/>
        <w:rPr>
          <w:rFonts w:ascii="Times New Roman" w:hAnsi="Times New Roman" w:cs="Times New Roman"/>
        </w:rPr>
      </w:pPr>
    </w:p>
    <w:p w14:paraId="6B443401" w14:textId="77777777" w:rsidR="00927355" w:rsidRPr="00927355" w:rsidRDefault="00927355" w:rsidP="00927355">
      <w:pPr>
        <w:pStyle w:val="Heading2"/>
        <w:numPr>
          <w:ilvl w:val="0"/>
          <w:numId w:val="0"/>
        </w:numPr>
        <w:jc w:val="both"/>
        <w:rPr>
          <w:b/>
          <w:bCs/>
        </w:rPr>
      </w:pPr>
      <w:r w:rsidRPr="00927355">
        <w:rPr>
          <w:rFonts w:ascii="Times New Roman" w:hAnsi="Times New Roman" w:cs="Times New Roman"/>
          <w:b/>
          <w:bCs/>
        </w:rPr>
        <w:t>Procedure - Sanctions – AI Fabricated Citations</w:t>
      </w:r>
    </w:p>
    <w:p w14:paraId="179CF509" w14:textId="3A5C1B57" w:rsidR="00E912DF" w:rsidRPr="00E912DF" w:rsidRDefault="00927355" w:rsidP="00927355">
      <w:pPr>
        <w:pStyle w:val="Heading1"/>
        <w:numPr>
          <w:ilvl w:val="0"/>
          <w:numId w:val="0"/>
        </w:numPr>
        <w:spacing w:line="240" w:lineRule="auto"/>
        <w:contextualSpacing/>
        <w:jc w:val="both"/>
        <w:rPr>
          <w:rFonts w:ascii="Times New Roman" w:hAnsi="Times New Roman" w:cs="Times New Roman"/>
          <w:b/>
          <w:bCs/>
        </w:rPr>
      </w:pPr>
      <w:r>
        <w:rPr>
          <w:rFonts w:ascii="Times New Roman" w:hAnsi="Times New Roman" w:cs="Times New Roman"/>
        </w:rPr>
        <w:tab/>
        <w:t xml:space="preserve">In </w:t>
      </w:r>
      <w:r w:rsidRPr="00927355">
        <w:rPr>
          <w:rFonts w:ascii="Times New Roman" w:hAnsi="Times New Roman" w:cs="Times New Roman"/>
          <w:b/>
          <w:bCs/>
          <w:i/>
          <w:iCs/>
        </w:rPr>
        <w:t xml:space="preserve">Deutsche Bank Natl. Trust Co. v. Le </w:t>
      </w:r>
      <w:proofErr w:type="spellStart"/>
      <w:r w:rsidRPr="00927355">
        <w:rPr>
          <w:rFonts w:ascii="Times New Roman" w:hAnsi="Times New Roman" w:cs="Times New Roman"/>
          <w:b/>
          <w:bCs/>
          <w:i/>
          <w:iCs/>
        </w:rPr>
        <w:t>Tennier</w:t>
      </w:r>
      <w:proofErr w:type="spellEnd"/>
      <w:r>
        <w:rPr>
          <w:rFonts w:ascii="Times New Roman" w:hAnsi="Times New Roman" w:cs="Times New Roman"/>
        </w:rPr>
        <w:t xml:space="preserve">, 2026 Westlaw 53120 (3d Dept. Jan. 8, 2026), defendant Le </w:t>
      </w:r>
      <w:proofErr w:type="spellStart"/>
      <w:r>
        <w:rPr>
          <w:rFonts w:ascii="Times New Roman" w:hAnsi="Times New Roman" w:cs="Times New Roman"/>
        </w:rPr>
        <w:t>Tennier</w:t>
      </w:r>
      <w:proofErr w:type="spellEnd"/>
      <w:r>
        <w:rPr>
          <w:rFonts w:ascii="Times New Roman" w:hAnsi="Times New Roman" w:cs="Times New Roman"/>
        </w:rPr>
        <w:t xml:space="preserve"> appealed from March 2023, August 2024 and September 2024 Supreme Court Orders and plaintiff, in what began as a mortgage foreclosure action in March 2018, moved to dismiss the appea</w:t>
      </w:r>
      <w:r w:rsidR="00B0755C">
        <w:rPr>
          <w:rFonts w:ascii="Times New Roman" w:hAnsi="Times New Roman" w:cs="Times New Roman"/>
        </w:rPr>
        <w:t>l</w:t>
      </w:r>
      <w:r>
        <w:rPr>
          <w:rFonts w:ascii="Times New Roman" w:hAnsi="Times New Roman" w:cs="Times New Roman"/>
        </w:rPr>
        <w:t xml:space="preserve">, strike certain portions of the brief, record and appendix, and for sanctions. The Third Department made the following statements, of which lawyers would be well advised to take heed: “Initially, the merits of this appeal are unremarkable in nature. *** Where this appeal becomes unconventional, however, is that defendant’s opening brief cites six cases which do not exist. *** Here, defendant submitted at least 23 fabricated legal authorities across five filings during the </w:t>
      </w:r>
      <w:proofErr w:type="gramStart"/>
      <w:r>
        <w:rPr>
          <w:rFonts w:ascii="Times New Roman" w:hAnsi="Times New Roman" w:cs="Times New Roman"/>
        </w:rPr>
        <w:t>pendency</w:t>
      </w:r>
      <w:proofErr w:type="gramEnd"/>
      <w:r>
        <w:rPr>
          <w:rFonts w:ascii="Times New Roman" w:hAnsi="Times New Roman" w:cs="Times New Roman"/>
        </w:rPr>
        <w:t xml:space="preserve"> of this appeal. *** Moreover, during oral argument defense counsel estimated that 90% of the citations he used were accurate, which, even if it were true, is simply unacceptable by any measure of candor to any court (see Rules of Professional Conduct [22 NYCRR 1200.0] rule 3.3[a][1]). Where we are most troubled is that more than half of the fake cases offered by defendant came </w:t>
      </w:r>
      <w:r w:rsidRPr="00FB2DB6">
        <w:rPr>
          <w:rFonts w:ascii="Times New Roman" w:hAnsi="Times New Roman" w:cs="Times New Roman"/>
          <w:i/>
          <w:iCs/>
        </w:rPr>
        <w:t>after</w:t>
      </w:r>
      <w:r>
        <w:rPr>
          <w:rFonts w:ascii="Times New Roman" w:hAnsi="Times New Roman" w:cs="Times New Roman"/>
        </w:rPr>
        <w:t xml:space="preserve"> he was on notice of such issue ***.”  The Appellate Division affirmed the orders appealed from and characterized th</w:t>
      </w:r>
      <w:r w:rsidR="00B0755C">
        <w:rPr>
          <w:rFonts w:ascii="Times New Roman" w:hAnsi="Times New Roman" w:cs="Times New Roman"/>
        </w:rPr>
        <w:t>e matter</w:t>
      </w:r>
      <w:r>
        <w:rPr>
          <w:rFonts w:ascii="Times New Roman" w:hAnsi="Times New Roman" w:cs="Times New Roman"/>
        </w:rPr>
        <w:t xml:space="preserve"> “as the first appellate-level case in New York addressing sanctions for the misuse of GenAI” and imposed “a monetary sanction on defense counsel *** in the amount of $5,000 ***.”  Addressing plaintiff’s motion for sanctions upon appeal, the Court concluded: “Given the baseless nature of this appeal, *** we conclude that an additional sanction of $2,500 shall be imposed on defense counsel *** Douglass and $2,500 shall be imposed on defendant *** </w:t>
      </w:r>
      <w:proofErr w:type="spellStart"/>
      <w:r>
        <w:rPr>
          <w:rFonts w:ascii="Times New Roman" w:hAnsi="Times New Roman" w:cs="Times New Roman"/>
        </w:rPr>
        <w:t>LeTennier</w:t>
      </w:r>
      <w:proofErr w:type="spellEnd"/>
      <w:r>
        <w:rPr>
          <w:rFonts w:ascii="Times New Roman" w:hAnsi="Times New Roman" w:cs="Times New Roman"/>
        </w:rPr>
        <w:t xml:space="preserve"> for pursuing thus appeal.”</w:t>
      </w:r>
      <w:r w:rsidR="00E912DF">
        <w:rPr>
          <w:rFonts w:ascii="Times New Roman" w:hAnsi="Times New Roman" w:cs="Times New Roman"/>
        </w:rPr>
        <w:tab/>
      </w:r>
      <w:r w:rsidR="00E912DF">
        <w:rPr>
          <w:rFonts w:ascii="Times New Roman" w:hAnsi="Times New Roman" w:cs="Times New Roman"/>
        </w:rPr>
        <w:tab/>
      </w:r>
    </w:p>
    <w:p w14:paraId="53977879" w14:textId="77777777" w:rsidR="00022EF5" w:rsidRPr="005854D5" w:rsidRDefault="00022EF5" w:rsidP="00022EF5">
      <w:pPr>
        <w:pStyle w:val="Heading1"/>
        <w:numPr>
          <w:ilvl w:val="0"/>
          <w:numId w:val="0"/>
        </w:numPr>
        <w:spacing w:line="240" w:lineRule="auto"/>
        <w:contextualSpacing/>
        <w:jc w:val="both"/>
        <w:rPr>
          <w:rFonts w:ascii="Times New Roman" w:hAnsi="Times New Roman" w:cs="Times New Roman"/>
          <w:b/>
          <w:bCs/>
        </w:rPr>
      </w:pPr>
    </w:p>
    <w:p w14:paraId="26086FBF" w14:textId="00CC7128" w:rsidR="003B59AD" w:rsidRPr="007555CE" w:rsidRDefault="003B59AD" w:rsidP="007555CE">
      <w:pPr>
        <w:pStyle w:val="Heading1"/>
        <w:numPr>
          <w:ilvl w:val="0"/>
          <w:numId w:val="0"/>
        </w:numPr>
        <w:ind w:left="720" w:hanging="720"/>
        <w:rPr>
          <w:b/>
          <w:bCs/>
          <w:u w:val="single"/>
        </w:rPr>
      </w:pPr>
      <w:r w:rsidRPr="007555CE">
        <w:rPr>
          <w:rFonts w:ascii="Times New Roman" w:hAnsi="Times New Roman" w:cs="Times New Roman"/>
          <w:b/>
          <w:bCs/>
          <w:u w:val="single"/>
        </w:rPr>
        <w:t>LEGISLATIVE AND COURT RULE ITEMS</w:t>
      </w:r>
    </w:p>
    <w:p w14:paraId="1DDFE30A" w14:textId="66903783" w:rsidR="00AF56FA" w:rsidRDefault="00AF56FA" w:rsidP="00B0755C">
      <w:pPr>
        <w:pStyle w:val="Heading2"/>
        <w:numPr>
          <w:ilvl w:val="0"/>
          <w:numId w:val="0"/>
        </w:numPr>
        <w:spacing w:line="240" w:lineRule="auto"/>
        <w:contextualSpacing/>
        <w:jc w:val="both"/>
        <w:rPr>
          <w:rFonts w:ascii="Times New Roman" w:hAnsi="Times New Roman" w:cs="Times New Roman"/>
          <w:b/>
          <w:bCs/>
        </w:rPr>
      </w:pPr>
      <w:r w:rsidRPr="00CE60D4">
        <w:rPr>
          <w:rFonts w:ascii="Times New Roman" w:hAnsi="Times New Roman" w:cs="Times New Roman"/>
          <w:b/>
          <w:bCs/>
        </w:rPr>
        <w:t xml:space="preserve">Affirmation </w:t>
      </w:r>
      <w:r>
        <w:rPr>
          <w:rFonts w:ascii="Times New Roman" w:hAnsi="Times New Roman" w:cs="Times New Roman"/>
          <w:b/>
          <w:bCs/>
        </w:rPr>
        <w:t xml:space="preserve">Exclusion and </w:t>
      </w:r>
      <w:r w:rsidRPr="00CE60D4">
        <w:rPr>
          <w:rFonts w:ascii="Times New Roman" w:hAnsi="Times New Roman" w:cs="Times New Roman"/>
          <w:b/>
          <w:bCs/>
        </w:rPr>
        <w:t>Expansion; Exclusion of DRL 236(B)(3) Agreements</w:t>
      </w:r>
      <w:r w:rsidR="00B0755C">
        <w:rPr>
          <w:rFonts w:ascii="Times New Roman" w:hAnsi="Times New Roman" w:cs="Times New Roman"/>
          <w:b/>
          <w:bCs/>
        </w:rPr>
        <w:t xml:space="preserve"> – Article</w:t>
      </w:r>
    </w:p>
    <w:p w14:paraId="286133F7" w14:textId="77777777" w:rsidR="00B0755C" w:rsidRPr="00CE60D4" w:rsidRDefault="00B0755C" w:rsidP="00B0755C">
      <w:pPr>
        <w:pStyle w:val="Heading2"/>
        <w:numPr>
          <w:ilvl w:val="0"/>
          <w:numId w:val="0"/>
        </w:numPr>
        <w:spacing w:line="240" w:lineRule="auto"/>
        <w:contextualSpacing/>
        <w:jc w:val="both"/>
        <w:rPr>
          <w:b/>
          <w:bCs/>
        </w:rPr>
      </w:pPr>
    </w:p>
    <w:p w14:paraId="13FE3070" w14:textId="7B04A6FF" w:rsidR="00C83062" w:rsidRDefault="00AF56FA" w:rsidP="00B0755C">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As reported in the </w:t>
      </w:r>
      <w:r w:rsidR="00CA06F9">
        <w:rPr>
          <w:rFonts w:ascii="Times New Roman" w:hAnsi="Times New Roman" w:cs="Times New Roman"/>
        </w:rPr>
        <w:t xml:space="preserve">December 2025 </w:t>
      </w:r>
      <w:r w:rsidR="00CA06F9">
        <w:rPr>
          <w:rFonts w:ascii="Times New Roman" w:hAnsi="Times New Roman" w:cs="Times New Roman"/>
          <w:i/>
          <w:iCs/>
        </w:rPr>
        <w:t>Update</w:t>
      </w:r>
      <w:r>
        <w:rPr>
          <w:rFonts w:ascii="Times New Roman" w:hAnsi="Times New Roman" w:cs="Times New Roman"/>
        </w:rPr>
        <w:t xml:space="preserve">, this legislation was </w:t>
      </w:r>
      <w:r>
        <w:rPr>
          <w:rFonts w:ascii="Times New Roman" w:hAnsi="Times New Roman" w:cs="Times New Roman"/>
          <w:b/>
          <w:bCs/>
          <w:u w:val="single"/>
        </w:rPr>
        <w:t>s</w:t>
      </w:r>
      <w:r w:rsidRPr="004D46EB">
        <w:rPr>
          <w:rFonts w:ascii="Times New Roman" w:hAnsi="Times New Roman" w:cs="Times New Roman"/>
          <w:b/>
          <w:bCs/>
          <w:u w:val="single"/>
        </w:rPr>
        <w:t xml:space="preserve">igned by the Governor on November 21, </w:t>
      </w:r>
      <w:proofErr w:type="gramStart"/>
      <w:r w:rsidRPr="004D46EB">
        <w:rPr>
          <w:rFonts w:ascii="Times New Roman" w:hAnsi="Times New Roman" w:cs="Times New Roman"/>
          <w:b/>
          <w:bCs/>
          <w:u w:val="single"/>
        </w:rPr>
        <w:t>2025</w:t>
      </w:r>
      <w:proofErr w:type="gramEnd"/>
      <w:r>
        <w:rPr>
          <w:rFonts w:ascii="Times New Roman" w:hAnsi="Times New Roman" w:cs="Times New Roman"/>
          <w:b/>
          <w:bCs/>
          <w:u w:val="single"/>
        </w:rPr>
        <w:t xml:space="preserve"> and effective immediately</w:t>
      </w:r>
      <w:r>
        <w:rPr>
          <w:rFonts w:ascii="Times New Roman" w:hAnsi="Times New Roman" w:cs="Times New Roman"/>
        </w:rPr>
        <w:t xml:space="preserve">, </w:t>
      </w:r>
      <w:r w:rsidRPr="00F30285">
        <w:rPr>
          <w:rFonts w:ascii="Times New Roman" w:hAnsi="Times New Roman" w:cs="Times New Roman"/>
          <w:b/>
          <w:bCs/>
          <w:u w:val="single"/>
        </w:rPr>
        <w:t>amend</w:t>
      </w:r>
      <w:r>
        <w:rPr>
          <w:rFonts w:ascii="Times New Roman" w:hAnsi="Times New Roman" w:cs="Times New Roman"/>
          <w:b/>
          <w:bCs/>
          <w:u w:val="single"/>
        </w:rPr>
        <w:t>s</w:t>
      </w:r>
      <w:r>
        <w:rPr>
          <w:rFonts w:ascii="Times New Roman" w:hAnsi="Times New Roman" w:cs="Times New Roman"/>
        </w:rPr>
        <w:t xml:space="preserve"> CPLR Rule 2106.</w:t>
      </w:r>
      <w:r w:rsidRPr="00AF56FA">
        <w:rPr>
          <w:rFonts w:ascii="Times New Roman" w:hAnsi="Times New Roman" w:cs="Times New Roman"/>
          <w:b/>
          <w:bCs/>
        </w:rPr>
        <w:t xml:space="preserve"> </w:t>
      </w:r>
      <w:r>
        <w:rPr>
          <w:rFonts w:ascii="Times New Roman" w:hAnsi="Times New Roman" w:cs="Times New Roman"/>
          <w:b/>
          <w:bCs/>
        </w:rPr>
        <w:t xml:space="preserve">For an informative article, </w:t>
      </w:r>
      <w:r w:rsidRPr="00072E6C">
        <w:rPr>
          <w:rFonts w:ascii="Times New Roman" w:hAnsi="Times New Roman" w:cs="Times New Roman"/>
          <w:i/>
          <w:iCs/>
        </w:rPr>
        <w:t>see</w:t>
      </w:r>
      <w:r>
        <w:rPr>
          <w:rFonts w:ascii="Times New Roman" w:hAnsi="Times New Roman" w:cs="Times New Roman"/>
        </w:rPr>
        <w:t xml:space="preserve"> Christopher J. McNamara and Quinn </w:t>
      </w:r>
      <w:proofErr w:type="spellStart"/>
      <w:r>
        <w:rPr>
          <w:rFonts w:ascii="Times New Roman" w:hAnsi="Times New Roman" w:cs="Times New Roman"/>
        </w:rPr>
        <w:t>D’Isa</w:t>
      </w:r>
      <w:proofErr w:type="spellEnd"/>
      <w:r>
        <w:rPr>
          <w:rFonts w:ascii="Times New Roman" w:hAnsi="Times New Roman" w:cs="Times New Roman"/>
        </w:rPr>
        <w:t xml:space="preserve">, “New York Further Amends CPLR §2106, Broadening and Clarifying the Use of Affirmations in Lieu of Affidavits and Other Sworn Statements,” </w:t>
      </w:r>
      <w:r w:rsidRPr="00072E6C">
        <w:rPr>
          <w:rFonts w:ascii="Times New Roman" w:hAnsi="Times New Roman" w:cs="Times New Roman"/>
          <w:i/>
          <w:iCs/>
        </w:rPr>
        <w:t>NY Law Journal</w:t>
      </w:r>
      <w:r>
        <w:rPr>
          <w:rFonts w:ascii="Times New Roman" w:hAnsi="Times New Roman" w:cs="Times New Roman"/>
        </w:rPr>
        <w:t>, Jan. 6, 2026.</w:t>
      </w:r>
    </w:p>
    <w:p w14:paraId="5575E851" w14:textId="77777777" w:rsidR="00B0755C" w:rsidRDefault="00B0755C" w:rsidP="00B0755C">
      <w:pPr>
        <w:pStyle w:val="Heading2"/>
        <w:numPr>
          <w:ilvl w:val="0"/>
          <w:numId w:val="0"/>
        </w:numPr>
        <w:spacing w:line="240" w:lineRule="auto"/>
        <w:contextualSpacing/>
        <w:jc w:val="both"/>
        <w:rPr>
          <w:rFonts w:ascii="Times New Roman" w:hAnsi="Times New Roman" w:cs="Times New Roman"/>
        </w:rPr>
      </w:pPr>
    </w:p>
    <w:p w14:paraId="6F114187" w14:textId="0AAE9590" w:rsidR="005F1C96" w:rsidRDefault="005F1C96" w:rsidP="00B0755C">
      <w:pPr>
        <w:pStyle w:val="Heading2"/>
        <w:numPr>
          <w:ilvl w:val="0"/>
          <w:numId w:val="0"/>
        </w:numPr>
        <w:spacing w:line="240" w:lineRule="auto"/>
        <w:contextualSpacing/>
        <w:jc w:val="both"/>
        <w:rPr>
          <w:rFonts w:ascii="Times New Roman" w:hAnsi="Times New Roman" w:cs="Times New Roman"/>
          <w:b/>
          <w:bCs/>
        </w:rPr>
      </w:pPr>
      <w:r w:rsidRPr="000A5062">
        <w:rPr>
          <w:rFonts w:ascii="Times New Roman" w:hAnsi="Times New Roman" w:cs="Times New Roman"/>
          <w:b/>
          <w:bCs/>
        </w:rPr>
        <w:t>Appeals and Objections in Family Court – Service, Time Limits and Electronic Transmission</w:t>
      </w:r>
      <w:r w:rsidR="00B0755C">
        <w:rPr>
          <w:rFonts w:ascii="Times New Roman" w:hAnsi="Times New Roman" w:cs="Times New Roman"/>
          <w:b/>
          <w:bCs/>
        </w:rPr>
        <w:t xml:space="preserve"> – Article</w:t>
      </w:r>
    </w:p>
    <w:p w14:paraId="68547F33" w14:textId="77777777" w:rsidR="00B0755C" w:rsidRPr="000A5062" w:rsidRDefault="00B0755C" w:rsidP="00B0755C">
      <w:pPr>
        <w:pStyle w:val="Heading2"/>
        <w:numPr>
          <w:ilvl w:val="0"/>
          <w:numId w:val="0"/>
        </w:numPr>
        <w:spacing w:line="240" w:lineRule="auto"/>
        <w:contextualSpacing/>
        <w:jc w:val="both"/>
        <w:rPr>
          <w:b/>
          <w:bCs/>
        </w:rPr>
      </w:pPr>
    </w:p>
    <w:p w14:paraId="39C253AF" w14:textId="43748158" w:rsidR="005F1C96" w:rsidRDefault="005F1C96" w:rsidP="00B0755C">
      <w:pPr>
        <w:pStyle w:val="Heading2"/>
        <w:numPr>
          <w:ilvl w:val="0"/>
          <w:numId w:val="0"/>
        </w:numPr>
        <w:spacing w:line="240" w:lineRule="auto"/>
        <w:contextualSpacing/>
        <w:jc w:val="both"/>
        <w:rPr>
          <w:rFonts w:ascii="Times New Roman" w:hAnsi="Times New Roman" w:cs="Times New Roman"/>
        </w:rPr>
      </w:pPr>
      <w:r>
        <w:rPr>
          <w:b/>
          <w:bCs/>
        </w:rPr>
        <w:tab/>
      </w:r>
      <w:r w:rsidRPr="005F1C96">
        <w:rPr>
          <w:rFonts w:ascii="Times New Roman" w:hAnsi="Times New Roman" w:cs="Times New Roman"/>
        </w:rPr>
        <w:t xml:space="preserve">As reported in </w:t>
      </w:r>
      <w:r w:rsidR="00E22585">
        <w:rPr>
          <w:rFonts w:ascii="Times New Roman" w:hAnsi="Times New Roman" w:cs="Times New Roman"/>
        </w:rPr>
        <w:t xml:space="preserve">the </w:t>
      </w:r>
      <w:r w:rsidRPr="005F1C96">
        <w:rPr>
          <w:rFonts w:ascii="Times New Roman" w:hAnsi="Times New Roman" w:cs="Times New Roman"/>
        </w:rPr>
        <w:t xml:space="preserve">December 2025 </w:t>
      </w:r>
      <w:r w:rsidR="00CA06F9" w:rsidRPr="00CA06F9">
        <w:rPr>
          <w:rFonts w:ascii="Times New Roman" w:hAnsi="Times New Roman" w:cs="Times New Roman"/>
          <w:i/>
          <w:iCs/>
        </w:rPr>
        <w:t>Update</w:t>
      </w:r>
      <w:r>
        <w:rPr>
          <w:rFonts w:ascii="Times New Roman" w:hAnsi="Times New Roman" w:cs="Times New Roman"/>
          <w:b/>
          <w:bCs/>
        </w:rPr>
        <w:t xml:space="preserve">, </w:t>
      </w:r>
      <w:r>
        <w:rPr>
          <w:rFonts w:ascii="Times New Roman" w:hAnsi="Times New Roman" w:cs="Times New Roman"/>
        </w:rPr>
        <w:t xml:space="preserve">FCA </w:t>
      </w:r>
      <w:r w:rsidRPr="00A370B4">
        <w:rPr>
          <w:rFonts w:ascii="Times New Roman" w:hAnsi="Times New Roman" w:cs="Times New Roman"/>
        </w:rPr>
        <w:t>§§</w:t>
      </w:r>
      <w:r>
        <w:rPr>
          <w:rFonts w:ascii="Times New Roman" w:hAnsi="Times New Roman" w:cs="Times New Roman"/>
        </w:rPr>
        <w:t xml:space="preserve">439(e) and 1113 </w:t>
      </w:r>
      <w:r w:rsidRPr="005F1C96">
        <w:rPr>
          <w:rFonts w:ascii="Times New Roman" w:hAnsi="Times New Roman" w:cs="Times New Roman"/>
          <w:b/>
          <w:bCs/>
          <w:u w:val="single"/>
        </w:rPr>
        <w:t>are amended</w:t>
      </w:r>
      <w:r>
        <w:rPr>
          <w:rFonts w:ascii="Times New Roman" w:hAnsi="Times New Roman" w:cs="Times New Roman"/>
        </w:rPr>
        <w:t xml:space="preserve"> </w:t>
      </w:r>
      <w:r w:rsidRPr="0000020B">
        <w:rPr>
          <w:rFonts w:ascii="Times New Roman" w:hAnsi="Times New Roman" w:cs="Times New Roman"/>
          <w:b/>
          <w:bCs/>
          <w:u w:val="single"/>
        </w:rPr>
        <w:lastRenderedPageBreak/>
        <w:t>effective March 21, 2026</w:t>
      </w:r>
      <w:r>
        <w:rPr>
          <w:rFonts w:ascii="Times New Roman" w:hAnsi="Times New Roman" w:cs="Times New Roman"/>
        </w:rPr>
        <w:t xml:space="preserve">. A.08298/S.08176, Laws of 2025, Ch. 534. </w:t>
      </w:r>
      <w:r w:rsidRPr="00675374">
        <w:rPr>
          <w:rFonts w:ascii="Times New Roman" w:hAnsi="Times New Roman" w:cs="Times New Roman"/>
          <w:b/>
          <w:bCs/>
          <w:u w:val="single"/>
        </w:rPr>
        <w:t>For an informative article,</w:t>
      </w:r>
      <w:r>
        <w:rPr>
          <w:rFonts w:ascii="Times New Roman" w:hAnsi="Times New Roman" w:cs="Times New Roman"/>
        </w:rPr>
        <w:t xml:space="preserve"> </w:t>
      </w:r>
      <w:r w:rsidRPr="00675374">
        <w:rPr>
          <w:rFonts w:ascii="Times New Roman" w:hAnsi="Times New Roman" w:cs="Times New Roman"/>
          <w:i/>
          <w:iCs/>
        </w:rPr>
        <w:t>see</w:t>
      </w:r>
      <w:r>
        <w:rPr>
          <w:rFonts w:ascii="Times New Roman" w:hAnsi="Times New Roman" w:cs="Times New Roman"/>
        </w:rPr>
        <w:t xml:space="preserve"> Cynthia Feathers, “New Law Clarifies Process for Family Court Appeals,” </w:t>
      </w:r>
      <w:r w:rsidRPr="00675374">
        <w:rPr>
          <w:rFonts w:ascii="Times New Roman" w:hAnsi="Times New Roman" w:cs="Times New Roman"/>
          <w:i/>
          <w:iCs/>
        </w:rPr>
        <w:t>NY Law Journal</w:t>
      </w:r>
      <w:r>
        <w:rPr>
          <w:rFonts w:ascii="Times New Roman" w:hAnsi="Times New Roman" w:cs="Times New Roman"/>
        </w:rPr>
        <w:t>, Jan. 15, 2026.</w:t>
      </w:r>
    </w:p>
    <w:p w14:paraId="6F9937FD" w14:textId="77777777" w:rsidR="00B0755C" w:rsidRDefault="00B0755C" w:rsidP="00B0755C">
      <w:pPr>
        <w:pStyle w:val="Heading2"/>
        <w:numPr>
          <w:ilvl w:val="0"/>
          <w:numId w:val="0"/>
        </w:numPr>
        <w:spacing w:line="240" w:lineRule="auto"/>
        <w:contextualSpacing/>
        <w:jc w:val="both"/>
        <w:rPr>
          <w:rFonts w:ascii="Times New Roman" w:hAnsi="Times New Roman" w:cs="Times New Roman"/>
        </w:rPr>
      </w:pPr>
    </w:p>
    <w:p w14:paraId="54A6BF0B" w14:textId="2D9FA203" w:rsidR="0038544A" w:rsidRDefault="0038544A" w:rsidP="00B0755C">
      <w:pPr>
        <w:pStyle w:val="Heading2"/>
        <w:numPr>
          <w:ilvl w:val="0"/>
          <w:numId w:val="0"/>
        </w:numPr>
        <w:spacing w:line="240" w:lineRule="auto"/>
        <w:contextualSpacing/>
        <w:rPr>
          <w:rFonts w:ascii="Times New Roman" w:hAnsi="Times New Roman" w:cs="Times New Roman"/>
          <w:b/>
          <w:bCs/>
        </w:rPr>
      </w:pPr>
      <w:r w:rsidRPr="00D32919">
        <w:rPr>
          <w:rFonts w:ascii="Times New Roman" w:hAnsi="Times New Roman" w:cs="Times New Roman"/>
          <w:b/>
          <w:bCs/>
        </w:rPr>
        <w:t>Generative Artificial Intelligence</w:t>
      </w:r>
      <w:r w:rsidR="00B0755C">
        <w:rPr>
          <w:rFonts w:ascii="Times New Roman" w:hAnsi="Times New Roman" w:cs="Times New Roman"/>
          <w:b/>
          <w:bCs/>
        </w:rPr>
        <w:t xml:space="preserve"> – News Release</w:t>
      </w:r>
    </w:p>
    <w:p w14:paraId="0108CA5E" w14:textId="77777777" w:rsidR="00B0755C" w:rsidRPr="00D32919" w:rsidRDefault="00B0755C" w:rsidP="00B0755C">
      <w:pPr>
        <w:pStyle w:val="Heading2"/>
        <w:numPr>
          <w:ilvl w:val="0"/>
          <w:numId w:val="0"/>
        </w:numPr>
        <w:spacing w:line="240" w:lineRule="auto"/>
        <w:contextualSpacing/>
        <w:rPr>
          <w:b/>
          <w:bCs/>
        </w:rPr>
      </w:pPr>
    </w:p>
    <w:p w14:paraId="20A0D20B" w14:textId="4D905204" w:rsidR="0038544A" w:rsidRDefault="0038544A" w:rsidP="00B0755C">
      <w:pPr>
        <w:pStyle w:val="Heading2"/>
        <w:numPr>
          <w:ilvl w:val="0"/>
          <w:numId w:val="0"/>
        </w:numPr>
        <w:spacing w:line="240" w:lineRule="auto"/>
        <w:contextualSpacing/>
        <w:jc w:val="both"/>
      </w:pPr>
      <w:r>
        <w:rPr>
          <w:rFonts w:ascii="Times New Roman" w:hAnsi="Times New Roman" w:cs="Times New Roman"/>
          <w:b/>
          <w:bCs/>
        </w:rPr>
        <w:tab/>
      </w:r>
      <w:r>
        <w:rPr>
          <w:rFonts w:ascii="Times New Roman" w:hAnsi="Times New Roman" w:cs="Times New Roman"/>
        </w:rPr>
        <w:t xml:space="preserve">As reported in </w:t>
      </w:r>
      <w:proofErr w:type="gramStart"/>
      <w:r>
        <w:rPr>
          <w:rFonts w:ascii="Times New Roman" w:hAnsi="Times New Roman" w:cs="Times New Roman"/>
        </w:rPr>
        <w:t>th</w:t>
      </w:r>
      <w:r w:rsidR="00E22585">
        <w:rPr>
          <w:rFonts w:ascii="Times New Roman" w:hAnsi="Times New Roman" w:cs="Times New Roman"/>
        </w:rPr>
        <w:t xml:space="preserve">e </w:t>
      </w:r>
      <w:r>
        <w:rPr>
          <w:rFonts w:ascii="Times New Roman" w:hAnsi="Times New Roman" w:cs="Times New Roman"/>
        </w:rPr>
        <w:t>January</w:t>
      </w:r>
      <w:proofErr w:type="gramEnd"/>
      <w:r>
        <w:rPr>
          <w:rFonts w:ascii="Times New Roman" w:hAnsi="Times New Roman" w:cs="Times New Roman"/>
        </w:rPr>
        <w:t xml:space="preserve"> 2026 </w:t>
      </w:r>
      <w:r w:rsidRPr="0038544A">
        <w:rPr>
          <w:rFonts w:ascii="Times New Roman" w:hAnsi="Times New Roman" w:cs="Times New Roman"/>
          <w:i/>
          <w:iCs/>
        </w:rPr>
        <w:t>Bulletin</w:t>
      </w:r>
      <w:r>
        <w:rPr>
          <w:rFonts w:ascii="Times New Roman" w:hAnsi="Times New Roman" w:cs="Times New Roman"/>
        </w:rPr>
        <w:t xml:space="preserve">, there is a proposal to add a new Part 161 to the Rules of the Chief Administrator of the Courts regarding the use of generative artificial intelligence in preparing court documents. </w:t>
      </w:r>
      <w:hyperlink r:id="rId7" w:history="1">
        <w:r w:rsidRPr="00D32919">
          <w:rPr>
            <w:rStyle w:val="Hyperlink"/>
            <w:rFonts w:ascii="Times New Roman" w:hAnsi="Times New Roman" w:cs="Times New Roman"/>
          </w:rPr>
          <w:t>RequestForPublicComment-GenerativeArtificialIntelligence-111725.pdf</w:t>
        </w:r>
      </w:hyperlink>
      <w:r>
        <w:rPr>
          <w:rFonts w:ascii="Times New Roman" w:hAnsi="Times New Roman" w:cs="Times New Roman"/>
        </w:rPr>
        <w:t xml:space="preserve">  </w:t>
      </w:r>
      <w:r>
        <w:rPr>
          <w:rFonts w:ascii="Times New Roman" w:hAnsi="Times New Roman" w:cs="Times New Roman"/>
          <w:b/>
          <w:bCs/>
        </w:rPr>
        <w:t xml:space="preserve">Further information </w:t>
      </w:r>
      <w:r>
        <w:rPr>
          <w:rFonts w:ascii="Times New Roman" w:hAnsi="Times New Roman" w:cs="Times New Roman"/>
        </w:rPr>
        <w:t xml:space="preserve">on the subject is found at </w:t>
      </w:r>
      <w:r w:rsidRPr="00283B11">
        <w:rPr>
          <w:rFonts w:ascii="Times New Roman" w:hAnsi="Times New Roman" w:cs="Times New Roman"/>
          <w:i/>
          <w:iCs/>
        </w:rPr>
        <w:t>News Release</w:t>
      </w:r>
      <w:r>
        <w:rPr>
          <w:rFonts w:ascii="Times New Roman" w:hAnsi="Times New Roman" w:cs="Times New Roman"/>
        </w:rPr>
        <w:t xml:space="preserve">, “Advisory Committee on AI and the Courts Issues Inaugural Annual Report,” NYS Unified Court System, January 8, 2026, which is found at </w:t>
      </w:r>
      <w:hyperlink r:id="rId8" w:history="1">
        <w:r w:rsidRPr="00283B11">
          <w:rPr>
            <w:rStyle w:val="Hyperlink"/>
            <w:rFonts w:ascii="Times New Roman" w:hAnsi="Times New Roman" w:cs="Times New Roman"/>
          </w:rPr>
          <w:t>Advisory Committee on AI and the Courts Issues Inaugural Annual Report</w:t>
        </w:r>
      </w:hyperlink>
      <w:r w:rsidR="005F1C96">
        <w:t>.</w:t>
      </w:r>
    </w:p>
    <w:p w14:paraId="4CDAED41" w14:textId="77777777" w:rsidR="00B0755C" w:rsidRDefault="00B0755C" w:rsidP="00B0755C">
      <w:pPr>
        <w:pStyle w:val="Heading2"/>
        <w:numPr>
          <w:ilvl w:val="0"/>
          <w:numId w:val="0"/>
        </w:numPr>
        <w:spacing w:line="240" w:lineRule="auto"/>
        <w:contextualSpacing/>
        <w:jc w:val="both"/>
      </w:pPr>
    </w:p>
    <w:p w14:paraId="20C24D7B" w14:textId="77777777" w:rsidR="005F1C96" w:rsidRDefault="005F1C96" w:rsidP="00B0755C">
      <w:pPr>
        <w:pStyle w:val="Heading2"/>
        <w:numPr>
          <w:ilvl w:val="0"/>
          <w:numId w:val="0"/>
        </w:numPr>
        <w:spacing w:line="240" w:lineRule="auto"/>
        <w:contextualSpacing/>
        <w:jc w:val="both"/>
        <w:rPr>
          <w:rFonts w:ascii="Times New Roman" w:hAnsi="Times New Roman" w:cs="Times New Roman"/>
          <w:b/>
          <w:bCs/>
        </w:rPr>
      </w:pPr>
      <w:r w:rsidRPr="002C125C">
        <w:rPr>
          <w:rFonts w:ascii="Times New Roman" w:hAnsi="Times New Roman" w:cs="Times New Roman"/>
          <w:b/>
          <w:bCs/>
        </w:rPr>
        <w:t>Mental Health Professionals Panels and Oversight Committees – Revised and New Appellate Division Rules</w:t>
      </w:r>
    </w:p>
    <w:p w14:paraId="27E6AAE5" w14:textId="77777777" w:rsidR="005F1C96" w:rsidRPr="002C125C" w:rsidRDefault="005F1C96" w:rsidP="00B0755C">
      <w:pPr>
        <w:pStyle w:val="Heading2"/>
        <w:numPr>
          <w:ilvl w:val="0"/>
          <w:numId w:val="0"/>
        </w:numPr>
        <w:spacing w:line="240" w:lineRule="auto"/>
        <w:contextualSpacing/>
        <w:rPr>
          <w:b/>
          <w:bCs/>
        </w:rPr>
      </w:pPr>
    </w:p>
    <w:p w14:paraId="009C7FCA" w14:textId="3AFD898D" w:rsidR="00C83062" w:rsidRDefault="005F1C96" w:rsidP="00B0755C">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ab/>
      </w:r>
      <w:r w:rsidR="00E93D79">
        <w:rPr>
          <w:rFonts w:ascii="Times New Roman" w:hAnsi="Times New Roman" w:cs="Times New Roman"/>
        </w:rPr>
        <w:t>I</w:t>
      </w:r>
      <w:r>
        <w:rPr>
          <w:rFonts w:ascii="Times New Roman" w:hAnsi="Times New Roman" w:cs="Times New Roman"/>
        </w:rPr>
        <w:t xml:space="preserve">n </w:t>
      </w:r>
      <w:r w:rsidR="00E93D79">
        <w:rPr>
          <w:rFonts w:ascii="Times New Roman" w:hAnsi="Times New Roman" w:cs="Times New Roman"/>
        </w:rPr>
        <w:t xml:space="preserve">March </w:t>
      </w:r>
      <w:r>
        <w:rPr>
          <w:rFonts w:ascii="Times New Roman" w:hAnsi="Times New Roman" w:cs="Times New Roman"/>
        </w:rPr>
        <w:t>2024, the Administrative Board of the Courts issued a “R</w:t>
      </w:r>
      <w:r w:rsidRPr="002C125C">
        <w:rPr>
          <w:rFonts w:ascii="Times New Roman" w:hAnsi="Times New Roman" w:cs="Times New Roman"/>
        </w:rPr>
        <w:t xml:space="preserve">equest for Public Comment on proposed amendments to Parts 623 and 680, and the addition of new Parts 825 and </w:t>
      </w:r>
      <w:proofErr w:type="gramStart"/>
      <w:r w:rsidRPr="002C125C">
        <w:rPr>
          <w:rFonts w:ascii="Times New Roman" w:hAnsi="Times New Roman" w:cs="Times New Roman"/>
        </w:rPr>
        <w:t>1024,</w:t>
      </w:r>
      <w:proofErr w:type="gramEnd"/>
      <w:r w:rsidRPr="002C125C">
        <w:rPr>
          <w:rFonts w:ascii="Times New Roman" w:hAnsi="Times New Roman" w:cs="Times New Roman"/>
        </w:rPr>
        <w:t xml:space="preserve"> of the Rules of the Appellate Divisions, relating to mental health professionals panels</w:t>
      </w:r>
      <w:r>
        <w:rPr>
          <w:rFonts w:ascii="Times New Roman" w:hAnsi="Times New Roman" w:cs="Times New Roman"/>
        </w:rPr>
        <w:t>.” (</w:t>
      </w:r>
      <w:r w:rsidRPr="008D7D4C">
        <w:rPr>
          <w:rFonts w:ascii="Times New Roman" w:hAnsi="Times New Roman" w:cs="Times New Roman"/>
        </w:rPr>
        <w:t xml:space="preserve">Memorandum of David </w:t>
      </w:r>
      <w:proofErr w:type="spellStart"/>
      <w:r w:rsidRPr="008D7D4C">
        <w:rPr>
          <w:rFonts w:ascii="Times New Roman" w:hAnsi="Times New Roman" w:cs="Times New Roman"/>
        </w:rPr>
        <w:t>Nocenti</w:t>
      </w:r>
      <w:proofErr w:type="spellEnd"/>
      <w:r w:rsidRPr="008D7D4C">
        <w:rPr>
          <w:rFonts w:ascii="Times New Roman" w:hAnsi="Times New Roman" w:cs="Times New Roman"/>
        </w:rPr>
        <w:t xml:space="preserve">, Esq., Counsel, NYS Unified Court System, dated </w:t>
      </w:r>
      <w:r>
        <w:rPr>
          <w:rFonts w:ascii="Times New Roman" w:hAnsi="Times New Roman" w:cs="Times New Roman"/>
        </w:rPr>
        <w:t xml:space="preserve">March 4, </w:t>
      </w:r>
      <w:proofErr w:type="gramStart"/>
      <w:r>
        <w:rPr>
          <w:rFonts w:ascii="Times New Roman" w:hAnsi="Times New Roman" w:cs="Times New Roman"/>
        </w:rPr>
        <w:t>2024</w:t>
      </w:r>
      <w:proofErr w:type="gramEnd"/>
      <w:r w:rsidRPr="008D7D4C">
        <w:rPr>
          <w:rFonts w:ascii="Times New Roman" w:hAnsi="Times New Roman" w:cs="Times New Roman"/>
        </w:rPr>
        <w:t xml:space="preserve"> at 1). For the complete text and proposed amendments,</w:t>
      </w:r>
      <w:r>
        <w:rPr>
          <w:rFonts w:ascii="Times New Roman" w:hAnsi="Times New Roman" w:cs="Times New Roman"/>
        </w:rPr>
        <w:t xml:space="preserve"> see </w:t>
      </w:r>
      <w:hyperlink r:id="rId9" w:history="1">
        <w:r w:rsidRPr="002C125C">
          <w:rPr>
            <w:rStyle w:val="Hyperlink"/>
            <w:rFonts w:ascii="Times New Roman" w:hAnsi="Times New Roman" w:cs="Times New Roman"/>
          </w:rPr>
          <w:t>MentalHealthProfessionalsPanels.pdf</w:t>
        </w:r>
      </w:hyperlink>
      <w:r>
        <w:rPr>
          <w:rFonts w:ascii="Times New Roman" w:hAnsi="Times New Roman" w:cs="Times New Roman"/>
        </w:rPr>
        <w:t xml:space="preserve">.  </w:t>
      </w:r>
      <w:r w:rsidR="00B0755C">
        <w:rPr>
          <w:rFonts w:ascii="Times New Roman" w:hAnsi="Times New Roman" w:cs="Times New Roman"/>
        </w:rPr>
        <w:t>T</w:t>
      </w:r>
      <w:r>
        <w:rPr>
          <w:rFonts w:ascii="Times New Roman" w:hAnsi="Times New Roman" w:cs="Times New Roman"/>
        </w:rPr>
        <w:t xml:space="preserve">he Second Department has posted its new 22 NYCCR Part 680: </w:t>
      </w:r>
      <w:hyperlink r:id="rId10" w:history="1">
        <w:r w:rsidRPr="00367EAE">
          <w:rPr>
            <w:rStyle w:val="Hyperlink"/>
            <w:rFonts w:ascii="Times New Roman" w:hAnsi="Times New Roman" w:cs="Times New Roman"/>
          </w:rPr>
          <w:t>22_NYCRR_PART_680.pdf</w:t>
        </w:r>
      </w:hyperlink>
      <w:r w:rsidRPr="00367EAE">
        <w:rPr>
          <w:rFonts w:ascii="Times New Roman" w:hAnsi="Times New Roman" w:cs="Times New Roman"/>
        </w:rPr>
        <w:t xml:space="preserve"> </w:t>
      </w:r>
      <w:r>
        <w:rPr>
          <w:rFonts w:ascii="Times New Roman" w:hAnsi="Times New Roman" w:cs="Times New Roman"/>
        </w:rPr>
        <w:t>and the Third Department announce</w:t>
      </w:r>
      <w:r w:rsidR="00B0755C">
        <w:rPr>
          <w:rFonts w:ascii="Times New Roman" w:hAnsi="Times New Roman" w:cs="Times New Roman"/>
        </w:rPr>
        <w:t>d</w:t>
      </w:r>
      <w:r>
        <w:rPr>
          <w:rFonts w:ascii="Times New Roman" w:hAnsi="Times New Roman" w:cs="Times New Roman"/>
        </w:rPr>
        <w:t xml:space="preserve"> the enactment of new 22 NYCRR Part 825 on the subject: </w:t>
      </w:r>
      <w:hyperlink r:id="rId11" w:history="1">
        <w:r w:rsidRPr="00FA74E9">
          <w:rPr>
            <w:rStyle w:val="Hyperlink"/>
            <w:rFonts w:ascii="Times New Roman" w:hAnsi="Times New Roman" w:cs="Times New Roman"/>
          </w:rPr>
          <w:t>05-02-2025-Amendments-to-Rules-of-the-Appellate-Division-Third-Dept.pdf</w:t>
        </w:r>
      </w:hyperlink>
      <w:r>
        <w:rPr>
          <w:rFonts w:ascii="Times New Roman" w:hAnsi="Times New Roman" w:cs="Times New Roman"/>
        </w:rPr>
        <w:t xml:space="preserve">. Finally, a memo was issued on December 1, </w:t>
      </w:r>
      <w:proofErr w:type="gramStart"/>
      <w:r>
        <w:rPr>
          <w:rFonts w:ascii="Times New Roman" w:hAnsi="Times New Roman" w:cs="Times New Roman"/>
        </w:rPr>
        <w:t>2025</w:t>
      </w:r>
      <w:proofErr w:type="gramEnd"/>
      <w:r>
        <w:rPr>
          <w:rFonts w:ascii="Times New Roman" w:hAnsi="Times New Roman" w:cs="Times New Roman"/>
        </w:rPr>
        <w:t xml:space="preserve"> on this subject by the Statewide Coordinating Judges for Matrimonial and Family Court Matters, respectively</w:t>
      </w:r>
      <w:r w:rsidR="00CC42FA">
        <w:rPr>
          <w:rFonts w:ascii="Times New Roman" w:hAnsi="Times New Roman" w:cs="Times New Roman"/>
        </w:rPr>
        <w:t>.</w:t>
      </w:r>
    </w:p>
    <w:p w14:paraId="22D08FCE" w14:textId="7BE0E837" w:rsidR="00FD6C82" w:rsidRDefault="00FD6C82" w:rsidP="00FD6C82">
      <w:pPr>
        <w:pStyle w:val="Heading2"/>
        <w:numPr>
          <w:ilvl w:val="0"/>
          <w:numId w:val="0"/>
        </w:numPr>
        <w:spacing w:line="240" w:lineRule="auto"/>
        <w:contextualSpacing/>
        <w:jc w:val="both"/>
        <w:rPr>
          <w:rFonts w:ascii="Times New Roman" w:hAnsi="Times New Roman" w:cs="Times New Roman"/>
          <w:b/>
          <w:bCs/>
          <w:u w:val="single"/>
        </w:rPr>
      </w:pPr>
    </w:p>
    <w:sectPr w:rsidR="00FD6C82" w:rsidSect="00817AF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D7CED" w14:textId="77777777" w:rsidR="008A3BB9" w:rsidRDefault="008A3BB9" w:rsidP="0013568D">
      <w:pPr>
        <w:spacing w:after="0" w:line="240" w:lineRule="auto"/>
      </w:pPr>
      <w:r>
        <w:separator/>
      </w:r>
    </w:p>
  </w:endnote>
  <w:endnote w:type="continuationSeparator" w:id="0">
    <w:p w14:paraId="39B6354E" w14:textId="77777777" w:rsidR="008A3BB9" w:rsidRDefault="008A3BB9" w:rsidP="0013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533471"/>
      <w:docPartObj>
        <w:docPartGallery w:val="Page Numbers (Bottom of Page)"/>
        <w:docPartUnique/>
      </w:docPartObj>
    </w:sdtPr>
    <w:sdtEndPr/>
    <w:sdtContent>
      <w:sdt>
        <w:sdtPr>
          <w:rPr>
            <w:b/>
            <w:bCs/>
            <w:i/>
            <w:iCs/>
          </w:rPr>
          <w:id w:val="-1769616900"/>
          <w:docPartObj>
            <w:docPartGallery w:val="Page Numbers (Top of Page)"/>
            <w:docPartUnique/>
          </w:docPartObj>
        </w:sdtPr>
        <w:sdtEndPr>
          <w:rPr>
            <w:b w:val="0"/>
            <w:bCs w:val="0"/>
            <w:i w:val="0"/>
            <w:iCs w:val="0"/>
          </w:rPr>
        </w:sdtEndPr>
        <w:sdtContent>
          <w:p w14:paraId="550BA402" w14:textId="398FC3F3" w:rsidR="0013568D" w:rsidRDefault="00CA06F9">
            <w:pPr>
              <w:pStyle w:val="Footer"/>
              <w:jc w:val="right"/>
            </w:pPr>
            <w:r>
              <w:rPr>
                <w:b/>
                <w:bCs/>
                <w:i/>
                <w:iCs/>
              </w:rPr>
              <w:t>NYSBA Family Law Section Update</w:t>
            </w:r>
            <w:r w:rsidR="00601F22">
              <w:rPr>
                <w:b/>
                <w:bCs/>
                <w:i/>
                <w:iCs/>
              </w:rPr>
              <w:t>,</w:t>
            </w:r>
            <w:r w:rsidR="00013D0E" w:rsidRPr="00351E36">
              <w:rPr>
                <w:b/>
                <w:bCs/>
                <w:i/>
                <w:iCs/>
              </w:rPr>
              <w:t xml:space="preserve"> </w:t>
            </w:r>
            <w:r w:rsidR="00C83062">
              <w:rPr>
                <w:b/>
                <w:bCs/>
                <w:i/>
                <w:iCs/>
              </w:rPr>
              <w:t>February</w:t>
            </w:r>
            <w:r w:rsidR="00053972">
              <w:rPr>
                <w:b/>
                <w:bCs/>
                <w:i/>
                <w:iCs/>
              </w:rPr>
              <w:t xml:space="preserve"> 2026</w:t>
            </w:r>
            <w:r w:rsidR="00434674">
              <w:t xml:space="preserve">         </w:t>
            </w:r>
            <w:r w:rsidR="0013568D">
              <w:t xml:space="preserve">Page </w:t>
            </w:r>
            <w:r w:rsidR="0013568D">
              <w:rPr>
                <w:b/>
                <w:bCs/>
                <w:sz w:val="24"/>
                <w:szCs w:val="24"/>
              </w:rPr>
              <w:fldChar w:fldCharType="begin"/>
            </w:r>
            <w:r w:rsidR="0013568D">
              <w:rPr>
                <w:b/>
                <w:bCs/>
              </w:rPr>
              <w:instrText xml:space="preserve"> PAGE </w:instrText>
            </w:r>
            <w:r w:rsidR="0013568D">
              <w:rPr>
                <w:b/>
                <w:bCs/>
                <w:sz w:val="24"/>
                <w:szCs w:val="24"/>
              </w:rPr>
              <w:fldChar w:fldCharType="separate"/>
            </w:r>
            <w:r w:rsidR="0013568D">
              <w:rPr>
                <w:b/>
                <w:bCs/>
                <w:noProof/>
              </w:rPr>
              <w:t>2</w:t>
            </w:r>
            <w:r w:rsidR="0013568D">
              <w:rPr>
                <w:b/>
                <w:bCs/>
                <w:sz w:val="24"/>
                <w:szCs w:val="24"/>
              </w:rPr>
              <w:fldChar w:fldCharType="end"/>
            </w:r>
            <w:r w:rsidR="0013568D">
              <w:t xml:space="preserve"> of </w:t>
            </w:r>
            <w:r w:rsidR="0013568D">
              <w:rPr>
                <w:b/>
                <w:bCs/>
                <w:sz w:val="24"/>
                <w:szCs w:val="24"/>
              </w:rPr>
              <w:fldChar w:fldCharType="begin"/>
            </w:r>
            <w:r w:rsidR="0013568D">
              <w:rPr>
                <w:b/>
                <w:bCs/>
              </w:rPr>
              <w:instrText xml:space="preserve"> NUMPAGES  </w:instrText>
            </w:r>
            <w:r w:rsidR="0013568D">
              <w:rPr>
                <w:b/>
                <w:bCs/>
                <w:sz w:val="24"/>
                <w:szCs w:val="24"/>
              </w:rPr>
              <w:fldChar w:fldCharType="separate"/>
            </w:r>
            <w:r w:rsidR="0013568D">
              <w:rPr>
                <w:b/>
                <w:bCs/>
                <w:noProof/>
              </w:rPr>
              <w:t>2</w:t>
            </w:r>
            <w:r w:rsidR="0013568D">
              <w:rPr>
                <w:b/>
                <w:bCs/>
                <w:sz w:val="24"/>
                <w:szCs w:val="24"/>
              </w:rPr>
              <w:fldChar w:fldCharType="end"/>
            </w:r>
          </w:p>
        </w:sdtContent>
      </w:sdt>
    </w:sdtContent>
  </w:sdt>
  <w:p w14:paraId="1E4FB95E" w14:textId="77777777" w:rsidR="0013568D" w:rsidRDefault="00135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3486F" w14:textId="77777777" w:rsidR="008A3BB9" w:rsidRDefault="008A3BB9" w:rsidP="0013568D">
      <w:pPr>
        <w:spacing w:after="0" w:line="240" w:lineRule="auto"/>
      </w:pPr>
      <w:r>
        <w:separator/>
      </w:r>
    </w:p>
  </w:footnote>
  <w:footnote w:type="continuationSeparator" w:id="0">
    <w:p w14:paraId="734EACFF" w14:textId="77777777" w:rsidR="008A3BB9" w:rsidRDefault="008A3BB9" w:rsidP="00135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 w:numId="2" w16cid:durableId="120194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16cid:durableId="188220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16cid:durableId="1385525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1017078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16cid:durableId="1751003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200634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00250"/>
    <w:rsid w:val="0000028D"/>
    <w:rsid w:val="00002466"/>
    <w:rsid w:val="00002FED"/>
    <w:rsid w:val="00013D0E"/>
    <w:rsid w:val="000213AD"/>
    <w:rsid w:val="00022EF5"/>
    <w:rsid w:val="00023CA9"/>
    <w:rsid w:val="000254B3"/>
    <w:rsid w:val="00026D0C"/>
    <w:rsid w:val="00030500"/>
    <w:rsid w:val="00030C5E"/>
    <w:rsid w:val="00030E7B"/>
    <w:rsid w:val="000322B8"/>
    <w:rsid w:val="00032EA3"/>
    <w:rsid w:val="00033C3A"/>
    <w:rsid w:val="000401CE"/>
    <w:rsid w:val="000404FD"/>
    <w:rsid w:val="00041C00"/>
    <w:rsid w:val="00047D19"/>
    <w:rsid w:val="00047F89"/>
    <w:rsid w:val="00051512"/>
    <w:rsid w:val="00051F5B"/>
    <w:rsid w:val="00052C0D"/>
    <w:rsid w:val="00053286"/>
    <w:rsid w:val="000532D9"/>
    <w:rsid w:val="00053972"/>
    <w:rsid w:val="000540AA"/>
    <w:rsid w:val="000551E0"/>
    <w:rsid w:val="0005543C"/>
    <w:rsid w:val="000567CA"/>
    <w:rsid w:val="00060F94"/>
    <w:rsid w:val="0006190F"/>
    <w:rsid w:val="0006218A"/>
    <w:rsid w:val="000625A6"/>
    <w:rsid w:val="00062CD7"/>
    <w:rsid w:val="000654AE"/>
    <w:rsid w:val="00066217"/>
    <w:rsid w:val="00066226"/>
    <w:rsid w:val="000662E8"/>
    <w:rsid w:val="00066D9F"/>
    <w:rsid w:val="0006780C"/>
    <w:rsid w:val="000700E4"/>
    <w:rsid w:val="00071082"/>
    <w:rsid w:val="00071B05"/>
    <w:rsid w:val="00073930"/>
    <w:rsid w:val="0007559B"/>
    <w:rsid w:val="00076A51"/>
    <w:rsid w:val="00076AAD"/>
    <w:rsid w:val="0008087F"/>
    <w:rsid w:val="000827AF"/>
    <w:rsid w:val="00083375"/>
    <w:rsid w:val="00084F76"/>
    <w:rsid w:val="00085BF5"/>
    <w:rsid w:val="00086653"/>
    <w:rsid w:val="000905EB"/>
    <w:rsid w:val="0009096F"/>
    <w:rsid w:val="00091F6C"/>
    <w:rsid w:val="00093E1C"/>
    <w:rsid w:val="00095C78"/>
    <w:rsid w:val="00096BC4"/>
    <w:rsid w:val="00097CD9"/>
    <w:rsid w:val="000A116B"/>
    <w:rsid w:val="000A1F2F"/>
    <w:rsid w:val="000A6E42"/>
    <w:rsid w:val="000B032A"/>
    <w:rsid w:val="000B21E3"/>
    <w:rsid w:val="000B536B"/>
    <w:rsid w:val="000B5F96"/>
    <w:rsid w:val="000B64E3"/>
    <w:rsid w:val="000C0C43"/>
    <w:rsid w:val="000C1A7B"/>
    <w:rsid w:val="000C5DFF"/>
    <w:rsid w:val="000C785E"/>
    <w:rsid w:val="000D0CED"/>
    <w:rsid w:val="000D0EE5"/>
    <w:rsid w:val="000D110E"/>
    <w:rsid w:val="000D1406"/>
    <w:rsid w:val="000D2940"/>
    <w:rsid w:val="000D4808"/>
    <w:rsid w:val="000D69D6"/>
    <w:rsid w:val="000D6BCA"/>
    <w:rsid w:val="000D7ADC"/>
    <w:rsid w:val="000E242F"/>
    <w:rsid w:val="000F050B"/>
    <w:rsid w:val="000F1214"/>
    <w:rsid w:val="000F2339"/>
    <w:rsid w:val="000F286B"/>
    <w:rsid w:val="000F3158"/>
    <w:rsid w:val="000F3A58"/>
    <w:rsid w:val="000F47EE"/>
    <w:rsid w:val="000F5206"/>
    <w:rsid w:val="0010284B"/>
    <w:rsid w:val="00105466"/>
    <w:rsid w:val="00105BF2"/>
    <w:rsid w:val="00105D6C"/>
    <w:rsid w:val="00107716"/>
    <w:rsid w:val="0011039E"/>
    <w:rsid w:val="00110B69"/>
    <w:rsid w:val="00111B35"/>
    <w:rsid w:val="0011428F"/>
    <w:rsid w:val="001157D6"/>
    <w:rsid w:val="00116A8B"/>
    <w:rsid w:val="001240AB"/>
    <w:rsid w:val="001248D2"/>
    <w:rsid w:val="001258E1"/>
    <w:rsid w:val="001261EF"/>
    <w:rsid w:val="001270FF"/>
    <w:rsid w:val="0013228F"/>
    <w:rsid w:val="001334B5"/>
    <w:rsid w:val="00133775"/>
    <w:rsid w:val="00135004"/>
    <w:rsid w:val="0013568D"/>
    <w:rsid w:val="001372A1"/>
    <w:rsid w:val="00137E75"/>
    <w:rsid w:val="0014019F"/>
    <w:rsid w:val="001423A0"/>
    <w:rsid w:val="00142D95"/>
    <w:rsid w:val="00144E14"/>
    <w:rsid w:val="00147B98"/>
    <w:rsid w:val="001611AD"/>
    <w:rsid w:val="001626DE"/>
    <w:rsid w:val="00162DC8"/>
    <w:rsid w:val="00164586"/>
    <w:rsid w:val="0016480B"/>
    <w:rsid w:val="00166C26"/>
    <w:rsid w:val="001710F3"/>
    <w:rsid w:val="00171E6E"/>
    <w:rsid w:val="001758DF"/>
    <w:rsid w:val="00176799"/>
    <w:rsid w:val="00177866"/>
    <w:rsid w:val="0018302A"/>
    <w:rsid w:val="00186704"/>
    <w:rsid w:val="001903F1"/>
    <w:rsid w:val="00191BDF"/>
    <w:rsid w:val="00191C80"/>
    <w:rsid w:val="001927B1"/>
    <w:rsid w:val="00192EA0"/>
    <w:rsid w:val="0019396E"/>
    <w:rsid w:val="00195367"/>
    <w:rsid w:val="00196B70"/>
    <w:rsid w:val="00197828"/>
    <w:rsid w:val="00197BE1"/>
    <w:rsid w:val="001A37A7"/>
    <w:rsid w:val="001A41F3"/>
    <w:rsid w:val="001A59EF"/>
    <w:rsid w:val="001A729B"/>
    <w:rsid w:val="001B09C1"/>
    <w:rsid w:val="001B1566"/>
    <w:rsid w:val="001B19AC"/>
    <w:rsid w:val="001B1BD5"/>
    <w:rsid w:val="001B28C0"/>
    <w:rsid w:val="001B5D93"/>
    <w:rsid w:val="001B66E4"/>
    <w:rsid w:val="001B67A5"/>
    <w:rsid w:val="001C238D"/>
    <w:rsid w:val="001D2A73"/>
    <w:rsid w:val="001D32E2"/>
    <w:rsid w:val="001D3CE2"/>
    <w:rsid w:val="001D4E49"/>
    <w:rsid w:val="001D5634"/>
    <w:rsid w:val="001D5F96"/>
    <w:rsid w:val="001D7603"/>
    <w:rsid w:val="001E1071"/>
    <w:rsid w:val="001E5734"/>
    <w:rsid w:val="001E60EC"/>
    <w:rsid w:val="001E6ACC"/>
    <w:rsid w:val="001E6C91"/>
    <w:rsid w:val="001E7DE2"/>
    <w:rsid w:val="001F1D15"/>
    <w:rsid w:val="001F1EAC"/>
    <w:rsid w:val="001F3A03"/>
    <w:rsid w:val="001F4407"/>
    <w:rsid w:val="001F4CBA"/>
    <w:rsid w:val="001F4F0E"/>
    <w:rsid w:val="001F7222"/>
    <w:rsid w:val="00200A25"/>
    <w:rsid w:val="00200D26"/>
    <w:rsid w:val="00202830"/>
    <w:rsid w:val="00202B4F"/>
    <w:rsid w:val="0020543B"/>
    <w:rsid w:val="0020544D"/>
    <w:rsid w:val="00205554"/>
    <w:rsid w:val="00211262"/>
    <w:rsid w:val="00211575"/>
    <w:rsid w:val="00212037"/>
    <w:rsid w:val="0021394D"/>
    <w:rsid w:val="002140D9"/>
    <w:rsid w:val="00214CA3"/>
    <w:rsid w:val="0021690E"/>
    <w:rsid w:val="002178BA"/>
    <w:rsid w:val="00222428"/>
    <w:rsid w:val="002300D3"/>
    <w:rsid w:val="00231ABD"/>
    <w:rsid w:val="002359AD"/>
    <w:rsid w:val="002366B4"/>
    <w:rsid w:val="00236893"/>
    <w:rsid w:val="00240B7B"/>
    <w:rsid w:val="002416A0"/>
    <w:rsid w:val="002418FB"/>
    <w:rsid w:val="00243BBC"/>
    <w:rsid w:val="002442F7"/>
    <w:rsid w:val="00244B55"/>
    <w:rsid w:val="00245175"/>
    <w:rsid w:val="002476E7"/>
    <w:rsid w:val="00250F9D"/>
    <w:rsid w:val="002539EE"/>
    <w:rsid w:val="00255048"/>
    <w:rsid w:val="0025657B"/>
    <w:rsid w:val="002576B1"/>
    <w:rsid w:val="00260F81"/>
    <w:rsid w:val="00263553"/>
    <w:rsid w:val="002635EA"/>
    <w:rsid w:val="0026369F"/>
    <w:rsid w:val="002640C3"/>
    <w:rsid w:val="00264B31"/>
    <w:rsid w:val="00264D9B"/>
    <w:rsid w:val="00264DB3"/>
    <w:rsid w:val="00265850"/>
    <w:rsid w:val="0026604F"/>
    <w:rsid w:val="00266CF4"/>
    <w:rsid w:val="00274E69"/>
    <w:rsid w:val="00275787"/>
    <w:rsid w:val="0027645F"/>
    <w:rsid w:val="00277304"/>
    <w:rsid w:val="00277940"/>
    <w:rsid w:val="002803DE"/>
    <w:rsid w:val="002816E4"/>
    <w:rsid w:val="002844E5"/>
    <w:rsid w:val="00284525"/>
    <w:rsid w:val="00285163"/>
    <w:rsid w:val="0028627A"/>
    <w:rsid w:val="00286DA7"/>
    <w:rsid w:val="002875C4"/>
    <w:rsid w:val="00287C90"/>
    <w:rsid w:val="0029176C"/>
    <w:rsid w:val="002937EA"/>
    <w:rsid w:val="00295975"/>
    <w:rsid w:val="00296312"/>
    <w:rsid w:val="00296407"/>
    <w:rsid w:val="002A00C7"/>
    <w:rsid w:val="002A0635"/>
    <w:rsid w:val="002A378A"/>
    <w:rsid w:val="002A417E"/>
    <w:rsid w:val="002B2655"/>
    <w:rsid w:val="002B3C7F"/>
    <w:rsid w:val="002C0242"/>
    <w:rsid w:val="002C0F9A"/>
    <w:rsid w:val="002C1D9B"/>
    <w:rsid w:val="002C34BB"/>
    <w:rsid w:val="002C371B"/>
    <w:rsid w:val="002C38DD"/>
    <w:rsid w:val="002C408C"/>
    <w:rsid w:val="002C4256"/>
    <w:rsid w:val="002C5EF0"/>
    <w:rsid w:val="002D194C"/>
    <w:rsid w:val="002D21B9"/>
    <w:rsid w:val="002D45D9"/>
    <w:rsid w:val="002D4C74"/>
    <w:rsid w:val="002D6348"/>
    <w:rsid w:val="002D78E1"/>
    <w:rsid w:val="002E01D4"/>
    <w:rsid w:val="002E0C8F"/>
    <w:rsid w:val="002E2596"/>
    <w:rsid w:val="002E493F"/>
    <w:rsid w:val="002E5AF2"/>
    <w:rsid w:val="002E7BF2"/>
    <w:rsid w:val="002F03B1"/>
    <w:rsid w:val="002F1517"/>
    <w:rsid w:val="002F23FB"/>
    <w:rsid w:val="002F473E"/>
    <w:rsid w:val="002F50D8"/>
    <w:rsid w:val="002F7615"/>
    <w:rsid w:val="00300416"/>
    <w:rsid w:val="00300748"/>
    <w:rsid w:val="00302F0A"/>
    <w:rsid w:val="0030321A"/>
    <w:rsid w:val="00303952"/>
    <w:rsid w:val="00304190"/>
    <w:rsid w:val="003136B7"/>
    <w:rsid w:val="003155EB"/>
    <w:rsid w:val="00316AE4"/>
    <w:rsid w:val="00316B46"/>
    <w:rsid w:val="003208C8"/>
    <w:rsid w:val="00321869"/>
    <w:rsid w:val="003270F6"/>
    <w:rsid w:val="0032713C"/>
    <w:rsid w:val="00331173"/>
    <w:rsid w:val="00332ECF"/>
    <w:rsid w:val="00334BEE"/>
    <w:rsid w:val="003374BD"/>
    <w:rsid w:val="003415F7"/>
    <w:rsid w:val="00341AB2"/>
    <w:rsid w:val="003433C5"/>
    <w:rsid w:val="00344411"/>
    <w:rsid w:val="0035026F"/>
    <w:rsid w:val="00351E36"/>
    <w:rsid w:val="00354A11"/>
    <w:rsid w:val="0035715C"/>
    <w:rsid w:val="0035791C"/>
    <w:rsid w:val="00362AAA"/>
    <w:rsid w:val="00362C17"/>
    <w:rsid w:val="0036502B"/>
    <w:rsid w:val="00365549"/>
    <w:rsid w:val="00367183"/>
    <w:rsid w:val="0037175C"/>
    <w:rsid w:val="00371823"/>
    <w:rsid w:val="00374C34"/>
    <w:rsid w:val="00375621"/>
    <w:rsid w:val="00375AF9"/>
    <w:rsid w:val="00375E4B"/>
    <w:rsid w:val="00381CBC"/>
    <w:rsid w:val="0038342C"/>
    <w:rsid w:val="0038544A"/>
    <w:rsid w:val="003861E9"/>
    <w:rsid w:val="00387A1F"/>
    <w:rsid w:val="00387D11"/>
    <w:rsid w:val="0039326A"/>
    <w:rsid w:val="0039379B"/>
    <w:rsid w:val="00393A13"/>
    <w:rsid w:val="0039601B"/>
    <w:rsid w:val="00397713"/>
    <w:rsid w:val="003A0196"/>
    <w:rsid w:val="003A2DE0"/>
    <w:rsid w:val="003A3A37"/>
    <w:rsid w:val="003A4E0D"/>
    <w:rsid w:val="003A521A"/>
    <w:rsid w:val="003A58AF"/>
    <w:rsid w:val="003A6591"/>
    <w:rsid w:val="003A73BE"/>
    <w:rsid w:val="003B1027"/>
    <w:rsid w:val="003B3BC9"/>
    <w:rsid w:val="003B3D44"/>
    <w:rsid w:val="003B533E"/>
    <w:rsid w:val="003B59AD"/>
    <w:rsid w:val="003B7088"/>
    <w:rsid w:val="003C0C3C"/>
    <w:rsid w:val="003C2789"/>
    <w:rsid w:val="003C531D"/>
    <w:rsid w:val="003C5858"/>
    <w:rsid w:val="003C67FC"/>
    <w:rsid w:val="003C7137"/>
    <w:rsid w:val="003D151D"/>
    <w:rsid w:val="003D2FB1"/>
    <w:rsid w:val="003D7C08"/>
    <w:rsid w:val="003E12C1"/>
    <w:rsid w:val="003E2392"/>
    <w:rsid w:val="003E3A8A"/>
    <w:rsid w:val="003E5A82"/>
    <w:rsid w:val="003E5E58"/>
    <w:rsid w:val="003E618F"/>
    <w:rsid w:val="003F3EFE"/>
    <w:rsid w:val="003F4BBA"/>
    <w:rsid w:val="00401CF6"/>
    <w:rsid w:val="00402074"/>
    <w:rsid w:val="004027AB"/>
    <w:rsid w:val="00402A62"/>
    <w:rsid w:val="00403DB6"/>
    <w:rsid w:val="004055E6"/>
    <w:rsid w:val="00405D6A"/>
    <w:rsid w:val="00406B54"/>
    <w:rsid w:val="00412122"/>
    <w:rsid w:val="00412E43"/>
    <w:rsid w:val="0041565E"/>
    <w:rsid w:val="0042070D"/>
    <w:rsid w:val="0042173F"/>
    <w:rsid w:val="00423B86"/>
    <w:rsid w:val="00424D96"/>
    <w:rsid w:val="00427249"/>
    <w:rsid w:val="0043007A"/>
    <w:rsid w:val="00433165"/>
    <w:rsid w:val="00434674"/>
    <w:rsid w:val="004352EE"/>
    <w:rsid w:val="00436002"/>
    <w:rsid w:val="00436C6A"/>
    <w:rsid w:val="004403EA"/>
    <w:rsid w:val="0044154F"/>
    <w:rsid w:val="00441764"/>
    <w:rsid w:val="0044182D"/>
    <w:rsid w:val="00442151"/>
    <w:rsid w:val="00442B12"/>
    <w:rsid w:val="00442E95"/>
    <w:rsid w:val="00443DF1"/>
    <w:rsid w:val="00444E1C"/>
    <w:rsid w:val="00445701"/>
    <w:rsid w:val="00445B42"/>
    <w:rsid w:val="00447881"/>
    <w:rsid w:val="00447B0B"/>
    <w:rsid w:val="00455A34"/>
    <w:rsid w:val="004567BA"/>
    <w:rsid w:val="00456862"/>
    <w:rsid w:val="00456919"/>
    <w:rsid w:val="00460089"/>
    <w:rsid w:val="00460CF1"/>
    <w:rsid w:val="004617EF"/>
    <w:rsid w:val="00464212"/>
    <w:rsid w:val="0046490D"/>
    <w:rsid w:val="00466410"/>
    <w:rsid w:val="00470443"/>
    <w:rsid w:val="00472A91"/>
    <w:rsid w:val="00474065"/>
    <w:rsid w:val="004773F0"/>
    <w:rsid w:val="00480909"/>
    <w:rsid w:val="00480FC7"/>
    <w:rsid w:val="0048175B"/>
    <w:rsid w:val="004817E1"/>
    <w:rsid w:val="00485028"/>
    <w:rsid w:val="00487D28"/>
    <w:rsid w:val="00490C4F"/>
    <w:rsid w:val="0049268A"/>
    <w:rsid w:val="004937E4"/>
    <w:rsid w:val="004975B0"/>
    <w:rsid w:val="004A1A7F"/>
    <w:rsid w:val="004A26C8"/>
    <w:rsid w:val="004A40BC"/>
    <w:rsid w:val="004A55CA"/>
    <w:rsid w:val="004A5F75"/>
    <w:rsid w:val="004B14D5"/>
    <w:rsid w:val="004B1E3E"/>
    <w:rsid w:val="004B23DB"/>
    <w:rsid w:val="004B5BF7"/>
    <w:rsid w:val="004B6E26"/>
    <w:rsid w:val="004C11F7"/>
    <w:rsid w:val="004C1B2A"/>
    <w:rsid w:val="004C2690"/>
    <w:rsid w:val="004C2D8F"/>
    <w:rsid w:val="004C6309"/>
    <w:rsid w:val="004C6FEA"/>
    <w:rsid w:val="004D122F"/>
    <w:rsid w:val="004D1831"/>
    <w:rsid w:val="004D1B2F"/>
    <w:rsid w:val="004D2AAD"/>
    <w:rsid w:val="004D348C"/>
    <w:rsid w:val="004D3CD1"/>
    <w:rsid w:val="004D5479"/>
    <w:rsid w:val="004D7017"/>
    <w:rsid w:val="004E0119"/>
    <w:rsid w:val="004E02BA"/>
    <w:rsid w:val="004E0A2A"/>
    <w:rsid w:val="004E304C"/>
    <w:rsid w:val="004E3DE2"/>
    <w:rsid w:val="004E4A48"/>
    <w:rsid w:val="004E578D"/>
    <w:rsid w:val="004F183D"/>
    <w:rsid w:val="004F1E58"/>
    <w:rsid w:val="004F2B31"/>
    <w:rsid w:val="004F2D7B"/>
    <w:rsid w:val="004F34EE"/>
    <w:rsid w:val="004F46B1"/>
    <w:rsid w:val="004F71FB"/>
    <w:rsid w:val="0050045E"/>
    <w:rsid w:val="00503467"/>
    <w:rsid w:val="0050389F"/>
    <w:rsid w:val="00504AA4"/>
    <w:rsid w:val="005061E0"/>
    <w:rsid w:val="0051207C"/>
    <w:rsid w:val="005136EF"/>
    <w:rsid w:val="00514134"/>
    <w:rsid w:val="00520D3D"/>
    <w:rsid w:val="00523DA5"/>
    <w:rsid w:val="005244CF"/>
    <w:rsid w:val="005254EB"/>
    <w:rsid w:val="00525DC5"/>
    <w:rsid w:val="0052614B"/>
    <w:rsid w:val="00531535"/>
    <w:rsid w:val="00532B1B"/>
    <w:rsid w:val="00532BC6"/>
    <w:rsid w:val="005335A2"/>
    <w:rsid w:val="00534D55"/>
    <w:rsid w:val="00534ECF"/>
    <w:rsid w:val="00540676"/>
    <w:rsid w:val="0054078A"/>
    <w:rsid w:val="005409A9"/>
    <w:rsid w:val="00540FC7"/>
    <w:rsid w:val="005428A6"/>
    <w:rsid w:val="0054330B"/>
    <w:rsid w:val="00543617"/>
    <w:rsid w:val="00543D1C"/>
    <w:rsid w:val="00545857"/>
    <w:rsid w:val="005507B6"/>
    <w:rsid w:val="00552BF3"/>
    <w:rsid w:val="005547A4"/>
    <w:rsid w:val="0055670A"/>
    <w:rsid w:val="00557CD2"/>
    <w:rsid w:val="00561B60"/>
    <w:rsid w:val="00561F6A"/>
    <w:rsid w:val="005636F9"/>
    <w:rsid w:val="00564040"/>
    <w:rsid w:val="0056461A"/>
    <w:rsid w:val="0057264C"/>
    <w:rsid w:val="00574051"/>
    <w:rsid w:val="00574618"/>
    <w:rsid w:val="005750C3"/>
    <w:rsid w:val="005764AE"/>
    <w:rsid w:val="005767B5"/>
    <w:rsid w:val="00581B3D"/>
    <w:rsid w:val="0058313B"/>
    <w:rsid w:val="005834BD"/>
    <w:rsid w:val="00583E77"/>
    <w:rsid w:val="0058461B"/>
    <w:rsid w:val="005854D5"/>
    <w:rsid w:val="00587C83"/>
    <w:rsid w:val="00590397"/>
    <w:rsid w:val="00591B5A"/>
    <w:rsid w:val="00591FEA"/>
    <w:rsid w:val="00593428"/>
    <w:rsid w:val="005941DF"/>
    <w:rsid w:val="00596002"/>
    <w:rsid w:val="0059627F"/>
    <w:rsid w:val="0059679A"/>
    <w:rsid w:val="005A11BF"/>
    <w:rsid w:val="005A14E6"/>
    <w:rsid w:val="005A20B1"/>
    <w:rsid w:val="005A43BD"/>
    <w:rsid w:val="005A63C9"/>
    <w:rsid w:val="005B0F11"/>
    <w:rsid w:val="005B1C52"/>
    <w:rsid w:val="005B3F80"/>
    <w:rsid w:val="005B40E1"/>
    <w:rsid w:val="005B4A10"/>
    <w:rsid w:val="005B7C91"/>
    <w:rsid w:val="005C0C8C"/>
    <w:rsid w:val="005C2F2D"/>
    <w:rsid w:val="005C3139"/>
    <w:rsid w:val="005C4305"/>
    <w:rsid w:val="005C5D5A"/>
    <w:rsid w:val="005C7097"/>
    <w:rsid w:val="005C75EE"/>
    <w:rsid w:val="005D137C"/>
    <w:rsid w:val="005D18EA"/>
    <w:rsid w:val="005D1A9A"/>
    <w:rsid w:val="005D528C"/>
    <w:rsid w:val="005D7B18"/>
    <w:rsid w:val="005E2B5F"/>
    <w:rsid w:val="005E3BFD"/>
    <w:rsid w:val="005E436D"/>
    <w:rsid w:val="005F11C0"/>
    <w:rsid w:val="005F1C96"/>
    <w:rsid w:val="005F1FE4"/>
    <w:rsid w:val="005F23A3"/>
    <w:rsid w:val="005F4375"/>
    <w:rsid w:val="005F4E5A"/>
    <w:rsid w:val="005F523E"/>
    <w:rsid w:val="005F53C7"/>
    <w:rsid w:val="006001EC"/>
    <w:rsid w:val="00600535"/>
    <w:rsid w:val="006008DC"/>
    <w:rsid w:val="00601F22"/>
    <w:rsid w:val="00603B56"/>
    <w:rsid w:val="006041F0"/>
    <w:rsid w:val="00604BBE"/>
    <w:rsid w:val="006074D7"/>
    <w:rsid w:val="00615EBA"/>
    <w:rsid w:val="006163E7"/>
    <w:rsid w:val="006206B6"/>
    <w:rsid w:val="006207B6"/>
    <w:rsid w:val="00620B69"/>
    <w:rsid w:val="00620BCC"/>
    <w:rsid w:val="006244B6"/>
    <w:rsid w:val="00624BFB"/>
    <w:rsid w:val="006250E1"/>
    <w:rsid w:val="00626431"/>
    <w:rsid w:val="006268E6"/>
    <w:rsid w:val="006275BD"/>
    <w:rsid w:val="00630E8A"/>
    <w:rsid w:val="00631D12"/>
    <w:rsid w:val="00631E50"/>
    <w:rsid w:val="00632DF8"/>
    <w:rsid w:val="00633F7B"/>
    <w:rsid w:val="0063482D"/>
    <w:rsid w:val="00637907"/>
    <w:rsid w:val="0064076C"/>
    <w:rsid w:val="0064131D"/>
    <w:rsid w:val="00641967"/>
    <w:rsid w:val="006446D9"/>
    <w:rsid w:val="00646820"/>
    <w:rsid w:val="00647E41"/>
    <w:rsid w:val="006503C8"/>
    <w:rsid w:val="00652EDA"/>
    <w:rsid w:val="006534E1"/>
    <w:rsid w:val="00653A61"/>
    <w:rsid w:val="00653C6D"/>
    <w:rsid w:val="00654971"/>
    <w:rsid w:val="00654C14"/>
    <w:rsid w:val="00654EDC"/>
    <w:rsid w:val="00655DF5"/>
    <w:rsid w:val="00660DA3"/>
    <w:rsid w:val="0066211F"/>
    <w:rsid w:val="00662472"/>
    <w:rsid w:val="00662593"/>
    <w:rsid w:val="00662C8E"/>
    <w:rsid w:val="00673005"/>
    <w:rsid w:val="00674FBC"/>
    <w:rsid w:val="006768D4"/>
    <w:rsid w:val="00676DB4"/>
    <w:rsid w:val="00676E0C"/>
    <w:rsid w:val="0067755D"/>
    <w:rsid w:val="00677776"/>
    <w:rsid w:val="006806C2"/>
    <w:rsid w:val="00681041"/>
    <w:rsid w:val="006814A3"/>
    <w:rsid w:val="00681FF3"/>
    <w:rsid w:val="00682416"/>
    <w:rsid w:val="00682F58"/>
    <w:rsid w:val="00684C18"/>
    <w:rsid w:val="00684C68"/>
    <w:rsid w:val="00687A35"/>
    <w:rsid w:val="00690935"/>
    <w:rsid w:val="006909C0"/>
    <w:rsid w:val="00690AAF"/>
    <w:rsid w:val="00691C58"/>
    <w:rsid w:val="006930CE"/>
    <w:rsid w:val="006934AC"/>
    <w:rsid w:val="00693AB6"/>
    <w:rsid w:val="00695392"/>
    <w:rsid w:val="00696AF5"/>
    <w:rsid w:val="006976EF"/>
    <w:rsid w:val="006976F6"/>
    <w:rsid w:val="0069775F"/>
    <w:rsid w:val="006A15AC"/>
    <w:rsid w:val="006A1E72"/>
    <w:rsid w:val="006A3CE8"/>
    <w:rsid w:val="006A51E4"/>
    <w:rsid w:val="006A53A1"/>
    <w:rsid w:val="006A543B"/>
    <w:rsid w:val="006A5A7F"/>
    <w:rsid w:val="006A608A"/>
    <w:rsid w:val="006B4BE8"/>
    <w:rsid w:val="006C00DA"/>
    <w:rsid w:val="006C5C0A"/>
    <w:rsid w:val="006C650A"/>
    <w:rsid w:val="006C66A9"/>
    <w:rsid w:val="006D0E76"/>
    <w:rsid w:val="006D181B"/>
    <w:rsid w:val="006D4A7A"/>
    <w:rsid w:val="006E43BC"/>
    <w:rsid w:val="006E457A"/>
    <w:rsid w:val="006E4AE6"/>
    <w:rsid w:val="006E5D5C"/>
    <w:rsid w:val="006E6426"/>
    <w:rsid w:val="006E64B0"/>
    <w:rsid w:val="006F28E2"/>
    <w:rsid w:val="006F2B5D"/>
    <w:rsid w:val="006F39E4"/>
    <w:rsid w:val="006F4972"/>
    <w:rsid w:val="006F6113"/>
    <w:rsid w:val="007023ED"/>
    <w:rsid w:val="007034E4"/>
    <w:rsid w:val="00704457"/>
    <w:rsid w:val="0070449D"/>
    <w:rsid w:val="007058D9"/>
    <w:rsid w:val="00707127"/>
    <w:rsid w:val="00711785"/>
    <w:rsid w:val="00712602"/>
    <w:rsid w:val="00713918"/>
    <w:rsid w:val="007165EB"/>
    <w:rsid w:val="00722019"/>
    <w:rsid w:val="00722A55"/>
    <w:rsid w:val="00723FFD"/>
    <w:rsid w:val="007261F7"/>
    <w:rsid w:val="00726C77"/>
    <w:rsid w:val="00727088"/>
    <w:rsid w:val="007333D3"/>
    <w:rsid w:val="00734B55"/>
    <w:rsid w:val="00737D0E"/>
    <w:rsid w:val="007413B0"/>
    <w:rsid w:val="00741F62"/>
    <w:rsid w:val="00743824"/>
    <w:rsid w:val="007479BB"/>
    <w:rsid w:val="00750118"/>
    <w:rsid w:val="00750B3D"/>
    <w:rsid w:val="00752151"/>
    <w:rsid w:val="007522E2"/>
    <w:rsid w:val="0075384D"/>
    <w:rsid w:val="00753F42"/>
    <w:rsid w:val="00754F0F"/>
    <w:rsid w:val="007555CE"/>
    <w:rsid w:val="00755DD0"/>
    <w:rsid w:val="00756153"/>
    <w:rsid w:val="00756403"/>
    <w:rsid w:val="0075779E"/>
    <w:rsid w:val="0076014C"/>
    <w:rsid w:val="007604D9"/>
    <w:rsid w:val="007627B6"/>
    <w:rsid w:val="00766728"/>
    <w:rsid w:val="007701FC"/>
    <w:rsid w:val="0077038C"/>
    <w:rsid w:val="00772BC3"/>
    <w:rsid w:val="0077356F"/>
    <w:rsid w:val="007741D3"/>
    <w:rsid w:val="00774719"/>
    <w:rsid w:val="0077478E"/>
    <w:rsid w:val="007773D2"/>
    <w:rsid w:val="0078177F"/>
    <w:rsid w:val="00783484"/>
    <w:rsid w:val="00783A91"/>
    <w:rsid w:val="00783B98"/>
    <w:rsid w:val="00787BAF"/>
    <w:rsid w:val="00791A4E"/>
    <w:rsid w:val="00792C72"/>
    <w:rsid w:val="00792DC9"/>
    <w:rsid w:val="00793B25"/>
    <w:rsid w:val="007940C4"/>
    <w:rsid w:val="0079413E"/>
    <w:rsid w:val="00795C14"/>
    <w:rsid w:val="0079600E"/>
    <w:rsid w:val="007A12A9"/>
    <w:rsid w:val="007A23A9"/>
    <w:rsid w:val="007A2D12"/>
    <w:rsid w:val="007B0927"/>
    <w:rsid w:val="007B13CE"/>
    <w:rsid w:val="007B1F53"/>
    <w:rsid w:val="007B398A"/>
    <w:rsid w:val="007B599D"/>
    <w:rsid w:val="007B7631"/>
    <w:rsid w:val="007B7D13"/>
    <w:rsid w:val="007C1BF4"/>
    <w:rsid w:val="007C3314"/>
    <w:rsid w:val="007C6CD2"/>
    <w:rsid w:val="007C746B"/>
    <w:rsid w:val="007C776D"/>
    <w:rsid w:val="007C7ACA"/>
    <w:rsid w:val="007D26EF"/>
    <w:rsid w:val="007D36CB"/>
    <w:rsid w:val="007D43E5"/>
    <w:rsid w:val="007D4702"/>
    <w:rsid w:val="007D5697"/>
    <w:rsid w:val="007D64B6"/>
    <w:rsid w:val="007D66D6"/>
    <w:rsid w:val="007D6956"/>
    <w:rsid w:val="007D7789"/>
    <w:rsid w:val="007E0AFE"/>
    <w:rsid w:val="007E5221"/>
    <w:rsid w:val="007E6901"/>
    <w:rsid w:val="007E71A2"/>
    <w:rsid w:val="007E7E51"/>
    <w:rsid w:val="007E7ECB"/>
    <w:rsid w:val="007F0353"/>
    <w:rsid w:val="007F0FAA"/>
    <w:rsid w:val="007F0FE7"/>
    <w:rsid w:val="007F14BE"/>
    <w:rsid w:val="007F1901"/>
    <w:rsid w:val="007F1921"/>
    <w:rsid w:val="007F2E6D"/>
    <w:rsid w:val="007F367F"/>
    <w:rsid w:val="007F36DF"/>
    <w:rsid w:val="007F3A6D"/>
    <w:rsid w:val="008014F1"/>
    <w:rsid w:val="00801E66"/>
    <w:rsid w:val="00802BC6"/>
    <w:rsid w:val="00805174"/>
    <w:rsid w:val="0080647E"/>
    <w:rsid w:val="00806731"/>
    <w:rsid w:val="0080674A"/>
    <w:rsid w:val="008076B1"/>
    <w:rsid w:val="00813A43"/>
    <w:rsid w:val="00815927"/>
    <w:rsid w:val="00817ADB"/>
    <w:rsid w:val="00817AF0"/>
    <w:rsid w:val="00822735"/>
    <w:rsid w:val="00825244"/>
    <w:rsid w:val="008256BC"/>
    <w:rsid w:val="00831BF4"/>
    <w:rsid w:val="0083296D"/>
    <w:rsid w:val="00832EE4"/>
    <w:rsid w:val="0083549F"/>
    <w:rsid w:val="00835E2A"/>
    <w:rsid w:val="008368B0"/>
    <w:rsid w:val="008370E9"/>
    <w:rsid w:val="00837EF3"/>
    <w:rsid w:val="00840290"/>
    <w:rsid w:val="0084153B"/>
    <w:rsid w:val="00841F77"/>
    <w:rsid w:val="0084263A"/>
    <w:rsid w:val="00844D77"/>
    <w:rsid w:val="00844F0E"/>
    <w:rsid w:val="00845B5C"/>
    <w:rsid w:val="00846723"/>
    <w:rsid w:val="00850E04"/>
    <w:rsid w:val="00851131"/>
    <w:rsid w:val="008539B2"/>
    <w:rsid w:val="00855452"/>
    <w:rsid w:val="0085574B"/>
    <w:rsid w:val="00857BC9"/>
    <w:rsid w:val="00860AE4"/>
    <w:rsid w:val="00862943"/>
    <w:rsid w:val="00872814"/>
    <w:rsid w:val="00872AEB"/>
    <w:rsid w:val="0088124E"/>
    <w:rsid w:val="0089226B"/>
    <w:rsid w:val="00893F63"/>
    <w:rsid w:val="00895F93"/>
    <w:rsid w:val="00896DD4"/>
    <w:rsid w:val="00896F6E"/>
    <w:rsid w:val="0089741C"/>
    <w:rsid w:val="00897F14"/>
    <w:rsid w:val="00897F26"/>
    <w:rsid w:val="008A11BF"/>
    <w:rsid w:val="008A3BB9"/>
    <w:rsid w:val="008B0051"/>
    <w:rsid w:val="008B2B87"/>
    <w:rsid w:val="008B4AF2"/>
    <w:rsid w:val="008B56BA"/>
    <w:rsid w:val="008B7085"/>
    <w:rsid w:val="008B7888"/>
    <w:rsid w:val="008C05AE"/>
    <w:rsid w:val="008C145B"/>
    <w:rsid w:val="008C186F"/>
    <w:rsid w:val="008C189C"/>
    <w:rsid w:val="008C2582"/>
    <w:rsid w:val="008C33BB"/>
    <w:rsid w:val="008C651D"/>
    <w:rsid w:val="008C715C"/>
    <w:rsid w:val="008D2AC8"/>
    <w:rsid w:val="008D3A1D"/>
    <w:rsid w:val="008D531C"/>
    <w:rsid w:val="008D5F44"/>
    <w:rsid w:val="008D5F89"/>
    <w:rsid w:val="008E2137"/>
    <w:rsid w:val="008E2AB9"/>
    <w:rsid w:val="008E3966"/>
    <w:rsid w:val="008E3A10"/>
    <w:rsid w:val="008E4B3B"/>
    <w:rsid w:val="008F1A67"/>
    <w:rsid w:val="008F23F2"/>
    <w:rsid w:val="008F5B45"/>
    <w:rsid w:val="00900466"/>
    <w:rsid w:val="00900D3C"/>
    <w:rsid w:val="00900E49"/>
    <w:rsid w:val="0090215F"/>
    <w:rsid w:val="0090241D"/>
    <w:rsid w:val="009048AC"/>
    <w:rsid w:val="009055B2"/>
    <w:rsid w:val="00905997"/>
    <w:rsid w:val="00910EAD"/>
    <w:rsid w:val="00915579"/>
    <w:rsid w:val="00915DEF"/>
    <w:rsid w:val="00916690"/>
    <w:rsid w:val="00920713"/>
    <w:rsid w:val="00922813"/>
    <w:rsid w:val="00922AF3"/>
    <w:rsid w:val="00925C96"/>
    <w:rsid w:val="00926438"/>
    <w:rsid w:val="00926952"/>
    <w:rsid w:val="00927355"/>
    <w:rsid w:val="00932F6F"/>
    <w:rsid w:val="00935EA6"/>
    <w:rsid w:val="00937880"/>
    <w:rsid w:val="0094100B"/>
    <w:rsid w:val="0094307B"/>
    <w:rsid w:val="009463C2"/>
    <w:rsid w:val="00946656"/>
    <w:rsid w:val="009479C7"/>
    <w:rsid w:val="009507F4"/>
    <w:rsid w:val="00952D57"/>
    <w:rsid w:val="00953E64"/>
    <w:rsid w:val="00954676"/>
    <w:rsid w:val="00955C58"/>
    <w:rsid w:val="00956A11"/>
    <w:rsid w:val="009573A3"/>
    <w:rsid w:val="00960F1C"/>
    <w:rsid w:val="00963446"/>
    <w:rsid w:val="009636EE"/>
    <w:rsid w:val="00963AA1"/>
    <w:rsid w:val="009646B0"/>
    <w:rsid w:val="00964C56"/>
    <w:rsid w:val="009719A3"/>
    <w:rsid w:val="0097513C"/>
    <w:rsid w:val="00975A07"/>
    <w:rsid w:val="00976DCF"/>
    <w:rsid w:val="009775DF"/>
    <w:rsid w:val="00983212"/>
    <w:rsid w:val="0098400E"/>
    <w:rsid w:val="0098646D"/>
    <w:rsid w:val="00990D77"/>
    <w:rsid w:val="0099446A"/>
    <w:rsid w:val="00994F89"/>
    <w:rsid w:val="00997FA9"/>
    <w:rsid w:val="009A1615"/>
    <w:rsid w:val="009A29BF"/>
    <w:rsid w:val="009A315A"/>
    <w:rsid w:val="009A4576"/>
    <w:rsid w:val="009A4CE7"/>
    <w:rsid w:val="009A5971"/>
    <w:rsid w:val="009A5A55"/>
    <w:rsid w:val="009A5BA5"/>
    <w:rsid w:val="009A6839"/>
    <w:rsid w:val="009A6AD5"/>
    <w:rsid w:val="009A77C4"/>
    <w:rsid w:val="009A7D8C"/>
    <w:rsid w:val="009B1427"/>
    <w:rsid w:val="009B457C"/>
    <w:rsid w:val="009B63D2"/>
    <w:rsid w:val="009C25D9"/>
    <w:rsid w:val="009C2B63"/>
    <w:rsid w:val="009C2EF5"/>
    <w:rsid w:val="009D16C6"/>
    <w:rsid w:val="009E1888"/>
    <w:rsid w:val="009E28DC"/>
    <w:rsid w:val="009E304D"/>
    <w:rsid w:val="009E42E3"/>
    <w:rsid w:val="009E56A0"/>
    <w:rsid w:val="009F0FA5"/>
    <w:rsid w:val="009F1F13"/>
    <w:rsid w:val="009F3787"/>
    <w:rsid w:val="009F379D"/>
    <w:rsid w:val="009F71BA"/>
    <w:rsid w:val="009F786C"/>
    <w:rsid w:val="00A0076E"/>
    <w:rsid w:val="00A01BE5"/>
    <w:rsid w:val="00A04C4B"/>
    <w:rsid w:val="00A04CD8"/>
    <w:rsid w:val="00A06B07"/>
    <w:rsid w:val="00A06DC6"/>
    <w:rsid w:val="00A06E64"/>
    <w:rsid w:val="00A0753F"/>
    <w:rsid w:val="00A07979"/>
    <w:rsid w:val="00A10259"/>
    <w:rsid w:val="00A11264"/>
    <w:rsid w:val="00A1162D"/>
    <w:rsid w:val="00A13080"/>
    <w:rsid w:val="00A1338F"/>
    <w:rsid w:val="00A13967"/>
    <w:rsid w:val="00A1542F"/>
    <w:rsid w:val="00A15BC1"/>
    <w:rsid w:val="00A16892"/>
    <w:rsid w:val="00A16C7D"/>
    <w:rsid w:val="00A20024"/>
    <w:rsid w:val="00A22355"/>
    <w:rsid w:val="00A22728"/>
    <w:rsid w:val="00A25D6D"/>
    <w:rsid w:val="00A279E6"/>
    <w:rsid w:val="00A343AE"/>
    <w:rsid w:val="00A350A3"/>
    <w:rsid w:val="00A36479"/>
    <w:rsid w:val="00A43ED8"/>
    <w:rsid w:val="00A43FC9"/>
    <w:rsid w:val="00A54CD2"/>
    <w:rsid w:val="00A55554"/>
    <w:rsid w:val="00A57CC7"/>
    <w:rsid w:val="00A61A8B"/>
    <w:rsid w:val="00A65503"/>
    <w:rsid w:val="00A669A6"/>
    <w:rsid w:val="00A6729A"/>
    <w:rsid w:val="00A7124C"/>
    <w:rsid w:val="00A73D94"/>
    <w:rsid w:val="00A746FC"/>
    <w:rsid w:val="00A75B6F"/>
    <w:rsid w:val="00A83FEB"/>
    <w:rsid w:val="00A8477A"/>
    <w:rsid w:val="00A84907"/>
    <w:rsid w:val="00A85C88"/>
    <w:rsid w:val="00A911AB"/>
    <w:rsid w:val="00A9259B"/>
    <w:rsid w:val="00A94CEF"/>
    <w:rsid w:val="00A95835"/>
    <w:rsid w:val="00A960E9"/>
    <w:rsid w:val="00AA008A"/>
    <w:rsid w:val="00AA0AD2"/>
    <w:rsid w:val="00AA33D7"/>
    <w:rsid w:val="00AA37B5"/>
    <w:rsid w:val="00AA40AC"/>
    <w:rsid w:val="00AA6304"/>
    <w:rsid w:val="00AA6D49"/>
    <w:rsid w:val="00AB0549"/>
    <w:rsid w:val="00AB0F3D"/>
    <w:rsid w:val="00AB1981"/>
    <w:rsid w:val="00AB1C59"/>
    <w:rsid w:val="00AB1F18"/>
    <w:rsid w:val="00AB2711"/>
    <w:rsid w:val="00AB2D56"/>
    <w:rsid w:val="00AB2F6E"/>
    <w:rsid w:val="00AB36FD"/>
    <w:rsid w:val="00AB425B"/>
    <w:rsid w:val="00AB43F7"/>
    <w:rsid w:val="00AB482C"/>
    <w:rsid w:val="00AB6102"/>
    <w:rsid w:val="00AC33A6"/>
    <w:rsid w:val="00AC35F3"/>
    <w:rsid w:val="00AC39FC"/>
    <w:rsid w:val="00AC66F6"/>
    <w:rsid w:val="00AD22A2"/>
    <w:rsid w:val="00AD31F0"/>
    <w:rsid w:val="00AD51E1"/>
    <w:rsid w:val="00AD555F"/>
    <w:rsid w:val="00AD57BF"/>
    <w:rsid w:val="00AD608C"/>
    <w:rsid w:val="00AD6936"/>
    <w:rsid w:val="00AD7210"/>
    <w:rsid w:val="00AE1154"/>
    <w:rsid w:val="00AE1F87"/>
    <w:rsid w:val="00AE237E"/>
    <w:rsid w:val="00AE247D"/>
    <w:rsid w:val="00AE3480"/>
    <w:rsid w:val="00AE36CB"/>
    <w:rsid w:val="00AE49C5"/>
    <w:rsid w:val="00AE4D2C"/>
    <w:rsid w:val="00AE5B72"/>
    <w:rsid w:val="00AE5B98"/>
    <w:rsid w:val="00AE6954"/>
    <w:rsid w:val="00AF0A22"/>
    <w:rsid w:val="00AF0EA9"/>
    <w:rsid w:val="00AF1CBF"/>
    <w:rsid w:val="00AF39B5"/>
    <w:rsid w:val="00AF56FA"/>
    <w:rsid w:val="00B01E70"/>
    <w:rsid w:val="00B028AF"/>
    <w:rsid w:val="00B044D8"/>
    <w:rsid w:val="00B048DC"/>
    <w:rsid w:val="00B0755C"/>
    <w:rsid w:val="00B07D7F"/>
    <w:rsid w:val="00B143A4"/>
    <w:rsid w:val="00B171AD"/>
    <w:rsid w:val="00B202DF"/>
    <w:rsid w:val="00B216E7"/>
    <w:rsid w:val="00B22226"/>
    <w:rsid w:val="00B242AA"/>
    <w:rsid w:val="00B25785"/>
    <w:rsid w:val="00B25DA7"/>
    <w:rsid w:val="00B26FC4"/>
    <w:rsid w:val="00B27F87"/>
    <w:rsid w:val="00B3015D"/>
    <w:rsid w:val="00B30C6F"/>
    <w:rsid w:val="00B32344"/>
    <w:rsid w:val="00B32773"/>
    <w:rsid w:val="00B32B93"/>
    <w:rsid w:val="00B33334"/>
    <w:rsid w:val="00B3400D"/>
    <w:rsid w:val="00B359FB"/>
    <w:rsid w:val="00B35C64"/>
    <w:rsid w:val="00B36613"/>
    <w:rsid w:val="00B36F1B"/>
    <w:rsid w:val="00B41978"/>
    <w:rsid w:val="00B41FD6"/>
    <w:rsid w:val="00B460B4"/>
    <w:rsid w:val="00B47334"/>
    <w:rsid w:val="00B503C8"/>
    <w:rsid w:val="00B53C1F"/>
    <w:rsid w:val="00B563D4"/>
    <w:rsid w:val="00B6127A"/>
    <w:rsid w:val="00B633FB"/>
    <w:rsid w:val="00B649AA"/>
    <w:rsid w:val="00B65207"/>
    <w:rsid w:val="00B70B6C"/>
    <w:rsid w:val="00B70EB5"/>
    <w:rsid w:val="00B71142"/>
    <w:rsid w:val="00B726B2"/>
    <w:rsid w:val="00B72928"/>
    <w:rsid w:val="00B778D5"/>
    <w:rsid w:val="00B8125F"/>
    <w:rsid w:val="00B819E1"/>
    <w:rsid w:val="00B85E05"/>
    <w:rsid w:val="00B860C9"/>
    <w:rsid w:val="00B9012E"/>
    <w:rsid w:val="00B92FA4"/>
    <w:rsid w:val="00B9574E"/>
    <w:rsid w:val="00B965AA"/>
    <w:rsid w:val="00B96F0B"/>
    <w:rsid w:val="00BA069E"/>
    <w:rsid w:val="00BA137B"/>
    <w:rsid w:val="00BA213F"/>
    <w:rsid w:val="00BA2243"/>
    <w:rsid w:val="00BA3CB9"/>
    <w:rsid w:val="00BA3E20"/>
    <w:rsid w:val="00BA48E7"/>
    <w:rsid w:val="00BA5315"/>
    <w:rsid w:val="00BB1342"/>
    <w:rsid w:val="00BB2EF7"/>
    <w:rsid w:val="00BB3EE7"/>
    <w:rsid w:val="00BB55B7"/>
    <w:rsid w:val="00BB59B3"/>
    <w:rsid w:val="00BB6287"/>
    <w:rsid w:val="00BB6C5C"/>
    <w:rsid w:val="00BB73A6"/>
    <w:rsid w:val="00BC1057"/>
    <w:rsid w:val="00BC5015"/>
    <w:rsid w:val="00BC5344"/>
    <w:rsid w:val="00BC5EDB"/>
    <w:rsid w:val="00BC62DA"/>
    <w:rsid w:val="00BC7DE9"/>
    <w:rsid w:val="00BD238E"/>
    <w:rsid w:val="00BD2DEF"/>
    <w:rsid w:val="00BD3905"/>
    <w:rsid w:val="00BD5170"/>
    <w:rsid w:val="00BD6C46"/>
    <w:rsid w:val="00BD6D61"/>
    <w:rsid w:val="00BD705E"/>
    <w:rsid w:val="00BE1AFA"/>
    <w:rsid w:val="00BE2F60"/>
    <w:rsid w:val="00BE4F18"/>
    <w:rsid w:val="00BE6AF8"/>
    <w:rsid w:val="00BE6FC7"/>
    <w:rsid w:val="00BF09E0"/>
    <w:rsid w:val="00BF2187"/>
    <w:rsid w:val="00BF67C7"/>
    <w:rsid w:val="00BF76B5"/>
    <w:rsid w:val="00C016ED"/>
    <w:rsid w:val="00C018AE"/>
    <w:rsid w:val="00C035DA"/>
    <w:rsid w:val="00C06DFD"/>
    <w:rsid w:val="00C07430"/>
    <w:rsid w:val="00C07965"/>
    <w:rsid w:val="00C101DE"/>
    <w:rsid w:val="00C104B5"/>
    <w:rsid w:val="00C123F0"/>
    <w:rsid w:val="00C13F4E"/>
    <w:rsid w:val="00C15B28"/>
    <w:rsid w:val="00C15DC1"/>
    <w:rsid w:val="00C20F1D"/>
    <w:rsid w:val="00C24641"/>
    <w:rsid w:val="00C252FC"/>
    <w:rsid w:val="00C26561"/>
    <w:rsid w:val="00C273B9"/>
    <w:rsid w:val="00C32E87"/>
    <w:rsid w:val="00C34549"/>
    <w:rsid w:val="00C3490A"/>
    <w:rsid w:val="00C34AB4"/>
    <w:rsid w:val="00C36CEA"/>
    <w:rsid w:val="00C371AB"/>
    <w:rsid w:val="00C44B43"/>
    <w:rsid w:val="00C4514F"/>
    <w:rsid w:val="00C458E9"/>
    <w:rsid w:val="00C46E88"/>
    <w:rsid w:val="00C46EDE"/>
    <w:rsid w:val="00C509D9"/>
    <w:rsid w:val="00C54500"/>
    <w:rsid w:val="00C54553"/>
    <w:rsid w:val="00C61700"/>
    <w:rsid w:val="00C63A86"/>
    <w:rsid w:val="00C64DC1"/>
    <w:rsid w:val="00C7005B"/>
    <w:rsid w:val="00C71741"/>
    <w:rsid w:val="00C737EA"/>
    <w:rsid w:val="00C73DCD"/>
    <w:rsid w:val="00C74DCB"/>
    <w:rsid w:val="00C80888"/>
    <w:rsid w:val="00C80FD4"/>
    <w:rsid w:val="00C83062"/>
    <w:rsid w:val="00C87F35"/>
    <w:rsid w:val="00C90C87"/>
    <w:rsid w:val="00C930B1"/>
    <w:rsid w:val="00C9332E"/>
    <w:rsid w:val="00C948F0"/>
    <w:rsid w:val="00C95B8F"/>
    <w:rsid w:val="00C96C83"/>
    <w:rsid w:val="00C97783"/>
    <w:rsid w:val="00CA063D"/>
    <w:rsid w:val="00CA06F9"/>
    <w:rsid w:val="00CA096E"/>
    <w:rsid w:val="00CA4132"/>
    <w:rsid w:val="00CA642E"/>
    <w:rsid w:val="00CB0249"/>
    <w:rsid w:val="00CB322C"/>
    <w:rsid w:val="00CB3C17"/>
    <w:rsid w:val="00CB4557"/>
    <w:rsid w:val="00CB55D3"/>
    <w:rsid w:val="00CB72D6"/>
    <w:rsid w:val="00CB7B00"/>
    <w:rsid w:val="00CC10C7"/>
    <w:rsid w:val="00CC22AD"/>
    <w:rsid w:val="00CC42FA"/>
    <w:rsid w:val="00CC505B"/>
    <w:rsid w:val="00CC610B"/>
    <w:rsid w:val="00CC7A31"/>
    <w:rsid w:val="00CD0335"/>
    <w:rsid w:val="00CD4136"/>
    <w:rsid w:val="00CD4183"/>
    <w:rsid w:val="00CD6FBB"/>
    <w:rsid w:val="00CE265D"/>
    <w:rsid w:val="00CF11FB"/>
    <w:rsid w:val="00CF130C"/>
    <w:rsid w:val="00CF1669"/>
    <w:rsid w:val="00CF2FD7"/>
    <w:rsid w:val="00CF36CC"/>
    <w:rsid w:val="00CF3D90"/>
    <w:rsid w:val="00CF58A5"/>
    <w:rsid w:val="00CF60A4"/>
    <w:rsid w:val="00CF6FCD"/>
    <w:rsid w:val="00CF75A9"/>
    <w:rsid w:val="00D02143"/>
    <w:rsid w:val="00D053CD"/>
    <w:rsid w:val="00D06A84"/>
    <w:rsid w:val="00D06BC2"/>
    <w:rsid w:val="00D0724E"/>
    <w:rsid w:val="00D07458"/>
    <w:rsid w:val="00D12AE6"/>
    <w:rsid w:val="00D14B62"/>
    <w:rsid w:val="00D16953"/>
    <w:rsid w:val="00D16D91"/>
    <w:rsid w:val="00D17A8F"/>
    <w:rsid w:val="00D24BD7"/>
    <w:rsid w:val="00D27CD5"/>
    <w:rsid w:val="00D30B36"/>
    <w:rsid w:val="00D35092"/>
    <w:rsid w:val="00D37494"/>
    <w:rsid w:val="00D37AE2"/>
    <w:rsid w:val="00D4102B"/>
    <w:rsid w:val="00D41D92"/>
    <w:rsid w:val="00D438BB"/>
    <w:rsid w:val="00D44AA1"/>
    <w:rsid w:val="00D46011"/>
    <w:rsid w:val="00D46095"/>
    <w:rsid w:val="00D4629A"/>
    <w:rsid w:val="00D47511"/>
    <w:rsid w:val="00D51241"/>
    <w:rsid w:val="00D51270"/>
    <w:rsid w:val="00D515C3"/>
    <w:rsid w:val="00D55D67"/>
    <w:rsid w:val="00D60836"/>
    <w:rsid w:val="00D6220C"/>
    <w:rsid w:val="00D626FE"/>
    <w:rsid w:val="00D70176"/>
    <w:rsid w:val="00D705AD"/>
    <w:rsid w:val="00D70D1D"/>
    <w:rsid w:val="00D71EA0"/>
    <w:rsid w:val="00D722DA"/>
    <w:rsid w:val="00D72BD0"/>
    <w:rsid w:val="00D752DA"/>
    <w:rsid w:val="00D75752"/>
    <w:rsid w:val="00D757F2"/>
    <w:rsid w:val="00D76786"/>
    <w:rsid w:val="00D81DCC"/>
    <w:rsid w:val="00D8267B"/>
    <w:rsid w:val="00D84BCD"/>
    <w:rsid w:val="00D85549"/>
    <w:rsid w:val="00D85E38"/>
    <w:rsid w:val="00D9014D"/>
    <w:rsid w:val="00D9249A"/>
    <w:rsid w:val="00D93998"/>
    <w:rsid w:val="00D95AF5"/>
    <w:rsid w:val="00D96AD2"/>
    <w:rsid w:val="00D96F45"/>
    <w:rsid w:val="00DA0BC5"/>
    <w:rsid w:val="00DA227A"/>
    <w:rsid w:val="00DA4C53"/>
    <w:rsid w:val="00DA5079"/>
    <w:rsid w:val="00DB107E"/>
    <w:rsid w:val="00DB359A"/>
    <w:rsid w:val="00DB4FD7"/>
    <w:rsid w:val="00DC19FE"/>
    <w:rsid w:val="00DC1FB8"/>
    <w:rsid w:val="00DC30D1"/>
    <w:rsid w:val="00DC399C"/>
    <w:rsid w:val="00DC4503"/>
    <w:rsid w:val="00DC7F59"/>
    <w:rsid w:val="00DD0029"/>
    <w:rsid w:val="00DD26D6"/>
    <w:rsid w:val="00DD3D5A"/>
    <w:rsid w:val="00DD5177"/>
    <w:rsid w:val="00DD61C0"/>
    <w:rsid w:val="00DE1882"/>
    <w:rsid w:val="00DE1A02"/>
    <w:rsid w:val="00DE2012"/>
    <w:rsid w:val="00DE20DE"/>
    <w:rsid w:val="00DE54A8"/>
    <w:rsid w:val="00DE6FC8"/>
    <w:rsid w:val="00DF0C27"/>
    <w:rsid w:val="00DF11B4"/>
    <w:rsid w:val="00E008CE"/>
    <w:rsid w:val="00E01924"/>
    <w:rsid w:val="00E01FF2"/>
    <w:rsid w:val="00E03CE3"/>
    <w:rsid w:val="00E05C85"/>
    <w:rsid w:val="00E07E59"/>
    <w:rsid w:val="00E12500"/>
    <w:rsid w:val="00E16D81"/>
    <w:rsid w:val="00E17027"/>
    <w:rsid w:val="00E200A0"/>
    <w:rsid w:val="00E21E25"/>
    <w:rsid w:val="00E22585"/>
    <w:rsid w:val="00E25248"/>
    <w:rsid w:val="00E25C7C"/>
    <w:rsid w:val="00E2679B"/>
    <w:rsid w:val="00E30FCE"/>
    <w:rsid w:val="00E32494"/>
    <w:rsid w:val="00E3347E"/>
    <w:rsid w:val="00E352FF"/>
    <w:rsid w:val="00E402B0"/>
    <w:rsid w:val="00E40756"/>
    <w:rsid w:val="00E42353"/>
    <w:rsid w:val="00E44424"/>
    <w:rsid w:val="00E44601"/>
    <w:rsid w:val="00E44F39"/>
    <w:rsid w:val="00E46D1D"/>
    <w:rsid w:val="00E46F08"/>
    <w:rsid w:val="00E50074"/>
    <w:rsid w:val="00E5028A"/>
    <w:rsid w:val="00E50FDA"/>
    <w:rsid w:val="00E538D4"/>
    <w:rsid w:val="00E53F00"/>
    <w:rsid w:val="00E544CB"/>
    <w:rsid w:val="00E55558"/>
    <w:rsid w:val="00E56DBB"/>
    <w:rsid w:val="00E60947"/>
    <w:rsid w:val="00E628B0"/>
    <w:rsid w:val="00E63BA5"/>
    <w:rsid w:val="00E63C06"/>
    <w:rsid w:val="00E6424D"/>
    <w:rsid w:val="00E6484A"/>
    <w:rsid w:val="00E65BFC"/>
    <w:rsid w:val="00E66295"/>
    <w:rsid w:val="00E67044"/>
    <w:rsid w:val="00E70A38"/>
    <w:rsid w:val="00E72095"/>
    <w:rsid w:val="00E7287F"/>
    <w:rsid w:val="00E72959"/>
    <w:rsid w:val="00E744BC"/>
    <w:rsid w:val="00E74823"/>
    <w:rsid w:val="00E819A0"/>
    <w:rsid w:val="00E82778"/>
    <w:rsid w:val="00E83EBF"/>
    <w:rsid w:val="00E853DB"/>
    <w:rsid w:val="00E853FC"/>
    <w:rsid w:val="00E858EC"/>
    <w:rsid w:val="00E86A90"/>
    <w:rsid w:val="00E87DE9"/>
    <w:rsid w:val="00E90C8E"/>
    <w:rsid w:val="00E912DF"/>
    <w:rsid w:val="00E93D79"/>
    <w:rsid w:val="00E958F5"/>
    <w:rsid w:val="00E95D4A"/>
    <w:rsid w:val="00E97668"/>
    <w:rsid w:val="00E97969"/>
    <w:rsid w:val="00EA169D"/>
    <w:rsid w:val="00EA2EDA"/>
    <w:rsid w:val="00EA3B33"/>
    <w:rsid w:val="00EA4569"/>
    <w:rsid w:val="00EA4A8A"/>
    <w:rsid w:val="00EA522F"/>
    <w:rsid w:val="00EA6515"/>
    <w:rsid w:val="00EB06BB"/>
    <w:rsid w:val="00EB0CAB"/>
    <w:rsid w:val="00EB11C2"/>
    <w:rsid w:val="00EB1E2C"/>
    <w:rsid w:val="00EB3286"/>
    <w:rsid w:val="00EB6865"/>
    <w:rsid w:val="00EC396F"/>
    <w:rsid w:val="00ED00D8"/>
    <w:rsid w:val="00ED211A"/>
    <w:rsid w:val="00ED34D6"/>
    <w:rsid w:val="00ED3B50"/>
    <w:rsid w:val="00ED40F7"/>
    <w:rsid w:val="00ED43AA"/>
    <w:rsid w:val="00ED72AA"/>
    <w:rsid w:val="00EE3886"/>
    <w:rsid w:val="00EE39D1"/>
    <w:rsid w:val="00EE5711"/>
    <w:rsid w:val="00EE5E10"/>
    <w:rsid w:val="00EE5F2D"/>
    <w:rsid w:val="00EE78F1"/>
    <w:rsid w:val="00EF1281"/>
    <w:rsid w:val="00EF2DAA"/>
    <w:rsid w:val="00EF3343"/>
    <w:rsid w:val="00EF371F"/>
    <w:rsid w:val="00EF5CD4"/>
    <w:rsid w:val="00EF6197"/>
    <w:rsid w:val="00EF7175"/>
    <w:rsid w:val="00F001B5"/>
    <w:rsid w:val="00F00C69"/>
    <w:rsid w:val="00F06FF8"/>
    <w:rsid w:val="00F0766A"/>
    <w:rsid w:val="00F07D3C"/>
    <w:rsid w:val="00F114F8"/>
    <w:rsid w:val="00F11F37"/>
    <w:rsid w:val="00F1338D"/>
    <w:rsid w:val="00F21ADD"/>
    <w:rsid w:val="00F24D37"/>
    <w:rsid w:val="00F259F1"/>
    <w:rsid w:val="00F2654A"/>
    <w:rsid w:val="00F26B1B"/>
    <w:rsid w:val="00F3057C"/>
    <w:rsid w:val="00F3220C"/>
    <w:rsid w:val="00F33C54"/>
    <w:rsid w:val="00F341F9"/>
    <w:rsid w:val="00F353B6"/>
    <w:rsid w:val="00F35A8F"/>
    <w:rsid w:val="00F4164D"/>
    <w:rsid w:val="00F41677"/>
    <w:rsid w:val="00F433AB"/>
    <w:rsid w:val="00F438CF"/>
    <w:rsid w:val="00F4503E"/>
    <w:rsid w:val="00F45445"/>
    <w:rsid w:val="00F45517"/>
    <w:rsid w:val="00F4614E"/>
    <w:rsid w:val="00F464B7"/>
    <w:rsid w:val="00F46FD8"/>
    <w:rsid w:val="00F5354A"/>
    <w:rsid w:val="00F53553"/>
    <w:rsid w:val="00F54134"/>
    <w:rsid w:val="00F55DF6"/>
    <w:rsid w:val="00F5733E"/>
    <w:rsid w:val="00F6115C"/>
    <w:rsid w:val="00F6221D"/>
    <w:rsid w:val="00F630B7"/>
    <w:rsid w:val="00F63B60"/>
    <w:rsid w:val="00F6555D"/>
    <w:rsid w:val="00F7047C"/>
    <w:rsid w:val="00F7094E"/>
    <w:rsid w:val="00F71628"/>
    <w:rsid w:val="00F71E3E"/>
    <w:rsid w:val="00F71E79"/>
    <w:rsid w:val="00F71FA3"/>
    <w:rsid w:val="00F72AB8"/>
    <w:rsid w:val="00F72E22"/>
    <w:rsid w:val="00F77769"/>
    <w:rsid w:val="00F77C7F"/>
    <w:rsid w:val="00F81C08"/>
    <w:rsid w:val="00F82A3C"/>
    <w:rsid w:val="00F83E33"/>
    <w:rsid w:val="00F849EC"/>
    <w:rsid w:val="00F863C3"/>
    <w:rsid w:val="00F86565"/>
    <w:rsid w:val="00F9047F"/>
    <w:rsid w:val="00F907F3"/>
    <w:rsid w:val="00F93097"/>
    <w:rsid w:val="00F93A8C"/>
    <w:rsid w:val="00F94DC5"/>
    <w:rsid w:val="00F969AF"/>
    <w:rsid w:val="00FA02DA"/>
    <w:rsid w:val="00FA04E1"/>
    <w:rsid w:val="00FA1133"/>
    <w:rsid w:val="00FA246D"/>
    <w:rsid w:val="00FB07CF"/>
    <w:rsid w:val="00FB1733"/>
    <w:rsid w:val="00FB1DD5"/>
    <w:rsid w:val="00FB1EF5"/>
    <w:rsid w:val="00FB2AEA"/>
    <w:rsid w:val="00FB3FB4"/>
    <w:rsid w:val="00FB4501"/>
    <w:rsid w:val="00FB6F1F"/>
    <w:rsid w:val="00FB7F33"/>
    <w:rsid w:val="00FC07AB"/>
    <w:rsid w:val="00FC0FF6"/>
    <w:rsid w:val="00FC25BF"/>
    <w:rsid w:val="00FC31BD"/>
    <w:rsid w:val="00FC3718"/>
    <w:rsid w:val="00FD258E"/>
    <w:rsid w:val="00FD662D"/>
    <w:rsid w:val="00FD6C82"/>
    <w:rsid w:val="00FE224B"/>
    <w:rsid w:val="00FE2D0E"/>
    <w:rsid w:val="00FE49D9"/>
    <w:rsid w:val="00FE6315"/>
    <w:rsid w:val="00FE7CD7"/>
    <w:rsid w:val="00FF15DD"/>
    <w:rsid w:val="00FF1A6B"/>
    <w:rsid w:val="00FF359A"/>
    <w:rsid w:val="00FF5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75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50B3D"/>
    <w:rPr>
      <w:rFonts w:ascii="Courier New" w:eastAsia="Times New Roman" w:hAnsi="Courier New" w:cs="Courier New"/>
      <w:kern w:val="0"/>
      <w:sz w:val="20"/>
      <w:szCs w:val="20"/>
      <w14:ligatures w14:val="none"/>
    </w:rPr>
  </w:style>
  <w:style w:type="character" w:styleId="Hyperlink">
    <w:name w:val="Hyperlink"/>
    <w:basedOn w:val="DefaultParagraphFont"/>
    <w:uiPriority w:val="99"/>
    <w:unhideWhenUsed/>
    <w:rsid w:val="007E7ECB"/>
    <w:rPr>
      <w:color w:val="0000FF"/>
      <w:u w:val="single"/>
    </w:rPr>
  </w:style>
  <w:style w:type="character" w:styleId="UnresolvedMention">
    <w:name w:val="Unresolved Mention"/>
    <w:basedOn w:val="DefaultParagraphFont"/>
    <w:uiPriority w:val="99"/>
    <w:semiHidden/>
    <w:unhideWhenUsed/>
    <w:rsid w:val="0089226B"/>
    <w:rPr>
      <w:color w:val="605E5C"/>
      <w:shd w:val="clear" w:color="auto" w:fill="E1DFDD"/>
    </w:rPr>
  </w:style>
  <w:style w:type="paragraph" w:styleId="Header">
    <w:name w:val="header"/>
    <w:basedOn w:val="Normal"/>
    <w:link w:val="HeaderChar"/>
    <w:uiPriority w:val="99"/>
    <w:unhideWhenUsed/>
    <w:rsid w:val="00135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68D"/>
  </w:style>
  <w:style w:type="paragraph" w:styleId="Footer">
    <w:name w:val="footer"/>
    <w:basedOn w:val="Normal"/>
    <w:link w:val="FooterChar"/>
    <w:uiPriority w:val="99"/>
    <w:unhideWhenUsed/>
    <w:rsid w:val="00135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68D"/>
  </w:style>
  <w:style w:type="character" w:styleId="FollowedHyperlink">
    <w:name w:val="FollowedHyperlink"/>
    <w:basedOn w:val="DefaultParagraphFont"/>
    <w:uiPriority w:val="99"/>
    <w:semiHidden/>
    <w:unhideWhenUsed/>
    <w:rsid w:val="00B70E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courts.gov/legacyPDFS/press/pdfs/PR26_0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ycourts.gov/LegacyPDFS/rules/comments/pdf/RequestForPublicComment-GenerativeArtificialIntelligence-111725.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courts.gov/ad3/about/news-alerts/docs/05-02-2025-Amendments-to-Rules-of-the-Appellate-Division-Third-Dept.pdf" TargetMode="External"/><Relationship Id="rId5" Type="http://schemas.openxmlformats.org/officeDocument/2006/relationships/footnotes" Target="footnotes.xml"/><Relationship Id="rId10" Type="http://schemas.openxmlformats.org/officeDocument/2006/relationships/hyperlink" Target="https://www.nycourts.gov/courts/ad2/pdf/22_NYCRR_PART_680.pdf" TargetMode="External"/><Relationship Id="rId4" Type="http://schemas.openxmlformats.org/officeDocument/2006/relationships/webSettings" Target="webSettings.xml"/><Relationship Id="rId9" Type="http://schemas.openxmlformats.org/officeDocument/2006/relationships/hyperlink" Target="https://www.nycourts.gov/LegacyPDFS/rules/comments/pdf/MentalHealthProfessionalsPanel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6190</Words>
  <Characters>35284</Characters>
  <Application>Microsoft Office Word</Application>
  <DocSecurity>4</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2</cp:revision>
  <cp:lastPrinted>2026-02-02T13:52:00Z</cp:lastPrinted>
  <dcterms:created xsi:type="dcterms:W3CDTF">2026-02-02T13:57:00Z</dcterms:created>
  <dcterms:modified xsi:type="dcterms:W3CDTF">2026-02-02T13:57:00Z</dcterms:modified>
</cp:coreProperties>
</file>