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498BE152" w:rsidR="00963446" w:rsidRPr="00D47511" w:rsidRDefault="00ED52FC" w:rsidP="00963446">
      <w:pPr>
        <w:pStyle w:val="Heading2"/>
        <w:numPr>
          <w:ilvl w:val="0"/>
          <w:numId w:val="0"/>
        </w:numPr>
        <w:rPr>
          <w:rFonts w:ascii="Stencil" w:hAnsi="Stencil" w:cs="Times New Roman"/>
          <w:b/>
        </w:rPr>
      </w:pPr>
      <w:r>
        <w:rPr>
          <w:rFonts w:ascii="Stencil" w:hAnsi="Stencil" w:cs="Times New Roman"/>
          <w:b/>
          <w:u w:val="single"/>
        </w:rPr>
        <w:t xml:space="preserve">NYSBA FAMILY LAW SECTION </w:t>
      </w:r>
      <w:r w:rsidRPr="00ED52FC">
        <w:rPr>
          <w:rFonts w:ascii="Stencil" w:hAnsi="Stencil" w:cs="Times New Roman"/>
          <w:b/>
          <w:u w:val="single"/>
        </w:rPr>
        <w:t>UPDATE</w:t>
      </w:r>
      <w:r>
        <w:rPr>
          <w:rFonts w:ascii="Stencil" w:hAnsi="Stencil" w:cs="Times New Roman"/>
          <w:b/>
        </w:rPr>
        <w:t xml:space="preserve">, </w:t>
      </w:r>
      <w:r w:rsidR="00961D8D" w:rsidRPr="00ED52FC">
        <w:rPr>
          <w:rFonts w:ascii="Stencil" w:hAnsi="Stencil" w:cs="Times New Roman"/>
          <w:b/>
        </w:rPr>
        <w:t>JUNE</w:t>
      </w:r>
      <w:r w:rsidR="00961D8D">
        <w:rPr>
          <w:rFonts w:ascii="Stencil" w:hAnsi="Stencil" w:cs="Times New Roman"/>
          <w:b/>
        </w:rPr>
        <w:t xml:space="preserve"> </w:t>
      </w:r>
      <w:r w:rsidR="00654971" w:rsidRPr="00D47511">
        <w:rPr>
          <w:rFonts w:ascii="Stencil" w:hAnsi="Stencil" w:cs="Times New Roman"/>
          <w:b/>
        </w:rPr>
        <w:t>2</w:t>
      </w:r>
      <w:r w:rsidR="00963446" w:rsidRPr="00D47511">
        <w:rPr>
          <w:rFonts w:ascii="Stencil" w:hAnsi="Stencil" w:cs="Times New Roman"/>
          <w:b/>
        </w:rPr>
        <w:t>02</w:t>
      </w:r>
      <w:r w:rsidR="00553AD2">
        <w:rPr>
          <w:rFonts w:ascii="Stencil" w:hAnsi="Stencil" w:cs="Times New Roman"/>
          <w:b/>
        </w:rPr>
        <w:t>6</w:t>
      </w:r>
    </w:p>
    <w:p w14:paraId="09CCB385" w14:textId="77777777"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740E6173" w14:textId="77777777" w:rsidR="00C45F57" w:rsidRDefault="00963446" w:rsidP="00C45F57">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County Family Court</w:t>
      </w:r>
    </w:p>
    <w:p w14:paraId="0BDFFD7E" w14:textId="77777777" w:rsidR="00C45F57" w:rsidRDefault="00C45F57" w:rsidP="00C45F57">
      <w:pPr>
        <w:pStyle w:val="Heading2"/>
        <w:numPr>
          <w:ilvl w:val="0"/>
          <w:numId w:val="0"/>
        </w:numPr>
        <w:jc w:val="both"/>
        <w:rPr>
          <w:rFonts w:ascii="Verdana" w:hAnsi="Verdana" w:cs="Times New Roman"/>
          <w:b/>
          <w:bCs/>
        </w:rPr>
      </w:pPr>
    </w:p>
    <w:p w14:paraId="29161C7D" w14:textId="66BD6BDD" w:rsidR="0087792D" w:rsidRPr="00C45F57" w:rsidRDefault="0087792D" w:rsidP="00C45F57">
      <w:pPr>
        <w:pStyle w:val="Heading2"/>
        <w:numPr>
          <w:ilvl w:val="0"/>
          <w:numId w:val="0"/>
        </w:numPr>
        <w:jc w:val="both"/>
        <w:rPr>
          <w:rFonts w:ascii="Verdana" w:hAnsi="Verdana" w:cs="Times New Roman"/>
          <w:b/>
          <w:bCs/>
        </w:rPr>
      </w:pPr>
      <w:r w:rsidRPr="0087792D">
        <w:rPr>
          <w:rFonts w:ascii="Times New Roman" w:hAnsi="Times New Roman" w:cs="Times New Roman"/>
          <w:b/>
          <w:bCs/>
          <w:u w:val="single"/>
        </w:rPr>
        <w:t>COURT OF APPEALS NOTE</w:t>
      </w:r>
      <w:r>
        <w:rPr>
          <w:rFonts w:ascii="Times New Roman" w:hAnsi="Times New Roman" w:cs="Times New Roman"/>
          <w:b/>
          <w:bCs/>
        </w:rPr>
        <w:t xml:space="preserve">: </w:t>
      </w:r>
    </w:p>
    <w:p w14:paraId="7860E2B8" w14:textId="3FC719B6" w:rsidR="0087792D" w:rsidRDefault="0087792D" w:rsidP="0087792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87792D">
        <w:rPr>
          <w:rFonts w:ascii="Times New Roman" w:hAnsi="Times New Roman" w:cs="Times New Roman"/>
          <w:b/>
          <w:bCs/>
          <w:i/>
          <w:iCs/>
        </w:rPr>
        <w:t>Matter of Abdoch v. Abdoch</w:t>
      </w:r>
      <w:r>
        <w:rPr>
          <w:rFonts w:ascii="Times New Roman" w:hAnsi="Times New Roman" w:cs="Times New Roman"/>
        </w:rPr>
        <w:t>, 2026 Westlaw 1422588 (May 21, 2026), the Court</w:t>
      </w:r>
      <w:r w:rsidR="00BD34CA">
        <w:rPr>
          <w:rFonts w:ascii="Times New Roman" w:hAnsi="Times New Roman" w:cs="Times New Roman"/>
        </w:rPr>
        <w:t xml:space="preserve"> held</w:t>
      </w:r>
      <w:r>
        <w:rPr>
          <w:rFonts w:ascii="Times New Roman" w:hAnsi="Times New Roman" w:cs="Times New Roman"/>
        </w:rPr>
        <w:t xml:space="preserve"> “that under the plain language of the Family Court Act, an AFC has the authority to appeal a custody determination when the subject child is aggrieved.” The Appellate Division ha</w:t>
      </w:r>
      <w:r w:rsidR="00BD34CA">
        <w:rPr>
          <w:rFonts w:ascii="Times New Roman" w:hAnsi="Times New Roman" w:cs="Times New Roman"/>
        </w:rPr>
        <w:t>d</w:t>
      </w:r>
      <w:r>
        <w:rPr>
          <w:rFonts w:ascii="Times New Roman" w:hAnsi="Times New Roman" w:cs="Times New Roman"/>
        </w:rPr>
        <w:t xml:space="preserve"> dismissed the AFC’s appeal “following Fourth Department precedent holding that children in custody matters cannot appeal independent of the parent-parties.” 235 AD3d 1251 (4</w:t>
      </w:r>
      <w:r w:rsidRPr="007323AF">
        <w:rPr>
          <w:rFonts w:ascii="Times New Roman" w:hAnsi="Times New Roman" w:cs="Times New Roman"/>
          <w:vertAlign w:val="superscript"/>
        </w:rPr>
        <w:t>th</w:t>
      </w:r>
      <w:r>
        <w:rPr>
          <w:rFonts w:ascii="Times New Roman" w:hAnsi="Times New Roman" w:cs="Times New Roman"/>
        </w:rPr>
        <w:t xml:space="preserve"> Dept. 2025). The Court of Appeals granted the AFC leave to appeal, 44 NY3d 902 (2025)</w:t>
      </w:r>
      <w:r w:rsidR="00BD34CA">
        <w:rPr>
          <w:rFonts w:ascii="Times New Roman" w:hAnsi="Times New Roman" w:cs="Times New Roman"/>
        </w:rPr>
        <w:t>, reversed</w:t>
      </w:r>
      <w:r>
        <w:rPr>
          <w:rFonts w:ascii="Times New Roman" w:hAnsi="Times New Roman" w:cs="Times New Roman"/>
        </w:rPr>
        <w:t>, and remitted to the Fourth Department, “for consideration of the facts and issues raised but not determined on appeal to that Court.”</w:t>
      </w:r>
      <w:r w:rsidR="00BD34CA">
        <w:rPr>
          <w:rFonts w:ascii="Times New Roman" w:hAnsi="Times New Roman" w:cs="Times New Roman"/>
        </w:rPr>
        <w:t xml:space="preserve"> </w:t>
      </w:r>
      <w:r>
        <w:rPr>
          <w:rFonts w:ascii="Times New Roman" w:hAnsi="Times New Roman" w:cs="Times New Roman"/>
        </w:rPr>
        <w:t xml:space="preserve">This decision resolves a conflict among the Appellate Division Departments, wherein the First, Second and Third Departments had held that the AFC has the right to pursue an appeal on behalf of the child, because FCA 1120(b) permits an AFC to file a notice of appeal. </w:t>
      </w:r>
      <w:r w:rsidRPr="007323AF">
        <w:rPr>
          <w:rFonts w:ascii="Times New Roman" w:hAnsi="Times New Roman" w:cs="Times New Roman"/>
          <w:u w:val="single"/>
        </w:rPr>
        <w:t>Matter of Kylie P.</w:t>
      </w:r>
      <w:r>
        <w:rPr>
          <w:rFonts w:ascii="Times New Roman" w:hAnsi="Times New Roman" w:cs="Times New Roman"/>
        </w:rPr>
        <w:t>, 213 AD3d 463 (1</w:t>
      </w:r>
      <w:r w:rsidRPr="007323AF">
        <w:rPr>
          <w:rFonts w:ascii="Times New Roman" w:hAnsi="Times New Roman" w:cs="Times New Roman"/>
          <w:vertAlign w:val="superscript"/>
        </w:rPr>
        <w:t>st</w:t>
      </w:r>
      <w:r>
        <w:rPr>
          <w:rFonts w:ascii="Times New Roman" w:hAnsi="Times New Roman" w:cs="Times New Roman"/>
        </w:rPr>
        <w:t xml:space="preserve"> Dept. 2023); </w:t>
      </w:r>
      <w:r w:rsidRPr="007323AF">
        <w:rPr>
          <w:rFonts w:ascii="Times New Roman" w:hAnsi="Times New Roman" w:cs="Times New Roman"/>
          <w:u w:val="single"/>
        </w:rPr>
        <w:t>Matter of Amber B. v. Scott C.</w:t>
      </w:r>
      <w:r>
        <w:rPr>
          <w:rFonts w:ascii="Times New Roman" w:hAnsi="Times New Roman" w:cs="Times New Roman"/>
        </w:rPr>
        <w:t xml:space="preserve">, 207 AD3d 847, 848 n.1 (3d Dept. 2022); </w:t>
      </w:r>
      <w:r w:rsidRPr="007323AF">
        <w:rPr>
          <w:rFonts w:ascii="Times New Roman" w:hAnsi="Times New Roman" w:cs="Times New Roman"/>
          <w:u w:val="single"/>
        </w:rPr>
        <w:t>Matter of Newton v. McFarlane</w:t>
      </w:r>
      <w:r>
        <w:rPr>
          <w:rFonts w:ascii="Times New Roman" w:hAnsi="Times New Roman" w:cs="Times New Roman"/>
        </w:rPr>
        <w:t xml:space="preserve">, 174 AD3d 67, 72-73 (2d Dept. 2019).  The Fourth Department had dismissed “appeals taken solely by an AFC when neither parent-party appeals ***, reasoning that a child in a custody matter does not have full-party status and therefore cannot force their parent to litigate a petition that they have since abandoned.” </w:t>
      </w:r>
      <w:r w:rsidRPr="005D5861">
        <w:rPr>
          <w:rFonts w:ascii="Times New Roman" w:hAnsi="Times New Roman" w:cs="Times New Roman"/>
          <w:u w:val="single"/>
        </w:rPr>
        <w:t>Matter of Lawrence v. Lawrence</w:t>
      </w:r>
      <w:r>
        <w:rPr>
          <w:rFonts w:ascii="Times New Roman" w:hAnsi="Times New Roman" w:cs="Times New Roman"/>
        </w:rPr>
        <w:t>, 151 AD3d 879 (4</w:t>
      </w:r>
      <w:r w:rsidRPr="005D5861">
        <w:rPr>
          <w:rFonts w:ascii="Times New Roman" w:hAnsi="Times New Roman" w:cs="Times New Roman"/>
          <w:vertAlign w:val="superscript"/>
        </w:rPr>
        <w:t>th</w:t>
      </w:r>
      <w:r>
        <w:rPr>
          <w:rFonts w:ascii="Times New Roman" w:hAnsi="Times New Roman" w:cs="Times New Roman"/>
        </w:rPr>
        <w:t xml:space="preserve"> Dept. 2017) (internal quotation marks and brackets omitted).</w:t>
      </w:r>
    </w:p>
    <w:p w14:paraId="26AF00F0" w14:textId="77777777" w:rsidR="0087792D" w:rsidRDefault="0087792D" w:rsidP="0087792D">
      <w:pPr>
        <w:pStyle w:val="Heading2"/>
        <w:numPr>
          <w:ilvl w:val="0"/>
          <w:numId w:val="0"/>
        </w:numPr>
        <w:spacing w:line="240" w:lineRule="auto"/>
        <w:jc w:val="both"/>
        <w:rPr>
          <w:rFonts w:ascii="Times New Roman" w:hAnsi="Times New Roman" w:cs="Times New Roman"/>
          <w:b/>
          <w:bCs/>
        </w:rPr>
      </w:pPr>
    </w:p>
    <w:p w14:paraId="3D4D32A6" w14:textId="37E6A75A" w:rsidR="00000225" w:rsidRPr="0087792D" w:rsidRDefault="00000225" w:rsidP="0087792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Agreements </w:t>
      </w:r>
      <w:r w:rsidRPr="00000225">
        <w:rPr>
          <w:rFonts w:ascii="Times New Roman" w:hAnsi="Times New Roman" w:cs="Times New Roman"/>
          <w:b/>
          <w:bCs/>
        </w:rPr>
        <w:t xml:space="preserve">– </w:t>
      </w:r>
      <w:bookmarkStart w:id="0" w:name="_Hlk196482278"/>
      <w:r w:rsidRPr="00000225">
        <w:rPr>
          <w:rFonts w:ascii="Times New Roman" w:hAnsi="Times New Roman" w:cs="Times New Roman"/>
          <w:b/>
          <w:bCs/>
        </w:rPr>
        <w:t>Prenuptial – Ambiguous, No Severability Clause – Set Aside</w:t>
      </w:r>
      <w:bookmarkEnd w:id="0"/>
    </w:p>
    <w:p w14:paraId="49629751" w14:textId="77777777" w:rsidR="0087792D" w:rsidRDefault="0087792D" w:rsidP="00000225">
      <w:pPr>
        <w:pStyle w:val="Heading2"/>
        <w:numPr>
          <w:ilvl w:val="0"/>
          <w:numId w:val="0"/>
        </w:numPr>
        <w:spacing w:line="240" w:lineRule="auto"/>
        <w:jc w:val="both"/>
        <w:rPr>
          <w:rFonts w:ascii="Times New Roman" w:hAnsi="Times New Roman" w:cs="Times New Roman"/>
        </w:rPr>
      </w:pPr>
    </w:p>
    <w:p w14:paraId="792AD788" w14:textId="3DF5B99F" w:rsidR="00000225" w:rsidRDefault="00000225" w:rsidP="00000225">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000225">
        <w:rPr>
          <w:rFonts w:ascii="Times New Roman" w:hAnsi="Times New Roman" w:cs="Times New Roman"/>
          <w:b/>
          <w:bCs/>
          <w:i/>
          <w:iCs/>
        </w:rPr>
        <w:t>Gaudette v. Gaudette</w:t>
      </w:r>
      <w:r>
        <w:rPr>
          <w:rFonts w:ascii="Times New Roman" w:hAnsi="Times New Roman" w:cs="Times New Roman"/>
        </w:rPr>
        <w:t xml:space="preserve">, 2026 Westlaw 1336090 (3d Dept. May 14, 2026), the husband appealed from a December 2024 Supreme Court order which, after a hearing, granted the wife’s motion to set aside the parties’ prenuptial agreement signed prior to their 1977 marriage in Canada. The parties moved to New York in about 1980 and the wife commenced the divorce action in 2020. In a prior appeal, the Third Department considered Supreme Court’s denial of the husband’s motion to enforce the </w:t>
      </w:r>
      <w:r w:rsidR="001D4720">
        <w:rPr>
          <w:rFonts w:ascii="Times New Roman" w:hAnsi="Times New Roman" w:cs="Times New Roman"/>
        </w:rPr>
        <w:t>agreement and</w:t>
      </w:r>
      <w:r>
        <w:rPr>
          <w:rFonts w:ascii="Times New Roman" w:hAnsi="Times New Roman" w:cs="Times New Roman"/>
        </w:rPr>
        <w:t xml:space="preserve"> remitted “for an evidentiary hearing to allow the parties to submit further extrinsic evidence to aid the court in attempting to resolve the ambiguities and ascertain the parties’ intent regarding the prenuptial agreement.” 222 AD3d 1313 (3d Dept. 2023). Upon remittal, Supreme Court found that the new evidence did not clarify the ambiguities and set aside the agreement, prompting the husband’s present appeal. The Third Department affirmed, stating that it “agree[d] with Supreme Court that the prenuptial agreement remained ambiguous after the evidentiary hearing” and “because the agreement lacked any severance clause and the articles are closely intertwined, Supreme Court properly set aside the entire agreement as unenforceable.”</w:t>
      </w:r>
    </w:p>
    <w:p w14:paraId="181ADD05" w14:textId="77777777" w:rsidR="00C45F57" w:rsidRDefault="00C45F57" w:rsidP="00000225">
      <w:pPr>
        <w:pStyle w:val="Heading2"/>
        <w:numPr>
          <w:ilvl w:val="0"/>
          <w:numId w:val="0"/>
        </w:numPr>
        <w:spacing w:line="240" w:lineRule="auto"/>
        <w:jc w:val="both"/>
        <w:rPr>
          <w:rFonts w:ascii="Times New Roman" w:hAnsi="Times New Roman" w:cs="Times New Roman"/>
        </w:rPr>
      </w:pPr>
    </w:p>
    <w:p w14:paraId="174F8CC0" w14:textId="77777777" w:rsidR="00C45F57" w:rsidRDefault="00C45F57" w:rsidP="00000225">
      <w:pPr>
        <w:pStyle w:val="Heading2"/>
        <w:numPr>
          <w:ilvl w:val="0"/>
          <w:numId w:val="0"/>
        </w:numPr>
        <w:spacing w:line="240" w:lineRule="auto"/>
        <w:jc w:val="both"/>
        <w:rPr>
          <w:rFonts w:ascii="Times New Roman" w:hAnsi="Times New Roman" w:cs="Times New Roman"/>
        </w:rPr>
      </w:pPr>
    </w:p>
    <w:p w14:paraId="3EF68D2D" w14:textId="77777777" w:rsidR="0087792D" w:rsidRDefault="0087792D" w:rsidP="00000225">
      <w:pPr>
        <w:pStyle w:val="Heading2"/>
        <w:numPr>
          <w:ilvl w:val="0"/>
          <w:numId w:val="0"/>
        </w:numPr>
        <w:spacing w:line="240" w:lineRule="auto"/>
        <w:jc w:val="both"/>
        <w:rPr>
          <w:rFonts w:ascii="Times New Roman" w:hAnsi="Times New Roman" w:cs="Times New Roman"/>
        </w:rPr>
      </w:pPr>
    </w:p>
    <w:p w14:paraId="58DE3CC9" w14:textId="77777777" w:rsidR="0087792D" w:rsidRDefault="0087792D" w:rsidP="0087792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lastRenderedPageBreak/>
        <w:t xml:space="preserve">Child Support - </w:t>
      </w:r>
      <w:r w:rsidRPr="00961D8D">
        <w:rPr>
          <w:rFonts w:ascii="Times New Roman" w:hAnsi="Times New Roman" w:cs="Times New Roman"/>
          <w:b/>
          <w:bCs/>
        </w:rPr>
        <w:t>CSSA – Equal Custody, Higher Earning Parent Pays</w:t>
      </w:r>
      <w:r>
        <w:rPr>
          <w:rFonts w:ascii="Times New Roman" w:hAnsi="Times New Roman" w:cs="Times New Roman"/>
          <w:b/>
          <w:bCs/>
        </w:rPr>
        <w:t>,</w:t>
      </w:r>
      <w:r w:rsidRPr="00961D8D">
        <w:rPr>
          <w:rFonts w:ascii="Times New Roman" w:hAnsi="Times New Roman" w:cs="Times New Roman"/>
          <w:b/>
          <w:bCs/>
        </w:rPr>
        <w:t xml:space="preserve"> Imputed Income</w:t>
      </w:r>
      <w:r>
        <w:rPr>
          <w:rFonts w:ascii="Times New Roman" w:hAnsi="Times New Roman" w:cs="Times New Roman"/>
          <w:b/>
          <w:bCs/>
        </w:rPr>
        <w:t xml:space="preserve">; </w:t>
      </w:r>
      <w:r w:rsidRPr="00027160">
        <w:rPr>
          <w:rFonts w:ascii="Times New Roman" w:hAnsi="Times New Roman" w:cs="Times New Roman"/>
          <w:b/>
          <w:bCs/>
        </w:rPr>
        <w:t>Equitable Distribution - Marital Residence – Separate Property Appreciation Not Proved, Separate Property Credit Granted, Transmutation</w:t>
      </w:r>
      <w:r>
        <w:rPr>
          <w:rFonts w:ascii="Times New Roman" w:hAnsi="Times New Roman" w:cs="Times New Roman"/>
          <w:b/>
          <w:bCs/>
        </w:rPr>
        <w:t>,</w:t>
      </w:r>
      <w:r w:rsidRPr="00027160">
        <w:rPr>
          <w:rFonts w:ascii="Times New Roman" w:hAnsi="Times New Roman" w:cs="Times New Roman"/>
          <w:b/>
          <w:bCs/>
        </w:rPr>
        <w:t xml:space="preserve"> Other Separate Property Sale Proceeds – Commingled</w:t>
      </w:r>
    </w:p>
    <w:p w14:paraId="20995974" w14:textId="77777777" w:rsidR="00C45F57" w:rsidRDefault="00C45F57" w:rsidP="0087792D">
      <w:pPr>
        <w:pStyle w:val="Heading2"/>
        <w:numPr>
          <w:ilvl w:val="0"/>
          <w:numId w:val="0"/>
        </w:numPr>
        <w:spacing w:line="240" w:lineRule="auto"/>
        <w:jc w:val="both"/>
        <w:rPr>
          <w:rFonts w:ascii="Times New Roman" w:hAnsi="Times New Roman" w:cs="Times New Roman"/>
          <w:b/>
          <w:bCs/>
        </w:rPr>
      </w:pPr>
    </w:p>
    <w:p w14:paraId="1229CB46" w14:textId="4B1A6DD8" w:rsidR="00F040C7" w:rsidRDefault="0087792D" w:rsidP="0087792D">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961D8D">
        <w:rPr>
          <w:rFonts w:ascii="Times New Roman" w:hAnsi="Times New Roman" w:cs="Times New Roman"/>
          <w:b/>
          <w:bCs/>
          <w:i/>
          <w:iCs/>
        </w:rPr>
        <w:t>Borzilleri v. Borzirelli</w:t>
      </w:r>
      <w:r>
        <w:rPr>
          <w:rFonts w:ascii="Times New Roman" w:hAnsi="Times New Roman" w:cs="Times New Roman"/>
        </w:rPr>
        <w:t xml:space="preserve">, 2026 Westlaw 1236809 (2d Dept. May 4, 2026), the parties were married in 1999 and have 2 children. The husband commenced the action for divorce in September 2017. The husband appealed and the wife cross appealed from a December 2020 Judgment of Divorce, rendered upon a May 2020 decision of the Court following trial. In August 2021 and during the pendency of the appeal, the parties stipulated to resolve all issues except child support, counsel fees and certain equitable distribution issues. The issues remaining for review upon the husband’s appeal were so much of the judgment as: (1) </w:t>
      </w:r>
      <w:r w:rsidRPr="001B7A09">
        <w:rPr>
          <w:rFonts w:ascii="Times New Roman" w:hAnsi="Times New Roman" w:cs="Times New Roman"/>
        </w:rPr>
        <w:t>awarded the wife child support of $2,554.38 per month; (2) determined equitable distribution of New York and Massachusetts real property and related separate property, transmutation and commingling issues; and (3) awarded the wife counsel fees of $40,000</w:t>
      </w:r>
      <w:r>
        <w:rPr>
          <w:rFonts w:ascii="Times New Roman" w:hAnsi="Times New Roman" w:cs="Times New Roman"/>
        </w:rPr>
        <w:t xml:space="preserve">. Upon </w:t>
      </w:r>
      <w:r w:rsidRPr="001B7A09">
        <w:rPr>
          <w:rFonts w:ascii="Times New Roman" w:hAnsi="Times New Roman" w:cs="Times New Roman"/>
        </w:rPr>
        <w:t xml:space="preserve">the wife’s cross-appeal, </w:t>
      </w:r>
      <w:r>
        <w:rPr>
          <w:rFonts w:ascii="Times New Roman" w:hAnsi="Times New Roman" w:cs="Times New Roman"/>
        </w:rPr>
        <w:t xml:space="preserve">remaining for review were </w:t>
      </w:r>
      <w:r w:rsidRPr="001B7A09">
        <w:rPr>
          <w:rFonts w:ascii="Times New Roman" w:hAnsi="Times New Roman" w:cs="Times New Roman"/>
        </w:rPr>
        <w:t xml:space="preserve">the foregoing equitable distribution issues and </w:t>
      </w:r>
      <w:r>
        <w:rPr>
          <w:rFonts w:ascii="Times New Roman" w:hAnsi="Times New Roman" w:cs="Times New Roman"/>
        </w:rPr>
        <w:t xml:space="preserve">the wife’s contention that she should have received $100,000 in </w:t>
      </w:r>
      <w:r w:rsidRPr="001B7A09">
        <w:rPr>
          <w:rFonts w:ascii="Times New Roman" w:hAnsi="Times New Roman" w:cs="Times New Roman"/>
        </w:rPr>
        <w:t xml:space="preserve">counsel fees. The Second Department affirmed the judgment insofar as reviewed, holding: </w:t>
      </w:r>
      <w:r w:rsidRPr="001B7A09">
        <w:rPr>
          <w:rFonts w:ascii="Times New Roman" w:hAnsi="Times New Roman" w:cs="Times New Roman"/>
          <w:b/>
          <w:bCs/>
          <w:i/>
          <w:iCs/>
        </w:rPr>
        <w:t>(1)</w:t>
      </w:r>
      <w:r w:rsidRPr="00346F04">
        <w:rPr>
          <w:rFonts w:ascii="Times New Roman" w:hAnsi="Times New Roman" w:cs="Times New Roman"/>
        </w:rPr>
        <w:t xml:space="preserve"> </w:t>
      </w:r>
      <w:r w:rsidRPr="001B7A09">
        <w:rPr>
          <w:rFonts w:ascii="Times New Roman" w:hAnsi="Times New Roman" w:cs="Times New Roman"/>
        </w:rPr>
        <w:t>“</w:t>
      </w:r>
      <w:r w:rsidRPr="00346F04">
        <w:rPr>
          <w:rFonts w:ascii="Times New Roman" w:hAnsi="Times New Roman" w:cs="Times New Roman"/>
        </w:rPr>
        <w:t xml:space="preserve">Supreme Court providently exercised its discretion in imputing income to </w:t>
      </w:r>
      <w:r w:rsidRPr="001B7A09">
        <w:rPr>
          <w:rFonts w:ascii="Times New Roman" w:hAnsi="Times New Roman" w:cs="Times New Roman"/>
        </w:rPr>
        <w:t xml:space="preserve">[the husband] </w:t>
      </w:r>
      <w:r w:rsidRPr="00346F04">
        <w:rPr>
          <w:rFonts w:ascii="Times New Roman" w:hAnsi="Times New Roman" w:cs="Times New Roman"/>
        </w:rPr>
        <w:t>based on the evidence at trial, including tax returns, reflecting his past earnings, actual earning capacity, and educational background (</w:t>
      </w:r>
      <w:r w:rsidRPr="001B7A09">
        <w:rPr>
          <w:rFonts w:ascii="Times New Roman" w:hAnsi="Times New Roman" w:cs="Times New Roman"/>
        </w:rPr>
        <w:t>citations omitted)” and “</w:t>
      </w:r>
      <w:r w:rsidRPr="00346F04">
        <w:rPr>
          <w:rFonts w:ascii="Times New Roman" w:hAnsi="Times New Roman" w:cs="Times New Roman"/>
        </w:rPr>
        <w:t xml:space="preserve">properly determined that </w:t>
      </w:r>
      <w:r w:rsidRPr="001B7A09">
        <w:rPr>
          <w:rFonts w:ascii="Times New Roman" w:hAnsi="Times New Roman" w:cs="Times New Roman"/>
        </w:rPr>
        <w:t xml:space="preserve">[he] </w:t>
      </w:r>
      <w:r w:rsidRPr="00346F04">
        <w:rPr>
          <w:rFonts w:ascii="Times New Roman" w:hAnsi="Times New Roman" w:cs="Times New Roman"/>
        </w:rPr>
        <w:t>was the noncustodial parent because the parties shared equal custody of the children before they were emancipated and the plaintiff had the greater pro rata share of the child support obligation (</w:t>
      </w:r>
      <w:r w:rsidRPr="001B7A09">
        <w:rPr>
          <w:rFonts w:ascii="Times New Roman" w:hAnsi="Times New Roman" w:cs="Times New Roman"/>
        </w:rPr>
        <w:t>citations omitted)</w:t>
      </w:r>
      <w:r w:rsidRPr="00346F04">
        <w:rPr>
          <w:rFonts w:ascii="Times New Roman" w:hAnsi="Times New Roman" w:cs="Times New Roman"/>
        </w:rPr>
        <w:t>.</w:t>
      </w:r>
      <w:r w:rsidRPr="001B7A09">
        <w:rPr>
          <w:rFonts w:ascii="Times New Roman" w:hAnsi="Times New Roman" w:cs="Times New Roman"/>
        </w:rPr>
        <w:t>” The Appellate Division further stated</w:t>
      </w:r>
      <w:r w:rsidRPr="00346F04">
        <w:rPr>
          <w:rFonts w:ascii="Times New Roman" w:hAnsi="Times New Roman" w:cs="Times New Roman"/>
        </w:rPr>
        <w:t xml:space="preserve"> </w:t>
      </w:r>
      <w:r w:rsidRPr="001B7A09">
        <w:rPr>
          <w:rFonts w:ascii="Times New Roman" w:hAnsi="Times New Roman" w:cs="Times New Roman"/>
        </w:rPr>
        <w:t>that Supreme Court “</w:t>
      </w:r>
      <w:r w:rsidRPr="00346F04">
        <w:rPr>
          <w:rFonts w:ascii="Times New Roman" w:hAnsi="Times New Roman" w:cs="Times New Roman"/>
        </w:rPr>
        <w:t xml:space="preserve">providently exercised its discretion in imputing $35,000 in annual income to the </w:t>
      </w:r>
      <w:r w:rsidRPr="001B7A09">
        <w:rPr>
          <w:rFonts w:ascii="Times New Roman" w:hAnsi="Times New Roman" w:cs="Times New Roman"/>
        </w:rPr>
        <w:t xml:space="preserve">[wife] </w:t>
      </w:r>
      <w:r w:rsidRPr="00346F04">
        <w:rPr>
          <w:rFonts w:ascii="Times New Roman" w:hAnsi="Times New Roman" w:cs="Times New Roman"/>
        </w:rPr>
        <w:t>based on her age, lack of consistent work history, and health conditions limiting her ability to work (</w:t>
      </w:r>
      <w:r w:rsidRPr="001B7A09">
        <w:rPr>
          <w:rFonts w:ascii="Times New Roman" w:hAnsi="Times New Roman" w:cs="Times New Roman"/>
        </w:rPr>
        <w:t xml:space="preserve">citations omitted).” </w:t>
      </w:r>
      <w:r w:rsidRPr="001B7A09">
        <w:rPr>
          <w:rFonts w:ascii="Times New Roman" w:hAnsi="Times New Roman" w:cs="Times New Roman"/>
          <w:b/>
          <w:bCs/>
          <w:i/>
          <w:iCs/>
        </w:rPr>
        <w:t>(2</w:t>
      </w:r>
      <w:r>
        <w:rPr>
          <w:rFonts w:ascii="Times New Roman" w:hAnsi="Times New Roman" w:cs="Times New Roman"/>
          <w:b/>
          <w:bCs/>
          <w:i/>
          <w:iCs/>
        </w:rPr>
        <w:t>a</w:t>
      </w:r>
      <w:r w:rsidRPr="001B7A09">
        <w:rPr>
          <w:rFonts w:ascii="Times New Roman" w:hAnsi="Times New Roman" w:cs="Times New Roman"/>
          <w:b/>
          <w:bCs/>
          <w:i/>
          <w:iCs/>
        </w:rPr>
        <w:t>)</w:t>
      </w:r>
      <w:r w:rsidRPr="001B7A09">
        <w:rPr>
          <w:rFonts w:ascii="Times New Roman" w:hAnsi="Times New Roman" w:cs="Times New Roman"/>
        </w:rPr>
        <w:t xml:space="preserve"> “</w:t>
      </w:r>
      <w:r w:rsidRPr="00346F04">
        <w:rPr>
          <w:rFonts w:ascii="Times New Roman" w:hAnsi="Times New Roman" w:cs="Times New Roman"/>
        </w:rPr>
        <w:t xml:space="preserve">Supreme Court properly awarded the </w:t>
      </w:r>
      <w:r w:rsidRPr="001B7A09">
        <w:rPr>
          <w:rFonts w:ascii="Times New Roman" w:hAnsi="Times New Roman" w:cs="Times New Roman"/>
        </w:rPr>
        <w:t xml:space="preserve">[husband] </w:t>
      </w:r>
      <w:r w:rsidRPr="00346F04">
        <w:rPr>
          <w:rFonts w:ascii="Times New Roman" w:hAnsi="Times New Roman" w:cs="Times New Roman"/>
        </w:rPr>
        <w:t xml:space="preserve">a credit </w:t>
      </w:r>
      <w:r w:rsidRPr="001B7A09">
        <w:rPr>
          <w:rFonts w:ascii="Times New Roman" w:hAnsi="Times New Roman" w:cs="Times New Roman"/>
        </w:rPr>
        <w:t>[for] ***</w:t>
      </w:r>
      <w:r w:rsidRPr="00346F04">
        <w:rPr>
          <w:rFonts w:ascii="Times New Roman" w:hAnsi="Times New Roman" w:cs="Times New Roman"/>
        </w:rPr>
        <w:t xml:space="preserve"> the down payment he paid for certain real property </w:t>
      </w:r>
      <w:r w:rsidRPr="001B7A09">
        <w:rPr>
          <w:rFonts w:ascii="Times New Roman" w:hAnsi="Times New Roman" w:cs="Times New Roman"/>
        </w:rPr>
        <w:t xml:space="preserve">*** </w:t>
      </w:r>
      <w:r w:rsidRPr="00346F04">
        <w:rPr>
          <w:rFonts w:ascii="Times New Roman" w:hAnsi="Times New Roman" w:cs="Times New Roman"/>
        </w:rPr>
        <w:t>purchased prior to the marriage</w:t>
      </w:r>
      <w:r w:rsidRPr="001B7A09">
        <w:rPr>
          <w:rFonts w:ascii="Times New Roman" w:hAnsi="Times New Roman" w:cs="Times New Roman"/>
        </w:rPr>
        <w:t>”; correct</w:t>
      </w:r>
      <w:r>
        <w:rPr>
          <w:rFonts w:ascii="Times New Roman" w:hAnsi="Times New Roman" w:cs="Times New Roman"/>
        </w:rPr>
        <w:t>ly</w:t>
      </w:r>
      <w:r w:rsidRPr="001B7A09">
        <w:rPr>
          <w:rFonts w:ascii="Times New Roman" w:hAnsi="Times New Roman" w:cs="Times New Roman"/>
        </w:rPr>
        <w:t xml:space="preserve"> determined that he</w:t>
      </w:r>
      <w:r w:rsidRPr="00346F04">
        <w:rPr>
          <w:rFonts w:ascii="Times New Roman" w:hAnsi="Times New Roman" w:cs="Times New Roman"/>
        </w:rPr>
        <w:t xml:space="preserve"> </w:t>
      </w:r>
      <w:r w:rsidRPr="001B7A09">
        <w:rPr>
          <w:rFonts w:ascii="Times New Roman" w:hAnsi="Times New Roman" w:cs="Times New Roman"/>
        </w:rPr>
        <w:t>“</w:t>
      </w:r>
      <w:r w:rsidRPr="00346F04">
        <w:rPr>
          <w:rFonts w:ascii="Times New Roman" w:hAnsi="Times New Roman" w:cs="Times New Roman"/>
        </w:rPr>
        <w:t xml:space="preserve">failed to demonstrate that the </w:t>
      </w:r>
      <w:r w:rsidRPr="001B7A09">
        <w:rPr>
          <w:rFonts w:ascii="Times New Roman" w:hAnsi="Times New Roman" w:cs="Times New Roman"/>
        </w:rPr>
        <w:t xml:space="preserve">[same] </w:t>
      </w:r>
      <w:r w:rsidRPr="00346F04">
        <w:rPr>
          <w:rFonts w:ascii="Times New Roman" w:hAnsi="Times New Roman" w:cs="Times New Roman"/>
        </w:rPr>
        <w:t xml:space="preserve">property retained its separate character because </w:t>
      </w:r>
      <w:r w:rsidRPr="001B7A09">
        <w:rPr>
          <w:rFonts w:ascii="Times New Roman" w:hAnsi="Times New Roman" w:cs="Times New Roman"/>
        </w:rPr>
        <w:t xml:space="preserve">*** </w:t>
      </w:r>
      <w:r w:rsidRPr="00346F04">
        <w:rPr>
          <w:rFonts w:ascii="Times New Roman" w:hAnsi="Times New Roman" w:cs="Times New Roman"/>
        </w:rPr>
        <w:t xml:space="preserve">title to the </w:t>
      </w:r>
      <w:r w:rsidRPr="001B7A09">
        <w:rPr>
          <w:rFonts w:ascii="Times New Roman" w:hAnsi="Times New Roman" w:cs="Times New Roman"/>
        </w:rPr>
        <w:t xml:space="preserve">[same] </w:t>
      </w:r>
      <w:r w:rsidRPr="00346F04">
        <w:rPr>
          <w:rFonts w:ascii="Times New Roman" w:hAnsi="Times New Roman" w:cs="Times New Roman"/>
        </w:rPr>
        <w:t xml:space="preserve">property was transferred to a trust in which both parties were trustees and had a beneficial interest in the trust, which indicated an intent on </w:t>
      </w:r>
      <w:r w:rsidRPr="001B7A09">
        <w:rPr>
          <w:rFonts w:ascii="Times New Roman" w:hAnsi="Times New Roman" w:cs="Times New Roman"/>
        </w:rPr>
        <w:t xml:space="preserve">[his] </w:t>
      </w:r>
      <w:r w:rsidRPr="00346F04">
        <w:rPr>
          <w:rFonts w:ascii="Times New Roman" w:hAnsi="Times New Roman" w:cs="Times New Roman"/>
        </w:rPr>
        <w:t xml:space="preserve">part </w:t>
      </w:r>
      <w:r w:rsidRPr="001B7A09">
        <w:rPr>
          <w:rFonts w:ascii="Times New Roman" w:hAnsi="Times New Roman" w:cs="Times New Roman"/>
        </w:rPr>
        <w:t xml:space="preserve">*** </w:t>
      </w:r>
      <w:r w:rsidRPr="00346F04">
        <w:rPr>
          <w:rFonts w:ascii="Times New Roman" w:hAnsi="Times New Roman" w:cs="Times New Roman"/>
        </w:rPr>
        <w:t xml:space="preserve">to transform the </w:t>
      </w:r>
      <w:r w:rsidRPr="001B7A09">
        <w:rPr>
          <w:rFonts w:ascii="Times New Roman" w:hAnsi="Times New Roman" w:cs="Times New Roman"/>
        </w:rPr>
        <w:t xml:space="preserve">[same] </w:t>
      </w:r>
      <w:r w:rsidRPr="00346F04">
        <w:rPr>
          <w:rFonts w:ascii="Times New Roman" w:hAnsi="Times New Roman" w:cs="Times New Roman"/>
        </w:rPr>
        <w:t>property into marital property</w:t>
      </w:r>
      <w:r w:rsidRPr="001B7A09">
        <w:rPr>
          <w:rFonts w:ascii="Times New Roman" w:hAnsi="Times New Roman" w:cs="Times New Roman"/>
        </w:rPr>
        <w:t>”; and he ”</w:t>
      </w:r>
      <w:r w:rsidRPr="00346F04">
        <w:rPr>
          <w:rFonts w:ascii="Times New Roman" w:hAnsi="Times New Roman" w:cs="Times New Roman"/>
        </w:rPr>
        <w:t xml:space="preserve">failed to demonstrate entitlement to a credit for the appreciation of the value of the </w:t>
      </w:r>
      <w:r w:rsidRPr="001B7A09">
        <w:rPr>
          <w:rFonts w:ascii="Times New Roman" w:hAnsi="Times New Roman" w:cs="Times New Roman"/>
        </w:rPr>
        <w:t xml:space="preserve">[same] </w:t>
      </w:r>
      <w:r w:rsidRPr="00346F04">
        <w:rPr>
          <w:rFonts w:ascii="Times New Roman" w:hAnsi="Times New Roman" w:cs="Times New Roman"/>
        </w:rPr>
        <w:t xml:space="preserve">property before it was transformed into marital property because </w:t>
      </w:r>
      <w:r w:rsidRPr="001B7A09">
        <w:rPr>
          <w:rFonts w:ascii="Times New Roman" w:hAnsi="Times New Roman" w:cs="Times New Roman"/>
        </w:rPr>
        <w:t xml:space="preserve">[he] </w:t>
      </w:r>
      <w:r w:rsidRPr="00346F04">
        <w:rPr>
          <w:rFonts w:ascii="Times New Roman" w:hAnsi="Times New Roman" w:cs="Times New Roman"/>
        </w:rPr>
        <w:t xml:space="preserve">failed to establish by competent evidence the monetary value of the alleged appreciation of the </w:t>
      </w:r>
      <w:r w:rsidRPr="001B7A09">
        <w:rPr>
          <w:rFonts w:ascii="Times New Roman" w:hAnsi="Times New Roman" w:cs="Times New Roman"/>
        </w:rPr>
        <w:t xml:space="preserve">[same] </w:t>
      </w:r>
      <w:r w:rsidRPr="00346F04">
        <w:rPr>
          <w:rFonts w:ascii="Times New Roman" w:hAnsi="Times New Roman" w:cs="Times New Roman"/>
        </w:rPr>
        <w:t>property at that tim</w:t>
      </w:r>
      <w:r w:rsidRPr="001B7A09">
        <w:rPr>
          <w:rFonts w:ascii="Times New Roman" w:hAnsi="Times New Roman" w:cs="Times New Roman"/>
        </w:rPr>
        <w:t xml:space="preserve">e.” </w:t>
      </w:r>
      <w:proofErr w:type="gramStart"/>
      <w:r w:rsidRPr="00186359">
        <w:rPr>
          <w:rFonts w:ascii="Times New Roman" w:hAnsi="Times New Roman" w:cs="Times New Roman"/>
          <w:b/>
          <w:bCs/>
          <w:i/>
          <w:iCs/>
        </w:rPr>
        <w:t>(2)(b)</w:t>
      </w:r>
      <w:r>
        <w:rPr>
          <w:rFonts w:ascii="Times New Roman" w:hAnsi="Times New Roman" w:cs="Times New Roman"/>
        </w:rPr>
        <w:t xml:space="preserve"> Further</w:t>
      </w:r>
      <w:proofErr w:type="gramEnd"/>
      <w:r>
        <w:rPr>
          <w:rFonts w:ascii="Times New Roman" w:hAnsi="Times New Roman" w:cs="Times New Roman"/>
        </w:rPr>
        <w:t>, a</w:t>
      </w:r>
      <w:r w:rsidRPr="001B7A09">
        <w:rPr>
          <w:rFonts w:ascii="Times New Roman" w:hAnsi="Times New Roman" w:cs="Times New Roman"/>
        </w:rPr>
        <w:t xml:space="preserve"> Massachusetts home the husband </w:t>
      </w:r>
      <w:r w:rsidRPr="00346F04">
        <w:rPr>
          <w:rFonts w:ascii="Times New Roman" w:hAnsi="Times New Roman" w:cs="Times New Roman"/>
        </w:rPr>
        <w:t xml:space="preserve">purchased </w:t>
      </w:r>
      <w:r w:rsidRPr="001B7A09">
        <w:rPr>
          <w:rFonts w:ascii="Times New Roman" w:hAnsi="Times New Roman" w:cs="Times New Roman"/>
        </w:rPr>
        <w:t xml:space="preserve">prior </w:t>
      </w:r>
      <w:r w:rsidRPr="00346F04">
        <w:rPr>
          <w:rFonts w:ascii="Times New Roman" w:hAnsi="Times New Roman" w:cs="Times New Roman"/>
        </w:rPr>
        <w:t>to the marriage</w:t>
      </w:r>
      <w:r w:rsidRPr="001B7A09">
        <w:rPr>
          <w:rFonts w:ascii="Times New Roman" w:hAnsi="Times New Roman" w:cs="Times New Roman"/>
        </w:rPr>
        <w:t xml:space="preserve"> was </w:t>
      </w:r>
      <w:r w:rsidRPr="00346F04">
        <w:rPr>
          <w:rFonts w:ascii="Times New Roman" w:hAnsi="Times New Roman" w:cs="Times New Roman"/>
        </w:rPr>
        <w:t>sold in 2002, generating a profit of $268,000</w:t>
      </w:r>
      <w:r w:rsidRPr="001B7A09">
        <w:rPr>
          <w:rFonts w:ascii="Times New Roman" w:hAnsi="Times New Roman" w:cs="Times New Roman"/>
        </w:rPr>
        <w:t xml:space="preserve">. </w:t>
      </w:r>
      <w:proofErr w:type="gramStart"/>
      <w:r w:rsidRPr="001B7A09">
        <w:rPr>
          <w:rFonts w:ascii="Times New Roman" w:hAnsi="Times New Roman" w:cs="Times New Roman"/>
        </w:rPr>
        <w:t>He contended</w:t>
      </w:r>
      <w:proofErr w:type="gramEnd"/>
      <w:r w:rsidRPr="001B7A09">
        <w:rPr>
          <w:rFonts w:ascii="Times New Roman" w:hAnsi="Times New Roman" w:cs="Times New Roman"/>
        </w:rPr>
        <w:t xml:space="preserve"> said profit was </w:t>
      </w:r>
      <w:r w:rsidRPr="00346F04">
        <w:rPr>
          <w:rFonts w:ascii="Times New Roman" w:hAnsi="Times New Roman" w:cs="Times New Roman"/>
        </w:rPr>
        <w:t xml:space="preserve">used to pay down the mortgage on </w:t>
      </w:r>
      <w:r w:rsidRPr="001B7A09">
        <w:rPr>
          <w:rFonts w:ascii="Times New Roman" w:hAnsi="Times New Roman" w:cs="Times New Roman"/>
        </w:rPr>
        <w:t xml:space="preserve">a second home the parties owned in MA, and after </w:t>
      </w:r>
      <w:r w:rsidR="00BD34CA">
        <w:rPr>
          <w:rFonts w:ascii="Times New Roman" w:hAnsi="Times New Roman" w:cs="Times New Roman"/>
        </w:rPr>
        <w:t xml:space="preserve">the </w:t>
      </w:r>
      <w:r w:rsidRPr="001B7A09">
        <w:rPr>
          <w:rFonts w:ascii="Times New Roman" w:hAnsi="Times New Roman" w:cs="Times New Roman"/>
        </w:rPr>
        <w:t>second MA home was sold</w:t>
      </w:r>
      <w:r w:rsidRPr="00346F04">
        <w:rPr>
          <w:rFonts w:ascii="Times New Roman" w:hAnsi="Times New Roman" w:cs="Times New Roman"/>
        </w:rPr>
        <w:t xml:space="preserve">, </w:t>
      </w:r>
      <w:r w:rsidRPr="001B7A09">
        <w:rPr>
          <w:rFonts w:ascii="Times New Roman" w:hAnsi="Times New Roman" w:cs="Times New Roman"/>
        </w:rPr>
        <w:t xml:space="preserve">sale proceeds thereof </w:t>
      </w:r>
      <w:r w:rsidRPr="00346F04">
        <w:rPr>
          <w:rFonts w:ascii="Times New Roman" w:hAnsi="Times New Roman" w:cs="Times New Roman"/>
        </w:rPr>
        <w:t xml:space="preserve">were placed into an investment </w:t>
      </w:r>
      <w:r w:rsidRPr="001B7A09">
        <w:rPr>
          <w:rFonts w:ascii="Times New Roman" w:hAnsi="Times New Roman" w:cs="Times New Roman"/>
        </w:rPr>
        <w:t xml:space="preserve">account, which, according to the wife, </w:t>
      </w:r>
      <w:r w:rsidRPr="00346F04">
        <w:rPr>
          <w:rFonts w:ascii="Times New Roman" w:hAnsi="Times New Roman" w:cs="Times New Roman"/>
        </w:rPr>
        <w:t xml:space="preserve">contained other marital funds. </w:t>
      </w:r>
      <w:r w:rsidRPr="001B7A09">
        <w:rPr>
          <w:rFonts w:ascii="Times New Roman" w:hAnsi="Times New Roman" w:cs="Times New Roman"/>
        </w:rPr>
        <w:t>The Second Department concluded that the husband’s “</w:t>
      </w:r>
      <w:r w:rsidRPr="00346F04">
        <w:rPr>
          <w:rFonts w:ascii="Times New Roman" w:hAnsi="Times New Roman" w:cs="Times New Roman"/>
        </w:rPr>
        <w:t xml:space="preserve">actions in using funds generated by the sale of </w:t>
      </w:r>
      <w:r w:rsidRPr="001B7A09">
        <w:rPr>
          <w:rFonts w:ascii="Times New Roman" w:hAnsi="Times New Roman" w:cs="Times New Roman"/>
        </w:rPr>
        <w:t xml:space="preserve">[his pre-marriage MA] </w:t>
      </w:r>
      <w:r w:rsidRPr="00346F04">
        <w:rPr>
          <w:rFonts w:ascii="Times New Roman" w:hAnsi="Times New Roman" w:cs="Times New Roman"/>
        </w:rPr>
        <w:t xml:space="preserve">property to pay down the mortgage on the </w:t>
      </w:r>
      <w:r w:rsidRPr="001B7A09">
        <w:rPr>
          <w:rFonts w:ascii="Times New Roman" w:hAnsi="Times New Roman" w:cs="Times New Roman"/>
        </w:rPr>
        <w:t>[second MA]</w:t>
      </w:r>
      <w:r w:rsidRPr="00346F04">
        <w:rPr>
          <w:rFonts w:ascii="Times New Roman" w:hAnsi="Times New Roman" w:cs="Times New Roman"/>
        </w:rPr>
        <w:t xml:space="preserve"> property that was owned by both parties, and then purportedly depositing money from the sale of the </w:t>
      </w:r>
      <w:r w:rsidRPr="001B7A09">
        <w:rPr>
          <w:rFonts w:ascii="Times New Roman" w:hAnsi="Times New Roman" w:cs="Times New Roman"/>
        </w:rPr>
        <w:t xml:space="preserve">[second MA] </w:t>
      </w:r>
      <w:r w:rsidRPr="00346F04">
        <w:rPr>
          <w:rFonts w:ascii="Times New Roman" w:hAnsi="Times New Roman" w:cs="Times New Roman"/>
        </w:rPr>
        <w:t xml:space="preserve">property into an investment fund containing marital funds, demonstrated that he did not intend for those funds to remain separate property, and the Supreme Court providently exercised its discretion by, in effect, denying the </w:t>
      </w:r>
      <w:r w:rsidRPr="001B7A09">
        <w:rPr>
          <w:rFonts w:ascii="Times New Roman" w:hAnsi="Times New Roman" w:cs="Times New Roman"/>
        </w:rPr>
        <w:t xml:space="preserve">[husband’s] </w:t>
      </w:r>
      <w:r w:rsidRPr="00346F04">
        <w:rPr>
          <w:rFonts w:ascii="Times New Roman" w:hAnsi="Times New Roman" w:cs="Times New Roman"/>
        </w:rPr>
        <w:t>request for a separate property credit in the amount of $268,000</w:t>
      </w:r>
      <w:r w:rsidRPr="001B7A09">
        <w:rPr>
          <w:rFonts w:ascii="Times New Roman" w:hAnsi="Times New Roman" w:cs="Times New Roman"/>
        </w:rPr>
        <w:t xml:space="preserve">.” </w:t>
      </w:r>
      <w:r w:rsidRPr="00186359">
        <w:rPr>
          <w:rFonts w:ascii="Times New Roman" w:hAnsi="Times New Roman" w:cs="Times New Roman"/>
          <w:b/>
          <w:bCs/>
          <w:i/>
          <w:iCs/>
        </w:rPr>
        <w:t>(3)</w:t>
      </w:r>
      <w:r w:rsidRPr="001B7A09">
        <w:rPr>
          <w:rFonts w:ascii="Times New Roman" w:hAnsi="Times New Roman" w:cs="Times New Roman"/>
          <w:b/>
          <w:bCs/>
        </w:rPr>
        <w:t xml:space="preserve"> </w:t>
      </w:r>
      <w:r w:rsidRPr="001B7A09">
        <w:rPr>
          <w:rFonts w:ascii="Times New Roman" w:hAnsi="Times New Roman" w:cs="Times New Roman"/>
        </w:rPr>
        <w:t>The Appellate Division conclude</w:t>
      </w:r>
      <w:r w:rsidR="00BD34CA">
        <w:rPr>
          <w:rFonts w:ascii="Times New Roman" w:hAnsi="Times New Roman" w:cs="Times New Roman"/>
        </w:rPr>
        <w:t>d</w:t>
      </w:r>
      <w:r w:rsidRPr="001B7A09">
        <w:rPr>
          <w:rFonts w:ascii="Times New Roman" w:hAnsi="Times New Roman" w:cs="Times New Roman"/>
        </w:rPr>
        <w:t xml:space="preserve"> that the trial court</w:t>
      </w:r>
      <w:r w:rsidR="00BD34CA">
        <w:rPr>
          <w:rFonts w:ascii="Times New Roman" w:hAnsi="Times New Roman" w:cs="Times New Roman"/>
        </w:rPr>
        <w:t xml:space="preserve"> “</w:t>
      </w:r>
      <w:r w:rsidRPr="00346F04">
        <w:rPr>
          <w:rFonts w:ascii="Times New Roman" w:hAnsi="Times New Roman" w:cs="Times New Roman"/>
        </w:rPr>
        <w:t xml:space="preserve">providently exercised its discretion in awarding the </w:t>
      </w:r>
      <w:r w:rsidRPr="001B7A09">
        <w:rPr>
          <w:rFonts w:ascii="Times New Roman" w:hAnsi="Times New Roman" w:cs="Times New Roman"/>
        </w:rPr>
        <w:t xml:space="preserve">[wife] </w:t>
      </w:r>
      <w:r w:rsidRPr="00346F04">
        <w:rPr>
          <w:rFonts w:ascii="Times New Roman" w:hAnsi="Times New Roman" w:cs="Times New Roman"/>
        </w:rPr>
        <w:t>attorneys</w:t>
      </w:r>
      <w:r w:rsidRPr="001B7A09">
        <w:rPr>
          <w:rFonts w:ascii="Times New Roman" w:hAnsi="Times New Roman" w:cs="Times New Roman"/>
        </w:rPr>
        <w:t>’</w:t>
      </w:r>
      <w:r w:rsidRPr="00346F04">
        <w:rPr>
          <w:rFonts w:ascii="Times New Roman" w:hAnsi="Times New Roman" w:cs="Times New Roman"/>
        </w:rPr>
        <w:t xml:space="preserve"> fees, as </w:t>
      </w:r>
      <w:r w:rsidRPr="001B7A09">
        <w:rPr>
          <w:rFonts w:ascii="Times New Roman" w:hAnsi="Times New Roman" w:cs="Times New Roman"/>
        </w:rPr>
        <w:t xml:space="preserve">[she] </w:t>
      </w:r>
      <w:r w:rsidRPr="00346F04">
        <w:rPr>
          <w:rFonts w:ascii="Times New Roman" w:hAnsi="Times New Roman" w:cs="Times New Roman"/>
        </w:rPr>
        <w:t xml:space="preserve">is the less monied spouse, and the </w:t>
      </w:r>
      <w:r w:rsidRPr="001B7A09">
        <w:rPr>
          <w:rFonts w:ascii="Times New Roman" w:hAnsi="Times New Roman" w:cs="Times New Roman"/>
        </w:rPr>
        <w:t>[husband’</w:t>
      </w:r>
      <w:r w:rsidRPr="00346F04">
        <w:rPr>
          <w:rFonts w:ascii="Times New Roman" w:hAnsi="Times New Roman" w:cs="Times New Roman"/>
        </w:rPr>
        <w:t>s</w:t>
      </w:r>
      <w:r w:rsidRPr="001B7A09">
        <w:rPr>
          <w:rFonts w:ascii="Times New Roman" w:hAnsi="Times New Roman" w:cs="Times New Roman"/>
        </w:rPr>
        <w:t>]</w:t>
      </w:r>
      <w:r w:rsidRPr="00346F04">
        <w:rPr>
          <w:rFonts w:ascii="Times New Roman" w:hAnsi="Times New Roman" w:cs="Times New Roman"/>
        </w:rPr>
        <w:t xml:space="preserve"> conduct </w:t>
      </w:r>
      <w:r w:rsidRPr="00346F04">
        <w:rPr>
          <w:rFonts w:ascii="Times New Roman" w:hAnsi="Times New Roman" w:cs="Times New Roman"/>
        </w:rPr>
        <w:lastRenderedPageBreak/>
        <w:t>throughout the proceedings unnecessarily delayed the litigation</w:t>
      </w:r>
      <w:r w:rsidRPr="001B7A09">
        <w:rPr>
          <w:rFonts w:ascii="Times New Roman" w:hAnsi="Times New Roman" w:cs="Times New Roman"/>
        </w:rPr>
        <w:t>,” but “</w:t>
      </w:r>
      <w:r w:rsidRPr="00346F04">
        <w:rPr>
          <w:rFonts w:ascii="Times New Roman" w:hAnsi="Times New Roman" w:cs="Times New Roman"/>
        </w:rPr>
        <w:t xml:space="preserve">the record does not support </w:t>
      </w:r>
      <w:r w:rsidRPr="001B7A09">
        <w:rPr>
          <w:rFonts w:ascii="Times New Roman" w:hAnsi="Times New Roman" w:cs="Times New Roman"/>
        </w:rPr>
        <w:t>[her]</w:t>
      </w:r>
      <w:r w:rsidRPr="00346F04">
        <w:rPr>
          <w:rFonts w:ascii="Times New Roman" w:hAnsi="Times New Roman" w:cs="Times New Roman"/>
        </w:rPr>
        <w:t xml:space="preserve"> contention that she should have been awarded the sum of $100,000 in attorneys</w:t>
      </w:r>
      <w:r w:rsidRPr="001B7A09">
        <w:rPr>
          <w:rFonts w:ascii="Times New Roman" w:hAnsi="Times New Roman" w:cs="Times New Roman"/>
        </w:rPr>
        <w:t>’</w:t>
      </w:r>
      <w:r w:rsidRPr="00346F04">
        <w:rPr>
          <w:rFonts w:ascii="Times New Roman" w:hAnsi="Times New Roman" w:cs="Times New Roman"/>
        </w:rPr>
        <w:t xml:space="preserve"> fees.</w:t>
      </w:r>
      <w:r w:rsidRPr="001B7A09">
        <w:rPr>
          <w:rFonts w:ascii="Times New Roman" w:hAnsi="Times New Roman" w:cs="Times New Roman"/>
        </w:rPr>
        <w:t>”</w:t>
      </w:r>
      <w:r w:rsidR="00F040C7">
        <w:rPr>
          <w:rFonts w:ascii="Times New Roman" w:hAnsi="Times New Roman" w:cs="Times New Roman"/>
        </w:rPr>
        <w:t xml:space="preserve"> </w:t>
      </w:r>
    </w:p>
    <w:p w14:paraId="76968703" w14:textId="77777777" w:rsidR="00F040C7" w:rsidRDefault="00F040C7" w:rsidP="0087792D">
      <w:pPr>
        <w:pStyle w:val="Heading2"/>
        <w:numPr>
          <w:ilvl w:val="0"/>
          <w:numId w:val="0"/>
        </w:numPr>
        <w:spacing w:line="240" w:lineRule="auto"/>
        <w:jc w:val="both"/>
        <w:rPr>
          <w:rFonts w:ascii="Times New Roman" w:hAnsi="Times New Roman" w:cs="Times New Roman"/>
        </w:rPr>
      </w:pPr>
    </w:p>
    <w:p w14:paraId="7FA4304F" w14:textId="07C66665" w:rsidR="0087792D" w:rsidRDefault="00F040C7" w:rsidP="0087792D">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To the same effect upon the principle that where “the reality of the situation reflects that neither parent can be said to have physical custody of the children for the majority of the time *** the parent with the higher income *** [is] deemed the noncustodial parent for child support purposes,” is </w:t>
      </w:r>
      <w:r w:rsidRPr="003954A4">
        <w:rPr>
          <w:rFonts w:ascii="Times New Roman" w:hAnsi="Times New Roman" w:cs="Times New Roman"/>
          <w:u w:val="single"/>
        </w:rPr>
        <w:t>Matter of Roberts v. Aurivichitaroon</w:t>
      </w:r>
      <w:r>
        <w:rPr>
          <w:rFonts w:ascii="Times New Roman" w:hAnsi="Times New Roman" w:cs="Times New Roman"/>
        </w:rPr>
        <w:t>, 2026 Westlaw 1408419 (2d Dept. May 20, 2026).</w:t>
      </w:r>
    </w:p>
    <w:p w14:paraId="6F756E48" w14:textId="77777777" w:rsidR="00000225" w:rsidRDefault="00000225" w:rsidP="00000225">
      <w:pPr>
        <w:pStyle w:val="Heading2"/>
        <w:numPr>
          <w:ilvl w:val="0"/>
          <w:numId w:val="0"/>
        </w:numPr>
        <w:spacing w:line="240" w:lineRule="auto"/>
        <w:jc w:val="both"/>
        <w:rPr>
          <w:rFonts w:ascii="Times New Roman" w:hAnsi="Times New Roman" w:cs="Times New Roman"/>
        </w:rPr>
      </w:pPr>
    </w:p>
    <w:p w14:paraId="37B4DDA6" w14:textId="66F04B20" w:rsidR="00000225" w:rsidRDefault="00000225" w:rsidP="00000225">
      <w:pPr>
        <w:pStyle w:val="Heading2"/>
        <w:numPr>
          <w:ilvl w:val="0"/>
          <w:numId w:val="0"/>
        </w:numPr>
        <w:spacing w:line="240" w:lineRule="auto"/>
        <w:jc w:val="both"/>
        <w:rPr>
          <w:rFonts w:ascii="Times New Roman" w:hAnsi="Times New Roman" w:cs="Times New Roman"/>
          <w:b/>
          <w:bCs/>
        </w:rPr>
      </w:pPr>
      <w:r w:rsidRPr="00000225">
        <w:rPr>
          <w:rFonts w:ascii="Times New Roman" w:hAnsi="Times New Roman" w:cs="Times New Roman"/>
          <w:b/>
          <w:bCs/>
        </w:rPr>
        <w:t xml:space="preserve">Child Support - </w:t>
      </w:r>
      <w:bookmarkStart w:id="1" w:name="_Hlk229858113"/>
      <w:r w:rsidRPr="00000225">
        <w:rPr>
          <w:rFonts w:ascii="Times New Roman" w:hAnsi="Times New Roman" w:cs="Times New Roman"/>
          <w:b/>
          <w:bCs/>
        </w:rPr>
        <w:t>CSSA – Imputed Income, Childcare, Extracurricular Activities, Summer Camp</w:t>
      </w:r>
      <w:bookmarkEnd w:id="1"/>
      <w:r>
        <w:rPr>
          <w:rFonts w:ascii="Times New Roman" w:hAnsi="Times New Roman" w:cs="Times New Roman"/>
          <w:b/>
          <w:bCs/>
        </w:rPr>
        <w:t xml:space="preserve">; Counsel Fees – After Trial; Equitable Distribution </w:t>
      </w:r>
      <w:r w:rsidRPr="00000225">
        <w:rPr>
          <w:rFonts w:ascii="Times New Roman" w:hAnsi="Times New Roman" w:cs="Times New Roman"/>
          <w:b/>
          <w:bCs/>
        </w:rPr>
        <w:t>- Proportions – Real Property (20%, 30%, and 50%)</w:t>
      </w:r>
      <w:r>
        <w:rPr>
          <w:rFonts w:ascii="Times New Roman" w:hAnsi="Times New Roman" w:cs="Times New Roman"/>
          <w:b/>
          <w:bCs/>
        </w:rPr>
        <w:t xml:space="preserve">, </w:t>
      </w:r>
      <w:r w:rsidRPr="00000225">
        <w:rPr>
          <w:rFonts w:ascii="Times New Roman" w:hAnsi="Times New Roman" w:cs="Times New Roman"/>
          <w:b/>
          <w:bCs/>
        </w:rPr>
        <w:t>Separate Property – Real Property - Appreciation Not Awarded – Market Forces</w:t>
      </w:r>
    </w:p>
    <w:p w14:paraId="0929E320" w14:textId="77777777" w:rsidR="00000225" w:rsidRPr="00000225" w:rsidRDefault="00000225" w:rsidP="00000225">
      <w:pPr>
        <w:pStyle w:val="Heading2"/>
        <w:numPr>
          <w:ilvl w:val="0"/>
          <w:numId w:val="0"/>
        </w:numPr>
        <w:spacing w:line="240" w:lineRule="auto"/>
        <w:jc w:val="both"/>
        <w:rPr>
          <w:rFonts w:ascii="Times New Roman" w:hAnsi="Times New Roman" w:cs="Times New Roman"/>
          <w:b/>
          <w:bCs/>
        </w:rPr>
      </w:pPr>
    </w:p>
    <w:p w14:paraId="40CE4A7C" w14:textId="49FC35C9" w:rsidR="00000225" w:rsidRDefault="00000225" w:rsidP="00000225">
      <w:pPr>
        <w:pStyle w:val="Heading2"/>
        <w:numPr>
          <w:ilvl w:val="0"/>
          <w:numId w:val="0"/>
        </w:numPr>
        <w:spacing w:line="240" w:lineRule="auto"/>
        <w:jc w:val="both"/>
        <w:rPr>
          <w:rFonts w:ascii="Times New Roman" w:hAnsi="Times New Roman" w:cs="Times New Roman"/>
        </w:rPr>
      </w:pPr>
      <w:r>
        <w:tab/>
      </w:r>
      <w:r w:rsidRPr="0088217B">
        <w:rPr>
          <w:rFonts w:ascii="Times New Roman" w:hAnsi="Times New Roman" w:cs="Times New Roman"/>
        </w:rPr>
        <w:t xml:space="preserve">In </w:t>
      </w:r>
      <w:r w:rsidRPr="00000225">
        <w:rPr>
          <w:rFonts w:ascii="Times New Roman" w:hAnsi="Times New Roman" w:cs="Times New Roman"/>
          <w:b/>
          <w:bCs/>
          <w:i/>
          <w:iCs/>
        </w:rPr>
        <w:t>Luo v. Lee</w:t>
      </w:r>
      <w:r w:rsidRPr="0088217B">
        <w:rPr>
          <w:rFonts w:ascii="Times New Roman" w:hAnsi="Times New Roman" w:cs="Times New Roman"/>
        </w:rPr>
        <w:t>, 2026 Westlaw</w:t>
      </w:r>
      <w:r>
        <w:rPr>
          <w:rFonts w:ascii="Times New Roman" w:hAnsi="Times New Roman" w:cs="Times New Roman"/>
        </w:rPr>
        <w:t xml:space="preserve"> 1317880 </w:t>
      </w:r>
      <w:r w:rsidRPr="0088217B">
        <w:rPr>
          <w:rFonts w:ascii="Times New Roman" w:hAnsi="Times New Roman" w:cs="Times New Roman"/>
        </w:rPr>
        <w:t xml:space="preserve">(2d Dept. May 13, 2026), the parties were married in 1998 and have 2 children. The wife appealed from a July 2021 judgment of divorce, rendered upon a February 2021 decision following trial of the wife’s 2016 action which, among other things: </w:t>
      </w:r>
      <w:r w:rsidRPr="0088217B">
        <w:rPr>
          <w:rFonts w:ascii="Times New Roman" w:hAnsi="Times New Roman" w:cs="Times New Roman"/>
          <w:b/>
          <w:bCs/>
          <w:i/>
          <w:iCs/>
        </w:rPr>
        <w:t>(1)</w:t>
      </w:r>
      <w:r w:rsidRPr="0088217B">
        <w:rPr>
          <w:rFonts w:ascii="Times New Roman" w:hAnsi="Times New Roman" w:cs="Times New Roman"/>
        </w:rPr>
        <w:t xml:space="preserve"> awarded her only $2,016.20 per month in maintenance and only $2,310 per month in child support</w:t>
      </w:r>
      <w:r>
        <w:rPr>
          <w:rFonts w:ascii="Times New Roman" w:hAnsi="Times New Roman" w:cs="Times New Roman"/>
        </w:rPr>
        <w:t xml:space="preserve"> based upon imputed income</w:t>
      </w:r>
      <w:r w:rsidRPr="0088217B">
        <w:rPr>
          <w:rFonts w:ascii="Times New Roman" w:hAnsi="Times New Roman" w:cs="Times New Roman"/>
        </w:rPr>
        <w:t xml:space="preserve">; </w:t>
      </w:r>
      <w:r w:rsidRPr="0088217B">
        <w:rPr>
          <w:rFonts w:ascii="Times New Roman" w:hAnsi="Times New Roman" w:cs="Times New Roman"/>
          <w:b/>
          <w:bCs/>
          <w:i/>
          <w:iCs/>
        </w:rPr>
        <w:t>(2)</w:t>
      </w:r>
      <w:r w:rsidRPr="0088217B">
        <w:rPr>
          <w:rFonts w:ascii="Times New Roman" w:hAnsi="Times New Roman" w:cs="Times New Roman"/>
        </w:rPr>
        <w:t xml:space="preserve"> awarded her only $120,000 (20%) as her share of real estate held by Forbest Fortune Realty, Inc.</w:t>
      </w:r>
      <w:r>
        <w:rPr>
          <w:rFonts w:ascii="Times New Roman" w:hAnsi="Times New Roman" w:cs="Times New Roman"/>
        </w:rPr>
        <w:t xml:space="preserve"> and </w:t>
      </w:r>
      <w:r w:rsidRPr="0088217B">
        <w:rPr>
          <w:rFonts w:ascii="Times New Roman" w:hAnsi="Times New Roman" w:cs="Times New Roman"/>
        </w:rPr>
        <w:t xml:space="preserve">$129,000 (30%) as her share of real estate held by Lucky Fortune Realty, Inc.; </w:t>
      </w:r>
      <w:r w:rsidRPr="0088217B">
        <w:rPr>
          <w:rFonts w:ascii="Times New Roman" w:hAnsi="Times New Roman" w:cs="Times New Roman"/>
          <w:b/>
          <w:bCs/>
          <w:i/>
          <w:iCs/>
        </w:rPr>
        <w:t>(3)</w:t>
      </w:r>
      <w:r w:rsidRPr="0088217B">
        <w:rPr>
          <w:rFonts w:ascii="Times New Roman" w:hAnsi="Times New Roman" w:cs="Times New Roman"/>
        </w:rPr>
        <w:t xml:space="preserve"> failed to award her any share of the appreciation of real estate held by Bright Fortune, Inc., and Fine Fortune, Inc.; </w:t>
      </w:r>
      <w:r w:rsidRPr="0088217B">
        <w:rPr>
          <w:rFonts w:ascii="Times New Roman" w:hAnsi="Times New Roman" w:cs="Times New Roman"/>
          <w:b/>
          <w:bCs/>
          <w:i/>
          <w:iCs/>
        </w:rPr>
        <w:t>(</w:t>
      </w:r>
      <w:r>
        <w:rPr>
          <w:rFonts w:ascii="Times New Roman" w:hAnsi="Times New Roman" w:cs="Times New Roman"/>
          <w:b/>
          <w:bCs/>
          <w:i/>
          <w:iCs/>
        </w:rPr>
        <w:t>4</w:t>
      </w:r>
      <w:r w:rsidRPr="0088217B">
        <w:rPr>
          <w:rFonts w:ascii="Times New Roman" w:hAnsi="Times New Roman" w:cs="Times New Roman"/>
          <w:b/>
          <w:bCs/>
          <w:i/>
          <w:iCs/>
        </w:rPr>
        <w:t>)</w:t>
      </w:r>
      <w:r w:rsidRPr="0088217B">
        <w:rPr>
          <w:rFonts w:ascii="Times New Roman" w:hAnsi="Times New Roman" w:cs="Times New Roman"/>
        </w:rPr>
        <w:t xml:space="preserve"> awarded her counsel and expert fees of only $475,000; </w:t>
      </w:r>
      <w:r w:rsidRPr="0088217B">
        <w:rPr>
          <w:rFonts w:ascii="Times New Roman" w:hAnsi="Times New Roman" w:cs="Times New Roman"/>
          <w:b/>
          <w:bCs/>
          <w:i/>
          <w:iCs/>
        </w:rPr>
        <w:t>(5)</w:t>
      </w:r>
      <w:r w:rsidRPr="0088217B">
        <w:rPr>
          <w:rFonts w:ascii="Times New Roman" w:hAnsi="Times New Roman" w:cs="Times New Roman"/>
        </w:rPr>
        <w:t xml:space="preserve"> apportioned the children's educational and extracurricular expenses 28% to her and 72% to the husband; </w:t>
      </w:r>
      <w:r>
        <w:rPr>
          <w:rFonts w:ascii="Times New Roman" w:hAnsi="Times New Roman" w:cs="Times New Roman"/>
        </w:rPr>
        <w:t xml:space="preserve">and </w:t>
      </w:r>
      <w:r w:rsidRPr="001D7C5F">
        <w:rPr>
          <w:rFonts w:ascii="Times New Roman" w:hAnsi="Times New Roman" w:cs="Times New Roman"/>
          <w:b/>
          <w:bCs/>
          <w:i/>
          <w:iCs/>
        </w:rPr>
        <w:t>(6)</w:t>
      </w:r>
      <w:r>
        <w:rPr>
          <w:rFonts w:ascii="Times New Roman" w:hAnsi="Times New Roman" w:cs="Times New Roman"/>
        </w:rPr>
        <w:t xml:space="preserve"> </w:t>
      </w:r>
      <w:r w:rsidRPr="0088217B">
        <w:rPr>
          <w:rFonts w:ascii="Times New Roman" w:hAnsi="Times New Roman" w:cs="Times New Roman"/>
        </w:rPr>
        <w:t xml:space="preserve">directed the husband to maintain life insurance of only $300,000. The Second Department </w:t>
      </w:r>
      <w:r w:rsidRPr="00A54BAA">
        <w:rPr>
          <w:rFonts w:ascii="Times New Roman" w:hAnsi="Times New Roman" w:cs="Times New Roman"/>
        </w:rPr>
        <w:t>affirmed</w:t>
      </w:r>
      <w:r w:rsidRPr="0088217B">
        <w:rPr>
          <w:rFonts w:ascii="Times New Roman" w:hAnsi="Times New Roman" w:cs="Times New Roman"/>
        </w:rPr>
        <w:t xml:space="preserve">, holding: </w:t>
      </w:r>
      <w:r w:rsidRPr="001D7C5F">
        <w:rPr>
          <w:rFonts w:ascii="Times New Roman" w:hAnsi="Times New Roman" w:cs="Times New Roman"/>
          <w:b/>
          <w:bCs/>
          <w:i/>
          <w:iCs/>
        </w:rPr>
        <w:t>(1)</w:t>
      </w:r>
      <w:r w:rsidRPr="00A54BAA">
        <w:rPr>
          <w:rFonts w:ascii="Times New Roman" w:hAnsi="Times New Roman" w:cs="Times New Roman"/>
        </w:rPr>
        <w:t xml:space="preserve"> </w:t>
      </w:r>
      <w:r w:rsidRPr="0088217B">
        <w:rPr>
          <w:rFonts w:ascii="Times New Roman" w:hAnsi="Times New Roman" w:cs="Times New Roman"/>
        </w:rPr>
        <w:t>“</w:t>
      </w:r>
      <w:r w:rsidRPr="00A54BAA">
        <w:rPr>
          <w:rFonts w:ascii="Times New Roman" w:hAnsi="Times New Roman" w:cs="Times New Roman"/>
        </w:rPr>
        <w:t xml:space="preserve">Supreme Court providently </w:t>
      </w:r>
      <w:r w:rsidRPr="0088217B">
        <w:rPr>
          <w:rFonts w:ascii="Times New Roman" w:hAnsi="Times New Roman" w:cs="Times New Roman"/>
        </w:rPr>
        <w:t xml:space="preserve">*** </w:t>
      </w:r>
      <w:r w:rsidRPr="00A54BAA">
        <w:rPr>
          <w:rFonts w:ascii="Times New Roman" w:hAnsi="Times New Roman" w:cs="Times New Roman"/>
        </w:rPr>
        <w:t>imput</w:t>
      </w:r>
      <w:r w:rsidRPr="0088217B">
        <w:rPr>
          <w:rFonts w:ascii="Times New Roman" w:hAnsi="Times New Roman" w:cs="Times New Roman"/>
        </w:rPr>
        <w:t>[ed]</w:t>
      </w:r>
      <w:r w:rsidRPr="00A54BAA">
        <w:rPr>
          <w:rFonts w:ascii="Times New Roman" w:hAnsi="Times New Roman" w:cs="Times New Roman"/>
        </w:rPr>
        <w:t xml:space="preserve"> income to the </w:t>
      </w:r>
      <w:r w:rsidRPr="0088217B">
        <w:rPr>
          <w:rFonts w:ascii="Times New Roman" w:hAnsi="Times New Roman" w:cs="Times New Roman"/>
        </w:rPr>
        <w:t xml:space="preserve">[husband] </w:t>
      </w:r>
      <w:r w:rsidRPr="00A54BAA">
        <w:rPr>
          <w:rFonts w:ascii="Times New Roman" w:hAnsi="Times New Roman" w:cs="Times New Roman"/>
        </w:rPr>
        <w:t>in the sum of $120,000 annually, resulting in a total annual income of $156,000, for the purpose of calculating maintenance and child support based upon his stated income and evidence of additional income in the form of purported gifts from his family and rents received from various properties that he managed</w:t>
      </w:r>
      <w:r w:rsidRPr="0088217B">
        <w:rPr>
          <w:rFonts w:ascii="Times New Roman" w:hAnsi="Times New Roman" w:cs="Times New Roman"/>
        </w:rPr>
        <w:t xml:space="preserve"> (citations omitted).</w:t>
      </w:r>
      <w:r>
        <w:rPr>
          <w:rFonts w:ascii="Times New Roman" w:hAnsi="Times New Roman" w:cs="Times New Roman"/>
        </w:rPr>
        <w:t>”</w:t>
      </w:r>
      <w:r w:rsidRPr="0088217B">
        <w:rPr>
          <w:rFonts w:ascii="Times New Roman" w:hAnsi="Times New Roman" w:cs="Times New Roman"/>
        </w:rPr>
        <w:t xml:space="preserve"> </w:t>
      </w:r>
      <w:r w:rsidRPr="001D7C5F">
        <w:rPr>
          <w:rFonts w:ascii="Times New Roman" w:hAnsi="Times New Roman" w:cs="Times New Roman"/>
          <w:b/>
          <w:bCs/>
          <w:i/>
          <w:iCs/>
        </w:rPr>
        <w:t>(2)</w:t>
      </w:r>
      <w:r w:rsidRPr="00A54BAA">
        <w:rPr>
          <w:rFonts w:ascii="Times New Roman" w:hAnsi="Times New Roman" w:cs="Times New Roman"/>
        </w:rPr>
        <w:t xml:space="preserve"> </w:t>
      </w:r>
      <w:r w:rsidRPr="0088217B">
        <w:rPr>
          <w:rFonts w:ascii="Times New Roman" w:hAnsi="Times New Roman" w:cs="Times New Roman"/>
        </w:rPr>
        <w:t>“</w:t>
      </w:r>
      <w:r w:rsidRPr="00A54BAA">
        <w:rPr>
          <w:rFonts w:ascii="Times New Roman" w:hAnsi="Times New Roman" w:cs="Times New Roman"/>
        </w:rPr>
        <w:t xml:space="preserve">the testimony and evidence presented supported </w:t>
      </w:r>
      <w:r>
        <w:rPr>
          <w:rFonts w:ascii="Times New Roman" w:hAnsi="Times New Roman" w:cs="Times New Roman"/>
        </w:rPr>
        <w:t>[the]</w:t>
      </w:r>
      <w:r w:rsidRPr="00A54BAA">
        <w:rPr>
          <w:rFonts w:ascii="Times New Roman" w:hAnsi="Times New Roman" w:cs="Times New Roman"/>
        </w:rPr>
        <w:t xml:space="preserve"> determination that the </w:t>
      </w:r>
      <w:r w:rsidRPr="0088217B">
        <w:rPr>
          <w:rFonts w:ascii="Times New Roman" w:hAnsi="Times New Roman" w:cs="Times New Roman"/>
        </w:rPr>
        <w:t>[husband’s]” interests in the Forbest Fortune and Lucky Fortune parcels “</w:t>
      </w:r>
      <w:r w:rsidRPr="00A54BAA">
        <w:rPr>
          <w:rFonts w:ascii="Times New Roman" w:hAnsi="Times New Roman" w:cs="Times New Roman"/>
        </w:rPr>
        <w:t>constituted marital property subject to equitable distribution</w:t>
      </w:r>
      <w:r w:rsidRPr="0088217B">
        <w:rPr>
          <w:rFonts w:ascii="Times New Roman" w:hAnsi="Times New Roman" w:cs="Times New Roman"/>
        </w:rPr>
        <w:t>” and properly awarded the wife “</w:t>
      </w:r>
      <w:r w:rsidRPr="00A54BAA">
        <w:rPr>
          <w:rFonts w:ascii="Times New Roman" w:hAnsi="Times New Roman" w:cs="Times New Roman"/>
        </w:rPr>
        <w:t xml:space="preserve">one-half of the </w:t>
      </w:r>
      <w:r w:rsidRPr="0088217B">
        <w:rPr>
          <w:rFonts w:ascii="Times New Roman" w:hAnsi="Times New Roman" w:cs="Times New Roman"/>
        </w:rPr>
        <w:t>[husband’s]</w:t>
      </w:r>
      <w:r w:rsidRPr="00A54BAA">
        <w:rPr>
          <w:rFonts w:ascii="Times New Roman" w:hAnsi="Times New Roman" w:cs="Times New Roman"/>
        </w:rPr>
        <w:t xml:space="preserve"> interest in those properties.</w:t>
      </w:r>
      <w:r w:rsidR="00BD34CA">
        <w:rPr>
          <w:rFonts w:ascii="Times New Roman" w:hAnsi="Times New Roman" w:cs="Times New Roman"/>
        </w:rPr>
        <w:t>”</w:t>
      </w:r>
      <w:r w:rsidRPr="0088217B">
        <w:rPr>
          <w:rFonts w:ascii="Times New Roman" w:hAnsi="Times New Roman" w:cs="Times New Roman"/>
        </w:rPr>
        <w:t xml:space="preserve"> </w:t>
      </w:r>
      <w:r w:rsidRPr="001D7C5F">
        <w:rPr>
          <w:rFonts w:ascii="Times New Roman" w:hAnsi="Times New Roman" w:cs="Times New Roman"/>
          <w:b/>
          <w:bCs/>
          <w:i/>
          <w:iCs/>
        </w:rPr>
        <w:t>(3)</w:t>
      </w:r>
      <w:r w:rsidRPr="00A54BAA">
        <w:rPr>
          <w:rFonts w:ascii="Times New Roman" w:hAnsi="Times New Roman" w:cs="Times New Roman"/>
        </w:rPr>
        <w:t xml:space="preserve"> </w:t>
      </w:r>
      <w:r w:rsidRPr="0088217B">
        <w:rPr>
          <w:rFonts w:ascii="Times New Roman" w:hAnsi="Times New Roman" w:cs="Times New Roman"/>
        </w:rPr>
        <w:t>Supreme Court “</w:t>
      </w:r>
      <w:r w:rsidRPr="00A54BAA">
        <w:rPr>
          <w:rFonts w:ascii="Times New Roman" w:hAnsi="Times New Roman" w:cs="Times New Roman"/>
        </w:rPr>
        <w:t xml:space="preserve">properly determined that the </w:t>
      </w:r>
      <w:r w:rsidRPr="0088217B">
        <w:rPr>
          <w:rFonts w:ascii="Times New Roman" w:hAnsi="Times New Roman" w:cs="Times New Roman"/>
        </w:rPr>
        <w:t xml:space="preserve">[husband’s] </w:t>
      </w:r>
      <w:r w:rsidRPr="00A54BAA">
        <w:rPr>
          <w:rFonts w:ascii="Times New Roman" w:hAnsi="Times New Roman" w:cs="Times New Roman"/>
        </w:rPr>
        <w:t xml:space="preserve">interest in </w:t>
      </w:r>
      <w:r w:rsidRPr="0088217B">
        <w:rPr>
          <w:rFonts w:ascii="Times New Roman" w:hAnsi="Times New Roman" w:cs="Times New Roman"/>
        </w:rPr>
        <w:t>[the Bright Fortune and Fine Fortune properties] ***</w:t>
      </w:r>
      <w:r w:rsidRPr="00A54BAA">
        <w:rPr>
          <w:rFonts w:ascii="Times New Roman" w:hAnsi="Times New Roman" w:cs="Times New Roman"/>
        </w:rPr>
        <w:t xml:space="preserve"> constituted separate property and that the </w:t>
      </w:r>
      <w:r w:rsidRPr="0088217B">
        <w:rPr>
          <w:rFonts w:ascii="Times New Roman" w:hAnsi="Times New Roman" w:cs="Times New Roman"/>
        </w:rPr>
        <w:t xml:space="preserve">[wife] </w:t>
      </w:r>
      <w:r w:rsidRPr="00A54BAA">
        <w:rPr>
          <w:rFonts w:ascii="Times New Roman" w:hAnsi="Times New Roman" w:cs="Times New Roman"/>
        </w:rPr>
        <w:t>failed to establish that any appreciation in the value of those properties constituted marital property subject to equitable distribution, since she failed to demonstrate that any appreciation was caused by anything other than market forces</w:t>
      </w:r>
      <w:r w:rsidRPr="0088217B">
        <w:rPr>
          <w:rFonts w:ascii="Times New Roman" w:hAnsi="Times New Roman" w:cs="Times New Roman"/>
        </w:rPr>
        <w:t>” and “[t]</w:t>
      </w:r>
      <w:r w:rsidRPr="00A54BAA">
        <w:rPr>
          <w:rFonts w:ascii="Times New Roman" w:hAnsi="Times New Roman" w:cs="Times New Roman"/>
        </w:rPr>
        <w:t xml:space="preserve">o the extent that the </w:t>
      </w:r>
      <w:r w:rsidRPr="0088217B">
        <w:rPr>
          <w:rFonts w:ascii="Times New Roman" w:hAnsi="Times New Roman" w:cs="Times New Roman"/>
        </w:rPr>
        <w:t xml:space="preserve">[wife] </w:t>
      </w:r>
      <w:r w:rsidRPr="00A54BAA">
        <w:rPr>
          <w:rFonts w:ascii="Times New Roman" w:hAnsi="Times New Roman" w:cs="Times New Roman"/>
        </w:rPr>
        <w:t xml:space="preserve">contends that the Supreme Court erred in failing to distribute the values of the corporations rather than the value of the properties, such contention is without merit since the evidence demonstrated that the assets of the corporations were limited to the properties and the corporate bank accounts, and the court equitably distributed the value of the </w:t>
      </w:r>
      <w:r w:rsidRPr="0088217B">
        <w:rPr>
          <w:rFonts w:ascii="Times New Roman" w:hAnsi="Times New Roman" w:cs="Times New Roman"/>
        </w:rPr>
        <w:t xml:space="preserve">[husband’s] </w:t>
      </w:r>
      <w:r w:rsidRPr="00A54BAA">
        <w:rPr>
          <w:rFonts w:ascii="Times New Roman" w:hAnsi="Times New Roman" w:cs="Times New Roman"/>
        </w:rPr>
        <w:t>interest in the corporate bank accounts.</w:t>
      </w:r>
      <w:r w:rsidRPr="0088217B">
        <w:rPr>
          <w:rFonts w:ascii="Times New Roman" w:hAnsi="Times New Roman" w:cs="Times New Roman"/>
        </w:rPr>
        <w:t xml:space="preserve">” </w:t>
      </w:r>
      <w:r w:rsidRPr="001D7C5F">
        <w:rPr>
          <w:rFonts w:ascii="Times New Roman" w:hAnsi="Times New Roman" w:cs="Times New Roman"/>
          <w:b/>
          <w:bCs/>
          <w:i/>
          <w:iCs/>
        </w:rPr>
        <w:t>(4)</w:t>
      </w:r>
      <w:r w:rsidRPr="00A54BAA">
        <w:rPr>
          <w:rFonts w:ascii="Times New Roman" w:hAnsi="Times New Roman" w:cs="Times New Roman"/>
        </w:rPr>
        <w:t xml:space="preserve"> </w:t>
      </w:r>
      <w:r w:rsidRPr="0088217B">
        <w:rPr>
          <w:rFonts w:ascii="Times New Roman" w:hAnsi="Times New Roman" w:cs="Times New Roman"/>
        </w:rPr>
        <w:t>[C]</w:t>
      </w:r>
      <w:r w:rsidRPr="00A54BAA">
        <w:rPr>
          <w:rFonts w:ascii="Times New Roman" w:hAnsi="Times New Roman" w:cs="Times New Roman"/>
        </w:rPr>
        <w:t xml:space="preserve">onsidering the financial circumstances of the parties and the circumstances of the </w:t>
      </w:r>
      <w:proofErr w:type="gramStart"/>
      <w:r w:rsidRPr="00A54BAA">
        <w:rPr>
          <w:rFonts w:ascii="Times New Roman" w:hAnsi="Times New Roman" w:cs="Times New Roman"/>
        </w:rPr>
        <w:t>case as a whole, including</w:t>
      </w:r>
      <w:proofErr w:type="gramEnd"/>
      <w:r w:rsidRPr="00A54BAA">
        <w:rPr>
          <w:rFonts w:ascii="Times New Roman" w:hAnsi="Times New Roman" w:cs="Times New Roman"/>
        </w:rPr>
        <w:t xml:space="preserve"> the relative merits of the parties' positions and whether either party delayed the proceedings or engaged in unnecessary litigation, the Supreme Court providently exercised its discretion in awarding the </w:t>
      </w:r>
      <w:r w:rsidRPr="0088217B">
        <w:rPr>
          <w:rFonts w:ascii="Times New Roman" w:hAnsi="Times New Roman" w:cs="Times New Roman"/>
        </w:rPr>
        <w:t xml:space="preserve">[wife] </w:t>
      </w:r>
      <w:r w:rsidRPr="00A54BAA">
        <w:rPr>
          <w:rFonts w:ascii="Times New Roman" w:hAnsi="Times New Roman" w:cs="Times New Roman"/>
        </w:rPr>
        <w:t>counsel and expert fees in the sum of $475,000</w:t>
      </w:r>
      <w:r w:rsidRPr="0088217B">
        <w:rPr>
          <w:rFonts w:ascii="Times New Roman" w:hAnsi="Times New Roman" w:cs="Times New Roman"/>
        </w:rPr>
        <w:t xml:space="preserve">.” </w:t>
      </w:r>
      <w:r w:rsidRPr="001D7C5F">
        <w:rPr>
          <w:rFonts w:ascii="Times New Roman" w:hAnsi="Times New Roman" w:cs="Times New Roman"/>
          <w:b/>
          <w:bCs/>
          <w:i/>
          <w:iCs/>
        </w:rPr>
        <w:t>(5)</w:t>
      </w:r>
      <w:r w:rsidRPr="00A54BAA">
        <w:rPr>
          <w:rFonts w:ascii="Times New Roman" w:hAnsi="Times New Roman" w:cs="Times New Roman"/>
        </w:rPr>
        <w:t xml:space="preserve"> </w:t>
      </w:r>
      <w:r w:rsidRPr="0088217B">
        <w:rPr>
          <w:rFonts w:ascii="Times New Roman" w:hAnsi="Times New Roman" w:cs="Times New Roman"/>
        </w:rPr>
        <w:t>“</w:t>
      </w:r>
      <w:r w:rsidRPr="00A54BAA">
        <w:rPr>
          <w:rFonts w:ascii="Times New Roman" w:hAnsi="Times New Roman" w:cs="Times New Roman"/>
        </w:rPr>
        <w:t xml:space="preserve">Extracurricular activities, including summer camp, may be appropriately considered as an add on expense for </w:t>
      </w:r>
      <w:proofErr w:type="gramStart"/>
      <w:r w:rsidRPr="00A54BAA">
        <w:rPr>
          <w:rFonts w:ascii="Times New Roman" w:hAnsi="Times New Roman" w:cs="Times New Roman"/>
        </w:rPr>
        <w:t>child care</w:t>
      </w:r>
      <w:proofErr w:type="gramEnd"/>
      <w:r w:rsidRPr="0088217B">
        <w:rPr>
          <w:rFonts w:ascii="Times New Roman" w:hAnsi="Times New Roman" w:cs="Times New Roman"/>
        </w:rPr>
        <w:t xml:space="preserve">” and as to </w:t>
      </w:r>
      <w:r w:rsidRPr="0088217B">
        <w:rPr>
          <w:rFonts w:ascii="Times New Roman" w:hAnsi="Times New Roman" w:cs="Times New Roman"/>
        </w:rPr>
        <w:lastRenderedPageBreak/>
        <w:t>those expenses and education expenses, “</w:t>
      </w:r>
      <w:r w:rsidRPr="00A54BAA">
        <w:rPr>
          <w:rFonts w:ascii="Times New Roman" w:hAnsi="Times New Roman" w:cs="Times New Roman"/>
        </w:rPr>
        <w:t>Supreme Court properly directed that the children</w:t>
      </w:r>
      <w:r w:rsidRPr="0088217B">
        <w:rPr>
          <w:rFonts w:ascii="Times New Roman" w:hAnsi="Times New Roman" w:cs="Times New Roman"/>
        </w:rPr>
        <w:t>’</w:t>
      </w:r>
      <w:r w:rsidRPr="00A54BAA">
        <w:rPr>
          <w:rFonts w:ascii="Times New Roman" w:hAnsi="Times New Roman" w:cs="Times New Roman"/>
        </w:rPr>
        <w:t>s educational and extracurricular expenses be prorated in proportion to the parties</w:t>
      </w:r>
      <w:r w:rsidRPr="0088217B">
        <w:rPr>
          <w:rFonts w:ascii="Times New Roman" w:hAnsi="Times New Roman" w:cs="Times New Roman"/>
        </w:rPr>
        <w:t>’</w:t>
      </w:r>
      <w:r w:rsidRPr="00A54BAA">
        <w:rPr>
          <w:rFonts w:ascii="Times New Roman" w:hAnsi="Times New Roman" w:cs="Times New Roman"/>
        </w:rPr>
        <w:t xml:space="preserve"> respective incomes</w:t>
      </w:r>
      <w:r w:rsidRPr="0088217B">
        <w:rPr>
          <w:rFonts w:ascii="Times New Roman" w:hAnsi="Times New Roman" w:cs="Times New Roman"/>
        </w:rPr>
        <w:t xml:space="preserve">.” </w:t>
      </w:r>
      <w:r w:rsidRPr="001D7C5F">
        <w:rPr>
          <w:rFonts w:ascii="Times New Roman" w:hAnsi="Times New Roman" w:cs="Times New Roman"/>
          <w:b/>
          <w:bCs/>
          <w:i/>
          <w:iCs/>
        </w:rPr>
        <w:t>(6)</w:t>
      </w:r>
      <w:r w:rsidRPr="00A54BAA">
        <w:rPr>
          <w:rFonts w:ascii="Times New Roman" w:hAnsi="Times New Roman" w:cs="Times New Roman"/>
        </w:rPr>
        <w:t xml:space="preserve"> </w:t>
      </w:r>
      <w:r w:rsidRPr="0088217B">
        <w:rPr>
          <w:rFonts w:ascii="Times New Roman" w:hAnsi="Times New Roman" w:cs="Times New Roman"/>
        </w:rPr>
        <w:t>“</w:t>
      </w:r>
      <w:r w:rsidRPr="00A54BAA">
        <w:rPr>
          <w:rFonts w:ascii="Times New Roman" w:hAnsi="Times New Roman" w:cs="Times New Roman"/>
        </w:rPr>
        <w:t>Supreme Court providently exercised its discretion in directing the defendant to maintain insurance on his life in the sum of $300,000, naming the children as beneficiaries until their emancipation</w:t>
      </w:r>
      <w:r w:rsidRPr="0088217B">
        <w:rPr>
          <w:rFonts w:ascii="Times New Roman" w:hAnsi="Times New Roman" w:cs="Times New Roman"/>
        </w:rPr>
        <w:t>.”</w:t>
      </w:r>
    </w:p>
    <w:p w14:paraId="3657EA1B" w14:textId="77777777" w:rsidR="00C45F57" w:rsidRDefault="00C45F57" w:rsidP="00000225">
      <w:pPr>
        <w:pStyle w:val="Heading2"/>
        <w:numPr>
          <w:ilvl w:val="0"/>
          <w:numId w:val="0"/>
        </w:numPr>
        <w:spacing w:line="240" w:lineRule="auto"/>
        <w:jc w:val="both"/>
        <w:rPr>
          <w:rFonts w:ascii="Times New Roman" w:hAnsi="Times New Roman" w:cs="Times New Roman"/>
          <w:b/>
          <w:bCs/>
        </w:rPr>
      </w:pPr>
    </w:p>
    <w:p w14:paraId="60A89E20" w14:textId="77777777" w:rsidR="00914349" w:rsidRDefault="00914349" w:rsidP="00914349">
      <w:pPr>
        <w:pStyle w:val="Heading2"/>
        <w:numPr>
          <w:ilvl w:val="0"/>
          <w:numId w:val="0"/>
        </w:numPr>
        <w:tabs>
          <w:tab w:val="clear" w:pos="720"/>
          <w:tab w:val="left" w:pos="810"/>
        </w:tabs>
        <w:spacing w:line="240" w:lineRule="auto"/>
        <w:jc w:val="both"/>
        <w:rPr>
          <w:rFonts w:ascii="Times New Roman" w:hAnsi="Times New Roman" w:cs="Times New Roman"/>
          <w:b/>
          <w:bCs/>
        </w:rPr>
      </w:pPr>
      <w:r>
        <w:rPr>
          <w:rFonts w:ascii="Times New Roman" w:hAnsi="Times New Roman" w:cs="Times New Roman"/>
          <w:b/>
          <w:bCs/>
        </w:rPr>
        <w:t xml:space="preserve">Child Support </w:t>
      </w:r>
      <w:r w:rsidRPr="00914349">
        <w:rPr>
          <w:rFonts w:ascii="Times New Roman" w:hAnsi="Times New Roman" w:cs="Times New Roman"/>
          <w:b/>
          <w:bCs/>
        </w:rPr>
        <w:t>– Imputed Income; Inability to Work – No Medical Evidence; Public Assistance – Does Not Negate Support Responsibility</w:t>
      </w:r>
    </w:p>
    <w:p w14:paraId="35CE192E" w14:textId="77777777" w:rsidR="00914349" w:rsidRDefault="00914349" w:rsidP="00914349">
      <w:pPr>
        <w:pStyle w:val="Heading2"/>
        <w:numPr>
          <w:ilvl w:val="0"/>
          <w:numId w:val="0"/>
        </w:numPr>
        <w:tabs>
          <w:tab w:val="clear" w:pos="720"/>
          <w:tab w:val="left" w:pos="810"/>
        </w:tabs>
        <w:spacing w:line="240" w:lineRule="auto"/>
        <w:jc w:val="both"/>
        <w:rPr>
          <w:rFonts w:ascii="Times New Roman" w:hAnsi="Times New Roman" w:cs="Times New Roman"/>
        </w:rPr>
      </w:pPr>
    </w:p>
    <w:p w14:paraId="555C4265" w14:textId="3FC72B9C" w:rsidR="00914349" w:rsidRDefault="00914349" w:rsidP="00914349">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914349">
        <w:rPr>
          <w:rFonts w:ascii="Times New Roman" w:hAnsi="Times New Roman" w:cs="Times New Roman"/>
          <w:b/>
          <w:bCs/>
          <w:i/>
          <w:iCs/>
        </w:rPr>
        <w:t>Matter of Jones v. Stewart</w:t>
      </w:r>
      <w:r>
        <w:rPr>
          <w:rFonts w:ascii="Times New Roman" w:hAnsi="Times New Roman" w:cs="Times New Roman"/>
        </w:rPr>
        <w:t>, 2026 Westlaw 1476393 (2d Dept. May 27, 2026), the father appealed from a May 2025 Family Court Order, denying his objections to a February 2025 Support Magistrate Order which, following a hearing upon the mother’s 2023 petition, directed him to pay her $161.09 weekly toward the support of the parties’ child born in 2018. The Magistrate found that “the father had failed to submit competent medical evidence to support his claimed inability to work” and “imputed annual income to the father based upon *** his 2022 tax return.” The Second Department affirmed, holding the Magistrate’s determination was supported by the record, and noting that the father’s “receipt of public assistance does not relieve him of his obligation to provide child support.”</w:t>
      </w:r>
    </w:p>
    <w:p w14:paraId="74C39E1E" w14:textId="77777777" w:rsidR="00914349" w:rsidRDefault="00914349" w:rsidP="0087792D">
      <w:pPr>
        <w:pStyle w:val="Heading2"/>
        <w:numPr>
          <w:ilvl w:val="0"/>
          <w:numId w:val="0"/>
        </w:numPr>
        <w:spacing w:line="240" w:lineRule="auto"/>
        <w:jc w:val="both"/>
        <w:rPr>
          <w:rFonts w:ascii="Times New Roman" w:hAnsi="Times New Roman" w:cs="Times New Roman"/>
          <w:b/>
          <w:bCs/>
        </w:rPr>
      </w:pPr>
    </w:p>
    <w:p w14:paraId="5F5EC621" w14:textId="6E029965" w:rsidR="0087792D" w:rsidRDefault="0087792D" w:rsidP="0087792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Child Support </w:t>
      </w:r>
      <w:r w:rsidRPr="0087792D">
        <w:rPr>
          <w:rFonts w:ascii="Times New Roman" w:hAnsi="Times New Roman" w:cs="Times New Roman"/>
          <w:b/>
          <w:bCs/>
        </w:rPr>
        <w:t>- CSSA – Income – Averaging Reversed</w:t>
      </w:r>
      <w:r>
        <w:rPr>
          <w:rFonts w:ascii="Times New Roman" w:hAnsi="Times New Roman" w:cs="Times New Roman"/>
          <w:b/>
          <w:bCs/>
        </w:rPr>
        <w:t xml:space="preserve">; Equitable Distribution </w:t>
      </w:r>
      <w:r w:rsidRPr="0087792D">
        <w:rPr>
          <w:rFonts w:ascii="Times New Roman" w:hAnsi="Times New Roman" w:cs="Times New Roman"/>
          <w:b/>
          <w:bCs/>
        </w:rPr>
        <w:t>- Residence – 50% of Separate Property Appreciation; Separate Property Credit – IRA</w:t>
      </w:r>
    </w:p>
    <w:p w14:paraId="6B09E710" w14:textId="77777777" w:rsidR="0087792D" w:rsidRDefault="0087792D" w:rsidP="0087792D">
      <w:pPr>
        <w:pStyle w:val="Heading2"/>
        <w:numPr>
          <w:ilvl w:val="0"/>
          <w:numId w:val="0"/>
        </w:numPr>
        <w:spacing w:line="240" w:lineRule="auto"/>
        <w:jc w:val="both"/>
        <w:rPr>
          <w:rFonts w:ascii="Times New Roman" w:hAnsi="Times New Roman" w:cs="Times New Roman"/>
        </w:rPr>
      </w:pPr>
    </w:p>
    <w:p w14:paraId="5A2ECB63" w14:textId="26322254" w:rsidR="00961D8D" w:rsidRPr="0087792D" w:rsidRDefault="0087792D" w:rsidP="0087792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t xml:space="preserve">In </w:t>
      </w:r>
      <w:r w:rsidRPr="0087792D">
        <w:rPr>
          <w:rFonts w:ascii="Times New Roman" w:hAnsi="Times New Roman" w:cs="Times New Roman"/>
          <w:b/>
          <w:bCs/>
          <w:i/>
          <w:iCs/>
        </w:rPr>
        <w:t xml:space="preserve">Finley v. </w:t>
      </w:r>
      <w:r w:rsidR="00BD4945">
        <w:rPr>
          <w:rFonts w:ascii="Times New Roman" w:hAnsi="Times New Roman" w:cs="Times New Roman"/>
          <w:b/>
          <w:bCs/>
          <w:i/>
          <w:iCs/>
        </w:rPr>
        <w:t>Turner</w:t>
      </w:r>
      <w:r>
        <w:rPr>
          <w:rFonts w:ascii="Times New Roman" w:hAnsi="Times New Roman" w:cs="Times New Roman"/>
        </w:rPr>
        <w:t>, 2026 Westlaw 1408363 (2d Dept. May 20, 2026), the parties were married in 2009 and have 2 children, born in 2010 and 2012. The husband appealed from a June 2022 judgment of divorce rendered upon an April 2022 decision following the trial of his 2019 action which, among other things: imputed annual income to him of $455,855 and determined the wife’s income to be $102,212; directed him to pay the wife maintenance of $1,680 per month for 35 months and child support of $5,979 per month; awarded the wife a 50% share of the appreciation of his premarital apartment; and found all of his Ameriprise IRA to be marital property and distributed the same. The Second Department modified, on the law and the facts and in the exercise of discretion, by, among other things: remitting for a new determination of each party’s annual income, maintenance and child support, holding that “Supreme Court improperly averaged each party’s income from the years 2014-2018 to calculate CSSA and maintenance income; and finding that the husband “established by clear and convincing evidence, through the report and testimony of his accounting expert, that of the $1,028,140.91 held in an Ameriprise IRA ***, $522,486.71 constituted his separate property,” and remitted for a new determination of the distribution thereof.  The Appellate Division held that “Supreme Court’s determination to award the [wife] half of the appreciation in value of the [husband’s] premarital apartment was supported by the record.”</w:t>
      </w:r>
    </w:p>
    <w:p w14:paraId="176F34C1" w14:textId="49B53733" w:rsidR="003A6BEC" w:rsidRDefault="003A6BEC" w:rsidP="00625BE6">
      <w:pPr>
        <w:pStyle w:val="Heading2"/>
        <w:numPr>
          <w:ilvl w:val="0"/>
          <w:numId w:val="0"/>
        </w:numPr>
        <w:spacing w:line="240" w:lineRule="auto"/>
        <w:jc w:val="both"/>
        <w:rPr>
          <w:rFonts w:ascii="Times New Roman" w:hAnsi="Times New Roman" w:cs="Times New Roman"/>
        </w:rPr>
      </w:pPr>
    </w:p>
    <w:p w14:paraId="008C1D6D" w14:textId="54F37128" w:rsidR="00961D8D" w:rsidRDefault="00961D8D" w:rsidP="00961D8D">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Child Support - </w:t>
      </w:r>
      <w:r w:rsidRPr="00961D8D">
        <w:rPr>
          <w:rFonts w:ascii="Times New Roman" w:hAnsi="Times New Roman" w:cs="Times New Roman"/>
          <w:b/>
          <w:bCs/>
        </w:rPr>
        <w:t xml:space="preserve">Modification – Constructive Emancipation – Abandonment of Parental Relationship </w:t>
      </w:r>
      <w:bookmarkStart w:id="2" w:name="_Hlk229228060"/>
      <w:r w:rsidRPr="00961D8D">
        <w:rPr>
          <w:rFonts w:ascii="Times New Roman" w:hAnsi="Times New Roman" w:cs="Times New Roman"/>
          <w:b/>
          <w:bCs/>
        </w:rPr>
        <w:t xml:space="preserve">and “Residence Away </w:t>
      </w:r>
      <w:proofErr w:type="gramStart"/>
      <w:r w:rsidRPr="00961D8D">
        <w:rPr>
          <w:rFonts w:ascii="Times New Roman" w:hAnsi="Times New Roman" w:cs="Times New Roman"/>
          <w:b/>
          <w:bCs/>
        </w:rPr>
        <w:t>From</w:t>
      </w:r>
      <w:proofErr w:type="gramEnd"/>
      <w:r w:rsidRPr="00961D8D">
        <w:rPr>
          <w:rFonts w:ascii="Times New Roman" w:hAnsi="Times New Roman" w:cs="Times New Roman"/>
          <w:b/>
          <w:bCs/>
        </w:rPr>
        <w:t xml:space="preserve"> Parent” Clause – Both Denied</w:t>
      </w:r>
      <w:bookmarkEnd w:id="2"/>
    </w:p>
    <w:p w14:paraId="64F67741" w14:textId="77777777" w:rsidR="00961D8D" w:rsidRPr="00961D8D" w:rsidRDefault="00961D8D" w:rsidP="00961D8D">
      <w:pPr>
        <w:pStyle w:val="Heading2"/>
        <w:numPr>
          <w:ilvl w:val="0"/>
          <w:numId w:val="0"/>
        </w:numPr>
        <w:spacing w:line="240" w:lineRule="auto"/>
        <w:jc w:val="both"/>
        <w:rPr>
          <w:rFonts w:ascii="Times New Roman" w:hAnsi="Times New Roman" w:cs="Times New Roman"/>
          <w:b/>
          <w:bCs/>
        </w:rPr>
      </w:pPr>
    </w:p>
    <w:p w14:paraId="782CEC95" w14:textId="51117702" w:rsidR="00BF67C7" w:rsidRDefault="00961D8D" w:rsidP="00961D8D">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961D8D">
        <w:rPr>
          <w:rFonts w:ascii="Times New Roman" w:hAnsi="Times New Roman" w:cs="Times New Roman"/>
          <w:b/>
          <w:bCs/>
          <w:i/>
          <w:iCs/>
        </w:rPr>
        <w:t>Matter of P</w:t>
      </w:r>
      <w:r w:rsidR="00BD4945">
        <w:rPr>
          <w:rFonts w:ascii="Times New Roman" w:hAnsi="Times New Roman" w:cs="Times New Roman"/>
          <w:b/>
          <w:bCs/>
          <w:i/>
          <w:iCs/>
        </w:rPr>
        <w:t>o</w:t>
      </w:r>
      <w:r w:rsidRPr="00961D8D">
        <w:rPr>
          <w:rFonts w:ascii="Times New Roman" w:hAnsi="Times New Roman" w:cs="Times New Roman"/>
          <w:b/>
          <w:bCs/>
          <w:i/>
          <w:iCs/>
        </w:rPr>
        <w:t>ntillo v. Pearce</w:t>
      </w:r>
      <w:r>
        <w:rPr>
          <w:rFonts w:ascii="Times New Roman" w:hAnsi="Times New Roman" w:cs="Times New Roman"/>
        </w:rPr>
        <w:t xml:space="preserve">, 2026 Westlaw 1236881 (2d Dept. May 6, 2026), the father appealed from a May 2025 Family Court order which, after a hearing, dismissed his January 2024 petition seeking to modify a January 2014 judgment of divorce, so as to terminate his obligation </w:t>
      </w:r>
      <w:r>
        <w:rPr>
          <w:rFonts w:ascii="Times New Roman" w:hAnsi="Times New Roman" w:cs="Times New Roman"/>
        </w:rPr>
        <w:lastRenderedPageBreak/>
        <w:t xml:space="preserve">to </w:t>
      </w:r>
      <w:r w:rsidR="00BD34CA">
        <w:rPr>
          <w:rFonts w:ascii="Times New Roman" w:hAnsi="Times New Roman" w:cs="Times New Roman"/>
        </w:rPr>
        <w:t xml:space="preserve">pay child </w:t>
      </w:r>
      <w:r>
        <w:rPr>
          <w:rFonts w:ascii="Times New Roman" w:hAnsi="Times New Roman" w:cs="Times New Roman"/>
        </w:rPr>
        <w:t>support upon the ground of constructive emancipation and based upon the parties’ incorporated stipulation providing for emancipation upon a child “establishing a permanent residence away from that of either parent.” The Second Department affirmed, holding: “The record demonstrates that it was the father who caused the breakdown in communication with the subject child, through his misconduct toward the subject child, [who] *** justifiably refused to continue the relationship.” As to the stipulated definition of emancipation, the father failed to establish emancipation thereunder, given that “the subject child resided with the mother and is financially dependent on [her].”</w:t>
      </w:r>
    </w:p>
    <w:p w14:paraId="2E6FFDBF" w14:textId="77777777" w:rsidR="008455D8" w:rsidRDefault="008455D8" w:rsidP="00961D8D">
      <w:pPr>
        <w:pStyle w:val="Heading2"/>
        <w:numPr>
          <w:ilvl w:val="0"/>
          <w:numId w:val="0"/>
        </w:numPr>
        <w:spacing w:line="240" w:lineRule="auto"/>
        <w:jc w:val="both"/>
        <w:rPr>
          <w:rFonts w:ascii="Times New Roman" w:hAnsi="Times New Roman" w:cs="Times New Roman"/>
        </w:rPr>
      </w:pPr>
    </w:p>
    <w:p w14:paraId="618CC777" w14:textId="77777777" w:rsidR="008455D8" w:rsidRDefault="008455D8" w:rsidP="008455D8">
      <w:pPr>
        <w:pStyle w:val="Heading2"/>
        <w:numPr>
          <w:ilvl w:val="0"/>
          <w:numId w:val="0"/>
        </w:numPr>
        <w:spacing w:line="240" w:lineRule="auto"/>
        <w:jc w:val="both"/>
        <w:rPr>
          <w:rFonts w:ascii="Times New Roman" w:hAnsi="Times New Roman" w:cs="Times New Roman"/>
          <w:b/>
          <w:bCs/>
        </w:rPr>
      </w:pPr>
      <w:r w:rsidRPr="008455D8">
        <w:rPr>
          <w:rFonts w:ascii="Times New Roman" w:hAnsi="Times New Roman" w:cs="Times New Roman"/>
          <w:b/>
          <w:bCs/>
        </w:rPr>
        <w:t>Child Support - Modification – College Room and Board Credit Reversed; Unallocated Award – Granted Upon Emancipation of Older Child</w:t>
      </w:r>
    </w:p>
    <w:p w14:paraId="72A05648" w14:textId="77777777" w:rsidR="008455D8" w:rsidRPr="008455D8" w:rsidRDefault="008455D8" w:rsidP="008455D8">
      <w:pPr>
        <w:pStyle w:val="Heading2"/>
        <w:numPr>
          <w:ilvl w:val="0"/>
          <w:numId w:val="0"/>
        </w:numPr>
        <w:spacing w:line="240" w:lineRule="auto"/>
        <w:jc w:val="both"/>
        <w:rPr>
          <w:rFonts w:ascii="Times New Roman" w:hAnsi="Times New Roman" w:cs="Times New Roman"/>
          <w:b/>
          <w:bCs/>
        </w:rPr>
      </w:pPr>
    </w:p>
    <w:p w14:paraId="06D62820" w14:textId="70CD0395" w:rsidR="008455D8" w:rsidRDefault="008455D8" w:rsidP="008455D8">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8455D8">
        <w:rPr>
          <w:rFonts w:ascii="Times New Roman" w:hAnsi="Times New Roman" w:cs="Times New Roman"/>
          <w:b/>
          <w:bCs/>
          <w:i/>
          <w:iCs/>
        </w:rPr>
        <w:t>Weir v. Weir</w:t>
      </w:r>
      <w:r>
        <w:rPr>
          <w:rFonts w:ascii="Times New Roman" w:hAnsi="Times New Roman" w:cs="Times New Roman"/>
        </w:rPr>
        <w:t>, 2026 Westlaw 1291336 (1</w:t>
      </w:r>
      <w:r w:rsidRPr="00CF68B3">
        <w:rPr>
          <w:rFonts w:ascii="Times New Roman" w:hAnsi="Times New Roman" w:cs="Times New Roman"/>
          <w:vertAlign w:val="superscript"/>
        </w:rPr>
        <w:t>st</w:t>
      </w:r>
      <w:r>
        <w:rPr>
          <w:rFonts w:ascii="Times New Roman" w:hAnsi="Times New Roman" w:cs="Times New Roman"/>
        </w:rPr>
        <w:t xml:space="preserve"> Dept. May 12, 2026), the wife appealed from a March 2025 Supreme Court order which, among other things, granted the husband’s cross-motion and determined that the elder child became emancipated at age 21 and reduced child support to $115,000 per year, and awarded him a credit as an offset against child support for the younger child’s college room and board expenses. The First Department modified, </w:t>
      </w:r>
      <w:proofErr w:type="gramStart"/>
      <w:r>
        <w:rPr>
          <w:rFonts w:ascii="Times New Roman" w:hAnsi="Times New Roman" w:cs="Times New Roman"/>
        </w:rPr>
        <w:t>on</w:t>
      </w:r>
      <w:proofErr w:type="gramEnd"/>
      <w:r>
        <w:rPr>
          <w:rFonts w:ascii="Times New Roman" w:hAnsi="Times New Roman" w:cs="Times New Roman"/>
        </w:rPr>
        <w:t xml:space="preserve"> the law, by vacating the room and board credit and otherwise affirmed. The Appellate Division found that Supreme Court properly terminated child support at age 21 for the elder child because “the husband demonstrated that maintaining the existing [unallocated] amount was excessive, in light of the fact that the unemancipated child is away at college for the majority of the year.” The First Department concluded that Supreme Court “erred in awarding a room and board credit because the parties’ agreement required the husband to pay educational expenses in addition to his child support obligation without any offset” and the stipulation “treat[ed] child support and educational expenses as distinct obligations.”</w:t>
      </w:r>
    </w:p>
    <w:p w14:paraId="715D89AA" w14:textId="77777777" w:rsidR="00961D8D" w:rsidRDefault="00961D8D" w:rsidP="00961D8D">
      <w:pPr>
        <w:pStyle w:val="Heading2"/>
        <w:numPr>
          <w:ilvl w:val="0"/>
          <w:numId w:val="0"/>
        </w:numPr>
        <w:spacing w:line="240" w:lineRule="auto"/>
        <w:jc w:val="both"/>
        <w:rPr>
          <w:rFonts w:ascii="Times New Roman" w:hAnsi="Times New Roman" w:cs="Times New Roman"/>
        </w:rPr>
      </w:pPr>
    </w:p>
    <w:p w14:paraId="02E08F40" w14:textId="486D8173" w:rsidR="00D938F3" w:rsidRDefault="00D938F3" w:rsidP="00961D8D">
      <w:pPr>
        <w:pStyle w:val="Heading2"/>
        <w:numPr>
          <w:ilvl w:val="0"/>
          <w:numId w:val="0"/>
        </w:numPr>
        <w:spacing w:line="240" w:lineRule="auto"/>
        <w:jc w:val="both"/>
        <w:rPr>
          <w:rFonts w:ascii="Times New Roman" w:hAnsi="Times New Roman" w:cs="Times New Roman"/>
          <w:b/>
          <w:bCs/>
        </w:rPr>
      </w:pPr>
      <w:r w:rsidRPr="00D938F3">
        <w:rPr>
          <w:rFonts w:ascii="Times New Roman" w:hAnsi="Times New Roman" w:cs="Times New Roman"/>
          <w:b/>
          <w:bCs/>
        </w:rPr>
        <w:t>Child Support – Retroactive Relief – Article</w:t>
      </w:r>
    </w:p>
    <w:p w14:paraId="6324F506" w14:textId="77777777" w:rsidR="00D938F3" w:rsidRDefault="00D938F3" w:rsidP="00961D8D">
      <w:pPr>
        <w:pStyle w:val="Heading2"/>
        <w:numPr>
          <w:ilvl w:val="0"/>
          <w:numId w:val="0"/>
        </w:numPr>
        <w:spacing w:line="240" w:lineRule="auto"/>
        <w:jc w:val="both"/>
        <w:rPr>
          <w:rFonts w:ascii="Times New Roman" w:hAnsi="Times New Roman" w:cs="Times New Roman"/>
          <w:b/>
          <w:bCs/>
        </w:rPr>
      </w:pPr>
    </w:p>
    <w:p w14:paraId="6762F81D" w14:textId="7F21FAA5" w:rsidR="00D938F3" w:rsidRPr="00D938F3" w:rsidRDefault="00D938F3" w:rsidP="00961D8D">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 an informative article, </w:t>
      </w:r>
      <w:r w:rsidRPr="00D938F3">
        <w:rPr>
          <w:rFonts w:ascii="Times New Roman" w:hAnsi="Times New Roman" w:cs="Times New Roman"/>
          <w:i/>
          <w:iCs/>
        </w:rPr>
        <w:t>see</w:t>
      </w:r>
      <w:r>
        <w:rPr>
          <w:rFonts w:ascii="Times New Roman" w:hAnsi="Times New Roman" w:cs="Times New Roman"/>
        </w:rPr>
        <w:t xml:space="preserve"> Magistrate Sondra Mendelson-Toscano, “A Sometimes- Bitter Pill to Swallow: Understanding Retroactive Relief in Support Cases,” </w:t>
      </w:r>
      <w:r w:rsidRPr="00D938F3">
        <w:rPr>
          <w:rFonts w:ascii="Times New Roman" w:hAnsi="Times New Roman" w:cs="Times New Roman"/>
          <w:i/>
          <w:iCs/>
        </w:rPr>
        <w:t>NY Law Journal</w:t>
      </w:r>
      <w:r>
        <w:rPr>
          <w:rFonts w:ascii="Times New Roman" w:hAnsi="Times New Roman" w:cs="Times New Roman"/>
        </w:rPr>
        <w:t>, May 28, 2026.</w:t>
      </w:r>
    </w:p>
    <w:p w14:paraId="503E6AA8" w14:textId="77777777" w:rsidR="00D938F3" w:rsidRDefault="00D938F3" w:rsidP="00961D8D">
      <w:pPr>
        <w:pStyle w:val="Heading2"/>
        <w:numPr>
          <w:ilvl w:val="0"/>
          <w:numId w:val="0"/>
        </w:numPr>
        <w:spacing w:line="240" w:lineRule="auto"/>
        <w:jc w:val="both"/>
        <w:rPr>
          <w:rFonts w:ascii="Times New Roman" w:hAnsi="Times New Roman" w:cs="Times New Roman"/>
        </w:rPr>
      </w:pPr>
    </w:p>
    <w:p w14:paraId="0AD967A2" w14:textId="395F9A74" w:rsidR="00961D8D" w:rsidRDefault="00961D8D" w:rsidP="00D13266">
      <w:pPr>
        <w:pStyle w:val="Heading2"/>
        <w:numPr>
          <w:ilvl w:val="0"/>
          <w:numId w:val="0"/>
        </w:numPr>
        <w:spacing w:line="240" w:lineRule="auto"/>
        <w:jc w:val="both"/>
        <w:rPr>
          <w:rFonts w:ascii="Times New Roman" w:hAnsi="Times New Roman" w:cs="Times New Roman"/>
          <w:b/>
          <w:bCs/>
        </w:rPr>
      </w:pPr>
      <w:r w:rsidRPr="00961D8D">
        <w:rPr>
          <w:rFonts w:ascii="Times New Roman" w:hAnsi="Times New Roman" w:cs="Times New Roman"/>
          <w:b/>
          <w:bCs/>
        </w:rPr>
        <w:t>Custody &amp; Visitation - Improper Delegation to Therapist</w:t>
      </w:r>
      <w:r w:rsidR="00D13266">
        <w:rPr>
          <w:rFonts w:ascii="Times New Roman" w:hAnsi="Times New Roman" w:cs="Times New Roman"/>
          <w:b/>
          <w:bCs/>
        </w:rPr>
        <w:t xml:space="preserve">; </w:t>
      </w:r>
      <w:r w:rsidR="00D13266" w:rsidRPr="008B0BE8">
        <w:rPr>
          <w:rFonts w:ascii="Times New Roman" w:hAnsi="Times New Roman" w:cs="Times New Roman"/>
          <w:b/>
          <w:bCs/>
        </w:rPr>
        <w:t xml:space="preserve">Procedure - </w:t>
      </w:r>
      <w:bookmarkStart w:id="3" w:name="_Hlk229234349"/>
      <w:r w:rsidR="00D13266" w:rsidRPr="008B0BE8">
        <w:rPr>
          <w:rFonts w:ascii="Times New Roman" w:hAnsi="Times New Roman" w:cs="Times New Roman"/>
          <w:b/>
          <w:bCs/>
        </w:rPr>
        <w:t>Address Confidentiality</w:t>
      </w:r>
      <w:bookmarkEnd w:id="3"/>
    </w:p>
    <w:p w14:paraId="04C8D616" w14:textId="77777777" w:rsidR="00D13266" w:rsidRPr="00961D8D" w:rsidRDefault="00D13266" w:rsidP="00D13266">
      <w:pPr>
        <w:pStyle w:val="Heading2"/>
        <w:numPr>
          <w:ilvl w:val="0"/>
          <w:numId w:val="0"/>
        </w:numPr>
        <w:spacing w:line="240" w:lineRule="auto"/>
        <w:jc w:val="both"/>
        <w:rPr>
          <w:b/>
          <w:bCs/>
        </w:rPr>
      </w:pPr>
    </w:p>
    <w:p w14:paraId="72D4766C" w14:textId="0040F86B" w:rsidR="00961D8D" w:rsidRDefault="00961D8D" w:rsidP="00961D8D">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027160">
        <w:rPr>
          <w:rFonts w:ascii="Times New Roman" w:hAnsi="Times New Roman" w:cs="Times New Roman"/>
          <w:b/>
          <w:bCs/>
          <w:i/>
          <w:iCs/>
        </w:rPr>
        <w:t>Matter of Monet O. v. Leroy L.B.</w:t>
      </w:r>
      <w:r>
        <w:rPr>
          <w:rFonts w:ascii="Times New Roman" w:hAnsi="Times New Roman" w:cs="Times New Roman"/>
        </w:rPr>
        <w:t>, 2</w:t>
      </w:r>
      <w:r w:rsidR="00BD4945">
        <w:rPr>
          <w:rFonts w:ascii="Times New Roman" w:hAnsi="Times New Roman" w:cs="Times New Roman"/>
        </w:rPr>
        <w:t>53 NYS3d 651</w:t>
      </w:r>
      <w:r>
        <w:rPr>
          <w:rFonts w:ascii="Times New Roman" w:hAnsi="Times New Roman" w:cs="Times New Roman"/>
        </w:rPr>
        <w:t xml:space="preserve"> (1</w:t>
      </w:r>
      <w:r w:rsidRPr="00F47ADE">
        <w:rPr>
          <w:rFonts w:ascii="Times New Roman" w:hAnsi="Times New Roman" w:cs="Times New Roman"/>
          <w:vertAlign w:val="superscript"/>
        </w:rPr>
        <w:t>st</w:t>
      </w:r>
      <w:r>
        <w:rPr>
          <w:rFonts w:ascii="Times New Roman" w:hAnsi="Times New Roman" w:cs="Times New Roman"/>
        </w:rPr>
        <w:t xml:space="preserve"> Dept. May 5, 2026), the mother appealed from a February 2025 Family Court order which, after a hearing: (1) directed the mother </w:t>
      </w:r>
      <w:r w:rsidRPr="00783101">
        <w:rPr>
          <w:rFonts w:ascii="Times New Roman" w:hAnsi="Times New Roman" w:cs="Times New Roman"/>
        </w:rPr>
        <w:t>to provide the father with the name and contact information of the psychologist whom the mother is required to engage to treat the subject child and to permit the father to speak with the psychologist and/or participate in the therapy at the discretion of the psychologist</w:t>
      </w:r>
      <w:r>
        <w:rPr>
          <w:rFonts w:ascii="Times New Roman" w:hAnsi="Times New Roman" w:cs="Times New Roman"/>
        </w:rPr>
        <w:t>; (2)</w:t>
      </w:r>
      <w:r w:rsidRPr="00783101">
        <w:rPr>
          <w:rFonts w:ascii="Times New Roman" w:hAnsi="Times New Roman" w:cs="Times New Roman"/>
        </w:rPr>
        <w:t xml:space="preserve"> </w:t>
      </w:r>
      <w:r w:rsidR="00BD34CA">
        <w:rPr>
          <w:rFonts w:ascii="Times New Roman" w:hAnsi="Times New Roman" w:cs="Times New Roman"/>
        </w:rPr>
        <w:t xml:space="preserve">required her </w:t>
      </w:r>
      <w:r w:rsidRPr="00783101">
        <w:rPr>
          <w:rFonts w:ascii="Times New Roman" w:hAnsi="Times New Roman" w:cs="Times New Roman"/>
        </w:rPr>
        <w:t>to provide the father with the mother's current residential address as well as any future change to that information</w:t>
      </w:r>
      <w:r>
        <w:rPr>
          <w:rFonts w:ascii="Times New Roman" w:hAnsi="Times New Roman" w:cs="Times New Roman"/>
        </w:rPr>
        <w:t xml:space="preserve">; </w:t>
      </w:r>
      <w:r w:rsidRPr="00783101">
        <w:rPr>
          <w:rFonts w:ascii="Times New Roman" w:hAnsi="Times New Roman" w:cs="Times New Roman"/>
        </w:rPr>
        <w:t xml:space="preserve">and </w:t>
      </w:r>
      <w:r>
        <w:rPr>
          <w:rFonts w:ascii="Times New Roman" w:hAnsi="Times New Roman" w:cs="Times New Roman"/>
        </w:rPr>
        <w:t xml:space="preserve">(3) </w:t>
      </w:r>
      <w:r w:rsidRPr="00783101">
        <w:rPr>
          <w:rFonts w:ascii="Times New Roman" w:hAnsi="Times New Roman" w:cs="Times New Roman"/>
        </w:rPr>
        <w:t xml:space="preserve">permitted the father to send the child cards, gifts, or letters, no more than once every three months. The First Department modified, on the law, by: (1) vacating the provision directing the mother to disclose her address to the father and remanding for a hearing and a determination on the mother's request for address confidentiality; (2) vacating the provision permitting the father’s communication and involvement in the child's therapy and remanding for </w:t>
      </w:r>
      <w:r w:rsidRPr="00783101">
        <w:rPr>
          <w:rFonts w:ascii="Times New Roman" w:hAnsi="Times New Roman" w:cs="Times New Roman"/>
        </w:rPr>
        <w:lastRenderedPageBreak/>
        <w:t xml:space="preserve">further proceedings, including consideration of an independent evaluation and, if appropriate, preparatory therapeutic intervention; and (3) </w:t>
      </w:r>
      <w:r w:rsidR="00BD34CA">
        <w:rPr>
          <w:rFonts w:ascii="Times New Roman" w:hAnsi="Times New Roman" w:cs="Times New Roman"/>
        </w:rPr>
        <w:t>“</w:t>
      </w:r>
      <w:r w:rsidRPr="00783101">
        <w:rPr>
          <w:rFonts w:ascii="Times New Roman" w:hAnsi="Times New Roman" w:cs="Times New Roman"/>
        </w:rPr>
        <w:t>to qualify the provision permitting the father to send letters, gifts, and cards to the child by subjecting such correspondences and gifts to review by the attorney for the child to ensure that they contain no inappropriate content or questions.” The Appellate Division noted that “[a]</w:t>
      </w:r>
      <w:r w:rsidRPr="00F47ADE">
        <w:rPr>
          <w:rFonts w:ascii="Times New Roman" w:hAnsi="Times New Roman" w:cs="Times New Roman"/>
        </w:rPr>
        <w:t xml:space="preserve">lthough the mother sought an address confidentiality order </w:t>
      </w:r>
      <w:r w:rsidRPr="00783101">
        <w:rPr>
          <w:rFonts w:ascii="Times New Roman" w:hAnsi="Times New Roman" w:cs="Times New Roman"/>
        </w:rPr>
        <w:t xml:space="preserve">[FCA 154-b(2)(a)] </w:t>
      </w:r>
      <w:r w:rsidRPr="00F47ADE">
        <w:rPr>
          <w:rFonts w:ascii="Times New Roman" w:hAnsi="Times New Roman" w:cs="Times New Roman"/>
        </w:rPr>
        <w:t xml:space="preserve">and Family Court acknowledged the need for a separate hearing, ultimately holding the issue in abeyance, the record is devoid of any determination as to whether disclosure of the address would pose an unreasonable risk to the child. In the absence of such a finding, the directive requiring disclosure cannot be said to reflect a proper exercise of </w:t>
      </w:r>
      <w:proofErr w:type="gramStart"/>
      <w:r w:rsidRPr="00F47ADE">
        <w:rPr>
          <w:rFonts w:ascii="Times New Roman" w:hAnsi="Times New Roman" w:cs="Times New Roman"/>
        </w:rPr>
        <w:t>discretion</w:t>
      </w:r>
      <w:r>
        <w:rPr>
          <w:rFonts w:ascii="Times New Roman" w:hAnsi="Times New Roman" w:cs="Times New Roman"/>
        </w:rPr>
        <w:t>.</w:t>
      </w:r>
      <w:r w:rsidR="001D4720">
        <w:rPr>
          <w:rFonts w:ascii="Times New Roman" w:hAnsi="Times New Roman" w:cs="Times New Roman"/>
        </w:rPr>
        <w:t>”</w:t>
      </w:r>
      <w:proofErr w:type="gramEnd"/>
      <w:r>
        <w:rPr>
          <w:rFonts w:ascii="Times New Roman" w:hAnsi="Times New Roman" w:cs="Times New Roman"/>
        </w:rPr>
        <w:t xml:space="preserve">  T</w:t>
      </w:r>
      <w:r w:rsidRPr="00783101">
        <w:rPr>
          <w:rFonts w:ascii="Times New Roman" w:hAnsi="Times New Roman" w:cs="Times New Roman"/>
        </w:rPr>
        <w:t>he First Department held that “</w:t>
      </w:r>
      <w:r w:rsidRPr="00F47ADE">
        <w:rPr>
          <w:rFonts w:ascii="Times New Roman" w:hAnsi="Times New Roman" w:cs="Times New Roman"/>
        </w:rPr>
        <w:t>Family Court further erred in authorizing the father to communicate with the child's therapist and to participate in therapy at the therapist</w:t>
      </w:r>
      <w:r w:rsidRPr="00783101">
        <w:rPr>
          <w:rFonts w:ascii="Times New Roman" w:hAnsi="Times New Roman" w:cs="Times New Roman"/>
        </w:rPr>
        <w:t>’</w:t>
      </w:r>
      <w:r w:rsidRPr="00F47ADE">
        <w:rPr>
          <w:rFonts w:ascii="Times New Roman" w:hAnsi="Times New Roman" w:cs="Times New Roman"/>
        </w:rPr>
        <w:t>s discretion</w:t>
      </w:r>
      <w:r w:rsidRPr="00783101">
        <w:rPr>
          <w:rFonts w:ascii="Times New Roman" w:hAnsi="Times New Roman" w:cs="Times New Roman"/>
        </w:rPr>
        <w:t>[,]” which</w:t>
      </w:r>
      <w:r w:rsidRPr="00F47ADE">
        <w:rPr>
          <w:rFonts w:ascii="Times New Roman" w:hAnsi="Times New Roman" w:cs="Times New Roman"/>
        </w:rPr>
        <w:t xml:space="preserve"> </w:t>
      </w:r>
      <w:r w:rsidRPr="00783101">
        <w:rPr>
          <w:rFonts w:ascii="Times New Roman" w:hAnsi="Times New Roman" w:cs="Times New Roman"/>
        </w:rPr>
        <w:t>“</w:t>
      </w:r>
      <w:r w:rsidRPr="00F47ADE">
        <w:rPr>
          <w:rFonts w:ascii="Times New Roman" w:hAnsi="Times New Roman" w:cs="Times New Roman"/>
        </w:rPr>
        <w:t>effectively delegates to the treating therapist the authority to determine whether, when, and under what circumstances the father may have contact with the child, which is an issue reserved to the court</w:t>
      </w:r>
      <w:r w:rsidRPr="00783101">
        <w:rPr>
          <w:rFonts w:ascii="Times New Roman" w:hAnsi="Times New Roman" w:cs="Times New Roman"/>
        </w:rPr>
        <w:t xml:space="preserve"> </w:t>
      </w:r>
      <w:r w:rsidRPr="00F47ADE">
        <w:rPr>
          <w:rFonts w:ascii="Times New Roman" w:hAnsi="Times New Roman" w:cs="Times New Roman"/>
        </w:rPr>
        <w:t>(</w:t>
      </w:r>
      <w:r w:rsidRPr="00783101">
        <w:rPr>
          <w:rFonts w:ascii="Times New Roman" w:hAnsi="Times New Roman" w:cs="Times New Roman"/>
        </w:rPr>
        <w:t>citation omitted).”</w:t>
      </w:r>
      <w:r w:rsidRPr="00F47ADE">
        <w:rPr>
          <w:rFonts w:ascii="Times New Roman" w:hAnsi="Times New Roman" w:cs="Times New Roman"/>
        </w:rPr>
        <w:t xml:space="preserve"> </w:t>
      </w:r>
      <w:r w:rsidRPr="00783101">
        <w:rPr>
          <w:rFonts w:ascii="Times New Roman" w:hAnsi="Times New Roman" w:cs="Times New Roman"/>
        </w:rPr>
        <w:t>The Court concluded on the communication issue that the AFC “</w:t>
      </w:r>
      <w:r w:rsidRPr="00F47ADE">
        <w:rPr>
          <w:rFonts w:ascii="Times New Roman" w:hAnsi="Times New Roman" w:cs="Times New Roman"/>
        </w:rPr>
        <w:t>should have an opportunity to review the correspondence in advance to ensure that it contains no inappropriate content or questions before it is given to the child.</w:t>
      </w:r>
      <w:r w:rsidRPr="00783101">
        <w:rPr>
          <w:rFonts w:ascii="Times New Roman" w:hAnsi="Times New Roman" w:cs="Times New Roman"/>
        </w:rPr>
        <w:t>”</w:t>
      </w:r>
    </w:p>
    <w:p w14:paraId="56823A15" w14:textId="77777777" w:rsidR="00961D8D" w:rsidRDefault="00961D8D" w:rsidP="00961D8D">
      <w:pPr>
        <w:pStyle w:val="Heading2"/>
        <w:numPr>
          <w:ilvl w:val="0"/>
          <w:numId w:val="0"/>
        </w:numPr>
        <w:spacing w:line="240" w:lineRule="auto"/>
        <w:jc w:val="both"/>
        <w:rPr>
          <w:rFonts w:ascii="Times New Roman" w:hAnsi="Times New Roman" w:cs="Times New Roman"/>
        </w:rPr>
      </w:pPr>
    </w:p>
    <w:p w14:paraId="1EBCC45C" w14:textId="44D351E0" w:rsidR="00961D8D" w:rsidRDefault="00961D8D" w:rsidP="00027160">
      <w:pPr>
        <w:pStyle w:val="Heading2"/>
        <w:numPr>
          <w:ilvl w:val="0"/>
          <w:numId w:val="0"/>
        </w:numPr>
        <w:spacing w:line="240" w:lineRule="auto"/>
        <w:jc w:val="both"/>
        <w:rPr>
          <w:rFonts w:ascii="Times New Roman" w:hAnsi="Times New Roman" w:cs="Times New Roman"/>
          <w:b/>
          <w:bCs/>
        </w:rPr>
      </w:pPr>
      <w:r w:rsidRPr="00961D8D">
        <w:rPr>
          <w:rFonts w:ascii="Times New Roman" w:hAnsi="Times New Roman" w:cs="Times New Roman"/>
          <w:b/>
          <w:bCs/>
        </w:rPr>
        <w:t>Custody &amp; Visitation - Modification - Child’s Wishes (15 y/o) – Discounted – Alienation</w:t>
      </w:r>
      <w:r w:rsidR="00027160">
        <w:rPr>
          <w:rFonts w:ascii="Times New Roman" w:hAnsi="Times New Roman" w:cs="Times New Roman"/>
          <w:b/>
          <w:bCs/>
        </w:rPr>
        <w:t xml:space="preserve">; </w:t>
      </w:r>
      <w:r w:rsidR="00027160" w:rsidRPr="00027160">
        <w:rPr>
          <w:rFonts w:ascii="Times New Roman" w:hAnsi="Times New Roman" w:cs="Times New Roman"/>
          <w:b/>
          <w:bCs/>
        </w:rPr>
        <w:t>Enforcement - Contempt – Dismissed – No Judiciary Law 756 Warning</w:t>
      </w:r>
      <w:r w:rsidR="00DE5739">
        <w:rPr>
          <w:rFonts w:ascii="Times New Roman" w:hAnsi="Times New Roman" w:cs="Times New Roman"/>
          <w:b/>
          <w:bCs/>
        </w:rPr>
        <w:t xml:space="preserve">; </w:t>
      </w:r>
      <w:r w:rsidR="00DE5739" w:rsidRPr="008B0BE8">
        <w:rPr>
          <w:rFonts w:ascii="Times New Roman" w:hAnsi="Times New Roman" w:cs="Times New Roman"/>
          <w:b/>
          <w:bCs/>
        </w:rPr>
        <w:t xml:space="preserve">Evidence - Child’s Hearsay Statements – No Neglect or Abuse Shown </w:t>
      </w:r>
      <w:r w:rsidR="00DE5739">
        <w:rPr>
          <w:rFonts w:ascii="Times New Roman" w:hAnsi="Times New Roman" w:cs="Times New Roman"/>
          <w:b/>
          <w:bCs/>
        </w:rPr>
        <w:t>–</w:t>
      </w:r>
      <w:r w:rsidR="00DE5739" w:rsidRPr="008B0BE8">
        <w:rPr>
          <w:rFonts w:ascii="Times New Roman" w:hAnsi="Times New Roman" w:cs="Times New Roman"/>
          <w:b/>
          <w:bCs/>
        </w:rPr>
        <w:t xml:space="preserve"> Inadmissible</w:t>
      </w:r>
      <w:r w:rsidR="00DE5739">
        <w:rPr>
          <w:rFonts w:ascii="Times New Roman" w:hAnsi="Times New Roman" w:cs="Times New Roman"/>
          <w:b/>
          <w:bCs/>
        </w:rPr>
        <w:t>,</w:t>
      </w:r>
      <w:r w:rsidR="00DE5739" w:rsidRPr="008B0BE8">
        <w:rPr>
          <w:rFonts w:ascii="Times New Roman" w:hAnsi="Times New Roman" w:cs="Times New Roman"/>
          <w:b/>
          <w:bCs/>
        </w:rPr>
        <w:t xml:space="preserve"> </w:t>
      </w:r>
      <w:r w:rsidR="00DE5739" w:rsidRPr="008B0BE8">
        <w:rPr>
          <w:rFonts w:ascii="Times New Roman" w:hAnsi="Times New Roman" w:cs="Times New Roman"/>
          <w:b/>
          <w:bCs/>
          <w:i/>
          <w:iCs/>
        </w:rPr>
        <w:t>Ex Parte</w:t>
      </w:r>
      <w:r w:rsidR="00DE5739" w:rsidRPr="008B0BE8">
        <w:rPr>
          <w:rFonts w:ascii="Times New Roman" w:hAnsi="Times New Roman" w:cs="Times New Roman"/>
          <w:b/>
          <w:bCs/>
        </w:rPr>
        <w:t xml:space="preserve"> Testimony in Dismissed Proceeding – CPLR 4517 not Satisfied, but No Objection Raised – Admissible</w:t>
      </w:r>
    </w:p>
    <w:p w14:paraId="73B0581B" w14:textId="77777777" w:rsidR="00027160" w:rsidRPr="00961D8D" w:rsidRDefault="00027160" w:rsidP="00027160">
      <w:pPr>
        <w:pStyle w:val="Heading2"/>
        <w:numPr>
          <w:ilvl w:val="0"/>
          <w:numId w:val="0"/>
        </w:numPr>
        <w:spacing w:line="240" w:lineRule="auto"/>
        <w:jc w:val="both"/>
        <w:rPr>
          <w:b/>
          <w:bCs/>
        </w:rPr>
      </w:pPr>
    </w:p>
    <w:p w14:paraId="4742C776" w14:textId="77777777" w:rsidR="00027160" w:rsidRDefault="00961D8D" w:rsidP="00027160">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961D8D">
        <w:rPr>
          <w:rFonts w:ascii="Times New Roman" w:hAnsi="Times New Roman" w:cs="Times New Roman"/>
          <w:b/>
          <w:bCs/>
          <w:i/>
          <w:iCs/>
        </w:rPr>
        <w:t>Matter of Werner v. Kenney</w:t>
      </w:r>
      <w:r>
        <w:rPr>
          <w:rFonts w:ascii="Times New Roman" w:hAnsi="Times New Roman" w:cs="Times New Roman"/>
        </w:rPr>
        <w:t>, 2026 Westlaw 1194219 (4</w:t>
      </w:r>
      <w:r w:rsidRPr="00D6553A">
        <w:rPr>
          <w:rFonts w:ascii="Times New Roman" w:hAnsi="Times New Roman" w:cs="Times New Roman"/>
          <w:vertAlign w:val="superscript"/>
        </w:rPr>
        <w:t>th</w:t>
      </w:r>
      <w:r>
        <w:rPr>
          <w:rFonts w:ascii="Times New Roman" w:hAnsi="Times New Roman" w:cs="Times New Roman"/>
        </w:rPr>
        <w:t xml:space="preserve"> Dept. May 1, 2026), the mother and the AFC appealed from a November 2024 Family Court order which, after a hearing, denied the mother’s petition to modify a December 2014 Supreme Court order [affirmed on appeal, 142 AD3d 1351 (4</w:t>
      </w:r>
      <w:r w:rsidRPr="00D6553A">
        <w:rPr>
          <w:rFonts w:ascii="Times New Roman" w:hAnsi="Times New Roman" w:cs="Times New Roman"/>
          <w:vertAlign w:val="superscript"/>
        </w:rPr>
        <w:t>th</w:t>
      </w:r>
      <w:r>
        <w:rPr>
          <w:rFonts w:ascii="Times New Roman" w:hAnsi="Times New Roman" w:cs="Times New Roman"/>
        </w:rPr>
        <w:t xml:space="preserve"> Dept. 2016)], which awarded the father sole custody of the parties’ child born in 2009,  so as to grant her sole custody. The mother appealed </w:t>
      </w:r>
      <w:proofErr w:type="gramStart"/>
      <w:r>
        <w:rPr>
          <w:rFonts w:ascii="Times New Roman" w:hAnsi="Times New Roman" w:cs="Times New Roman"/>
        </w:rPr>
        <w:t>from the same order,</w:t>
      </w:r>
      <w:proofErr w:type="gramEnd"/>
      <w:r>
        <w:rPr>
          <w:rFonts w:ascii="Times New Roman" w:hAnsi="Times New Roman" w:cs="Times New Roman"/>
        </w:rPr>
        <w:t xml:space="preserve"> to the extent that it found her in civil contempt upon the father’s cross-claim, directed her to pay counsel fees and expenses of $18,000 and fined her $250. </w:t>
      </w:r>
      <w:r w:rsidRPr="00062AC6">
        <w:rPr>
          <w:rFonts w:ascii="Times New Roman" w:hAnsi="Times New Roman" w:cs="Times New Roman"/>
        </w:rPr>
        <w:t xml:space="preserve">The Fourth Department </w:t>
      </w:r>
      <w:r w:rsidRPr="00D6553A">
        <w:rPr>
          <w:rFonts w:ascii="Times New Roman" w:hAnsi="Times New Roman" w:cs="Times New Roman"/>
        </w:rPr>
        <w:t>modified</w:t>
      </w:r>
      <w:r w:rsidRPr="00062AC6">
        <w:rPr>
          <w:rFonts w:ascii="Times New Roman" w:hAnsi="Times New Roman" w:cs="Times New Roman"/>
        </w:rPr>
        <w:t xml:space="preserve">, </w:t>
      </w:r>
      <w:proofErr w:type="gramStart"/>
      <w:r w:rsidRPr="00D6553A">
        <w:rPr>
          <w:rFonts w:ascii="Times New Roman" w:hAnsi="Times New Roman" w:cs="Times New Roman"/>
        </w:rPr>
        <w:t>on</w:t>
      </w:r>
      <w:proofErr w:type="gramEnd"/>
      <w:r w:rsidRPr="00D6553A">
        <w:rPr>
          <w:rFonts w:ascii="Times New Roman" w:hAnsi="Times New Roman" w:cs="Times New Roman"/>
        </w:rPr>
        <w:t xml:space="preserve"> the law</w:t>
      </w:r>
      <w:r w:rsidRPr="00062AC6">
        <w:rPr>
          <w:rFonts w:ascii="Times New Roman" w:hAnsi="Times New Roman" w:cs="Times New Roman"/>
        </w:rPr>
        <w:t>,</w:t>
      </w:r>
      <w:r w:rsidRPr="00D6553A">
        <w:rPr>
          <w:rFonts w:ascii="Times New Roman" w:hAnsi="Times New Roman" w:cs="Times New Roman"/>
        </w:rPr>
        <w:t xml:space="preserve"> by vacating the finding of contempt and the imposition of a sanction upon the contempt</w:t>
      </w:r>
      <w:r>
        <w:rPr>
          <w:rFonts w:ascii="Times New Roman" w:hAnsi="Times New Roman" w:cs="Times New Roman"/>
        </w:rPr>
        <w:t xml:space="preserve"> </w:t>
      </w:r>
      <w:r w:rsidRPr="00062AC6">
        <w:rPr>
          <w:rFonts w:ascii="Times New Roman" w:hAnsi="Times New Roman" w:cs="Times New Roman"/>
        </w:rPr>
        <w:t>and otherwise affirmed. The Appellate Division “</w:t>
      </w:r>
      <w:r w:rsidRPr="00D6553A">
        <w:rPr>
          <w:rFonts w:ascii="Times New Roman" w:hAnsi="Times New Roman" w:cs="Times New Roman"/>
        </w:rPr>
        <w:t>agree</w:t>
      </w:r>
      <w:r w:rsidRPr="00062AC6">
        <w:rPr>
          <w:rFonts w:ascii="Times New Roman" w:hAnsi="Times New Roman" w:cs="Times New Roman"/>
        </w:rPr>
        <w:t>[d]</w:t>
      </w:r>
      <w:r w:rsidRPr="00D6553A">
        <w:rPr>
          <w:rFonts w:ascii="Times New Roman" w:hAnsi="Times New Roman" w:cs="Times New Roman"/>
        </w:rPr>
        <w:t xml:space="preserve"> with the mother and the AFC that the court erred in finding the mother in contempt,</w:t>
      </w:r>
      <w:r w:rsidRPr="00062AC6">
        <w:rPr>
          <w:rFonts w:ascii="Times New Roman" w:hAnsi="Times New Roman" w:cs="Times New Roman"/>
        </w:rPr>
        <w:t xml:space="preserve">” but </w:t>
      </w:r>
      <w:r w:rsidRPr="00D6553A">
        <w:rPr>
          <w:rFonts w:ascii="Times New Roman" w:hAnsi="Times New Roman" w:cs="Times New Roman"/>
        </w:rPr>
        <w:t>conclude</w:t>
      </w:r>
      <w:r w:rsidRPr="00062AC6">
        <w:rPr>
          <w:rFonts w:ascii="Times New Roman" w:hAnsi="Times New Roman" w:cs="Times New Roman"/>
        </w:rPr>
        <w:t>[d]</w:t>
      </w:r>
      <w:r w:rsidRPr="00D6553A">
        <w:rPr>
          <w:rFonts w:ascii="Times New Roman" w:hAnsi="Times New Roman" w:cs="Times New Roman"/>
        </w:rPr>
        <w:t xml:space="preserve"> that the court did not err with respect to custody.</w:t>
      </w:r>
      <w:r w:rsidRPr="00062AC6">
        <w:rPr>
          <w:rFonts w:ascii="Times New Roman" w:hAnsi="Times New Roman" w:cs="Times New Roman"/>
        </w:rPr>
        <w:t xml:space="preserve">” The </w:t>
      </w:r>
      <w:r w:rsidRPr="00D6553A">
        <w:rPr>
          <w:rFonts w:ascii="Times New Roman" w:hAnsi="Times New Roman" w:cs="Times New Roman"/>
        </w:rPr>
        <w:t xml:space="preserve">mother </w:t>
      </w:r>
      <w:r w:rsidRPr="00062AC6">
        <w:rPr>
          <w:rFonts w:ascii="Times New Roman" w:hAnsi="Times New Roman" w:cs="Times New Roman"/>
        </w:rPr>
        <w:t xml:space="preserve">offered </w:t>
      </w:r>
      <w:r w:rsidRPr="00D6553A">
        <w:rPr>
          <w:rFonts w:ascii="Times New Roman" w:hAnsi="Times New Roman" w:cs="Times New Roman"/>
        </w:rPr>
        <w:t xml:space="preserve">a transcript of </w:t>
      </w:r>
      <w:r w:rsidRPr="00062AC6">
        <w:rPr>
          <w:rFonts w:ascii="Times New Roman" w:hAnsi="Times New Roman" w:cs="Times New Roman"/>
        </w:rPr>
        <w:t xml:space="preserve">the child’s </w:t>
      </w:r>
      <w:r w:rsidRPr="00D6553A">
        <w:rPr>
          <w:rFonts w:ascii="Times New Roman" w:hAnsi="Times New Roman" w:cs="Times New Roman"/>
          <w:i/>
          <w:iCs/>
        </w:rPr>
        <w:t>ex parte</w:t>
      </w:r>
      <w:r w:rsidRPr="00D6553A">
        <w:rPr>
          <w:rFonts w:ascii="Times New Roman" w:hAnsi="Times New Roman" w:cs="Times New Roman"/>
        </w:rPr>
        <w:t xml:space="preserve"> testimony in a Family Court Act article 8 proceeding against the father that had been dismissed. </w:t>
      </w:r>
      <w:r w:rsidRPr="00062AC6">
        <w:rPr>
          <w:rFonts w:ascii="Times New Roman" w:hAnsi="Times New Roman" w:cs="Times New Roman"/>
        </w:rPr>
        <w:t xml:space="preserve">The Appellate Division noted that said </w:t>
      </w:r>
      <w:r w:rsidRPr="00D6553A">
        <w:rPr>
          <w:rFonts w:ascii="Times New Roman" w:hAnsi="Times New Roman" w:cs="Times New Roman"/>
        </w:rPr>
        <w:t xml:space="preserve">testimony </w:t>
      </w:r>
      <w:r w:rsidRPr="00062AC6">
        <w:rPr>
          <w:rFonts w:ascii="Times New Roman" w:hAnsi="Times New Roman" w:cs="Times New Roman"/>
        </w:rPr>
        <w:t>“</w:t>
      </w:r>
      <w:r w:rsidRPr="00D6553A">
        <w:rPr>
          <w:rFonts w:ascii="Times New Roman" w:hAnsi="Times New Roman" w:cs="Times New Roman"/>
        </w:rPr>
        <w:t xml:space="preserve">constituted inadmissible hearsay inasmuch as it did not meet the requirements of CPLR 4517 and did not fall under any other exception to the hearsay rule, </w:t>
      </w:r>
      <w:r w:rsidRPr="00062AC6">
        <w:rPr>
          <w:rFonts w:ascii="Times New Roman" w:hAnsi="Times New Roman" w:cs="Times New Roman"/>
        </w:rPr>
        <w:t xml:space="preserve">[but] </w:t>
      </w:r>
      <w:r w:rsidRPr="00D6553A">
        <w:rPr>
          <w:rFonts w:ascii="Times New Roman" w:hAnsi="Times New Roman" w:cs="Times New Roman"/>
        </w:rPr>
        <w:t>the father's attorney stated that she had [n]o objection to its admissio</w:t>
      </w:r>
      <w:r w:rsidRPr="00062AC6">
        <w:rPr>
          <w:rFonts w:ascii="Times New Roman" w:hAnsi="Times New Roman" w:cs="Times New Roman"/>
        </w:rPr>
        <w:t>n,” such that Family Court “</w:t>
      </w:r>
      <w:r w:rsidRPr="00D6553A">
        <w:rPr>
          <w:rFonts w:ascii="Times New Roman" w:hAnsi="Times New Roman" w:cs="Times New Roman"/>
        </w:rPr>
        <w:t>erred in refusing to consider the evidence</w:t>
      </w:r>
      <w:r w:rsidRPr="00062AC6">
        <w:rPr>
          <w:rFonts w:ascii="Times New Roman" w:hAnsi="Times New Roman" w:cs="Times New Roman"/>
        </w:rPr>
        <w:t>.” The Fourth Department found “</w:t>
      </w:r>
      <w:r w:rsidRPr="00D6553A">
        <w:rPr>
          <w:rFonts w:ascii="Times New Roman" w:hAnsi="Times New Roman" w:cs="Times New Roman"/>
        </w:rPr>
        <w:t>the error is harmless</w:t>
      </w:r>
      <w:r w:rsidRPr="00062AC6">
        <w:rPr>
          <w:rFonts w:ascii="Times New Roman" w:hAnsi="Times New Roman" w:cs="Times New Roman"/>
        </w:rPr>
        <w:t xml:space="preserve">” due the child’s participation </w:t>
      </w:r>
      <w:r w:rsidRPr="00D6553A">
        <w:rPr>
          <w:rFonts w:ascii="Times New Roman" w:hAnsi="Times New Roman" w:cs="Times New Roman"/>
        </w:rPr>
        <w:t>in a </w:t>
      </w:r>
      <w:r w:rsidRPr="00D6553A">
        <w:rPr>
          <w:rFonts w:ascii="Times New Roman" w:hAnsi="Times New Roman" w:cs="Times New Roman"/>
          <w:i/>
          <w:iCs/>
        </w:rPr>
        <w:t>Lincoln</w:t>
      </w:r>
      <w:r w:rsidRPr="00D6553A">
        <w:rPr>
          <w:rFonts w:ascii="Times New Roman" w:hAnsi="Times New Roman" w:cs="Times New Roman"/>
        </w:rPr>
        <w:t> hearin</w:t>
      </w:r>
      <w:r w:rsidRPr="00062AC6">
        <w:rPr>
          <w:rFonts w:ascii="Times New Roman" w:hAnsi="Times New Roman" w:cs="Times New Roman"/>
        </w:rPr>
        <w:t xml:space="preserve">g where those facts could be </w:t>
      </w:r>
      <w:proofErr w:type="gramStart"/>
      <w:r w:rsidRPr="00062AC6">
        <w:rPr>
          <w:rFonts w:ascii="Times New Roman" w:hAnsi="Times New Roman" w:cs="Times New Roman"/>
        </w:rPr>
        <w:t>explored, and</w:t>
      </w:r>
      <w:proofErr w:type="gramEnd"/>
      <w:r w:rsidRPr="00062AC6">
        <w:rPr>
          <w:rFonts w:ascii="Times New Roman" w:hAnsi="Times New Roman" w:cs="Times New Roman"/>
        </w:rPr>
        <w:t xml:space="preserve"> given</w:t>
      </w:r>
      <w:r>
        <w:rPr>
          <w:rFonts w:ascii="Times New Roman" w:hAnsi="Times New Roman" w:cs="Times New Roman"/>
        </w:rPr>
        <w:t xml:space="preserve"> </w:t>
      </w:r>
      <w:r w:rsidRPr="00062AC6">
        <w:rPr>
          <w:rFonts w:ascii="Times New Roman" w:hAnsi="Times New Roman" w:cs="Times New Roman"/>
        </w:rPr>
        <w:t>“</w:t>
      </w:r>
      <w:r w:rsidRPr="00D6553A">
        <w:rPr>
          <w:rFonts w:ascii="Times New Roman" w:hAnsi="Times New Roman" w:cs="Times New Roman"/>
        </w:rPr>
        <w:t>the father admitted the facts expressly discussed by the child in the earlier ex parte testimony.</w:t>
      </w:r>
      <w:r w:rsidRPr="00062AC6">
        <w:rPr>
          <w:rFonts w:ascii="Times New Roman" w:hAnsi="Times New Roman" w:cs="Times New Roman"/>
        </w:rPr>
        <w:t xml:space="preserve">” </w:t>
      </w:r>
      <w:r>
        <w:rPr>
          <w:rFonts w:ascii="Times New Roman" w:hAnsi="Times New Roman" w:cs="Times New Roman"/>
        </w:rPr>
        <w:t xml:space="preserve"> </w:t>
      </w:r>
      <w:r w:rsidRPr="00062AC6">
        <w:rPr>
          <w:rFonts w:ascii="Times New Roman" w:hAnsi="Times New Roman" w:cs="Times New Roman"/>
        </w:rPr>
        <w:t>The Appellate Division rejected the mother’s argument that Family Court “</w:t>
      </w:r>
      <w:r w:rsidRPr="00D6553A">
        <w:rPr>
          <w:rFonts w:ascii="Times New Roman" w:hAnsi="Times New Roman" w:cs="Times New Roman"/>
        </w:rPr>
        <w:t>erred in refusing to admit additional hearsay statements of the child based on her contention that those statements related to neglect or abuse (</w:t>
      </w:r>
      <w:r w:rsidRPr="00D6553A">
        <w:rPr>
          <w:rFonts w:ascii="Times New Roman" w:hAnsi="Times New Roman" w:cs="Times New Roman"/>
          <w:i/>
          <w:iCs/>
        </w:rPr>
        <w:t>see </w:t>
      </w:r>
      <w:r w:rsidRPr="00D6553A">
        <w:rPr>
          <w:rFonts w:ascii="Times New Roman" w:hAnsi="Times New Roman" w:cs="Times New Roman"/>
        </w:rPr>
        <w:t>Family Ct Act §1012)</w:t>
      </w:r>
      <w:r w:rsidRPr="00062AC6">
        <w:rPr>
          <w:rFonts w:ascii="Times New Roman" w:hAnsi="Times New Roman" w:cs="Times New Roman"/>
        </w:rPr>
        <w:t>,”</w:t>
      </w:r>
      <w:r w:rsidRPr="00D6553A">
        <w:rPr>
          <w:rFonts w:ascii="Times New Roman" w:hAnsi="Times New Roman" w:cs="Times New Roman"/>
        </w:rPr>
        <w:t xml:space="preserve"> </w:t>
      </w:r>
      <w:r w:rsidRPr="00062AC6">
        <w:rPr>
          <w:rFonts w:ascii="Times New Roman" w:hAnsi="Times New Roman" w:cs="Times New Roman"/>
        </w:rPr>
        <w:t>noting “</w:t>
      </w:r>
      <w:r w:rsidRPr="00D6553A">
        <w:rPr>
          <w:rFonts w:ascii="Times New Roman" w:hAnsi="Times New Roman" w:cs="Times New Roman"/>
        </w:rPr>
        <w:t>there were no allegations or evidence of neglect or abuse, i.e., no allegations or evidence that the father failed to exercise a minimum degree of care</w:t>
      </w:r>
      <w:r w:rsidRPr="00062AC6">
        <w:rPr>
          <w:rFonts w:ascii="Times New Roman" w:hAnsi="Times New Roman" w:cs="Times New Roman"/>
        </w:rPr>
        <w:t xml:space="preserve">,” citing FCA </w:t>
      </w:r>
      <w:r w:rsidRPr="00D6553A">
        <w:rPr>
          <w:rFonts w:ascii="Times New Roman" w:hAnsi="Times New Roman" w:cs="Times New Roman"/>
        </w:rPr>
        <w:t xml:space="preserve">§1012[f] [i] </w:t>
      </w:r>
      <w:r w:rsidRPr="00062AC6">
        <w:rPr>
          <w:rFonts w:ascii="Times New Roman" w:hAnsi="Times New Roman" w:cs="Times New Roman"/>
        </w:rPr>
        <w:t>“</w:t>
      </w:r>
      <w:r w:rsidRPr="00D6553A">
        <w:rPr>
          <w:rFonts w:ascii="Times New Roman" w:hAnsi="Times New Roman" w:cs="Times New Roman"/>
        </w:rPr>
        <w:t>or abused the child</w:t>
      </w:r>
      <w:r w:rsidRPr="00062AC6">
        <w:rPr>
          <w:rFonts w:ascii="Times New Roman" w:hAnsi="Times New Roman" w:cs="Times New Roman"/>
        </w:rPr>
        <w:t xml:space="preserve">,” citing FCA </w:t>
      </w:r>
      <w:r w:rsidRPr="00D6553A">
        <w:rPr>
          <w:rFonts w:ascii="Times New Roman" w:hAnsi="Times New Roman" w:cs="Times New Roman"/>
        </w:rPr>
        <w:t>§1012[e].</w:t>
      </w:r>
      <w:r w:rsidRPr="00062AC6">
        <w:rPr>
          <w:rFonts w:ascii="Times New Roman" w:hAnsi="Times New Roman" w:cs="Times New Roman"/>
        </w:rPr>
        <w:t xml:space="preserve"> Upholding Family’s Court’s dismissal of the mother’s modification petition seeking sole custody, the Appellate Division noted:</w:t>
      </w:r>
      <w:r w:rsidRPr="00D6553A">
        <w:rPr>
          <w:rFonts w:ascii="Times New Roman" w:hAnsi="Times New Roman" w:cs="Times New Roman"/>
        </w:rPr>
        <w:t xml:space="preserve"> </w:t>
      </w:r>
      <w:r w:rsidRPr="00062AC6">
        <w:rPr>
          <w:rFonts w:ascii="Times New Roman" w:hAnsi="Times New Roman" w:cs="Times New Roman"/>
        </w:rPr>
        <w:t>“</w:t>
      </w:r>
      <w:r w:rsidRPr="00D6553A">
        <w:rPr>
          <w:rFonts w:ascii="Times New Roman" w:hAnsi="Times New Roman" w:cs="Times New Roman"/>
        </w:rPr>
        <w:t xml:space="preserve">almost all </w:t>
      </w:r>
      <w:r w:rsidRPr="00D6553A">
        <w:rPr>
          <w:rFonts w:ascii="Times New Roman" w:hAnsi="Times New Roman" w:cs="Times New Roman"/>
        </w:rPr>
        <w:lastRenderedPageBreak/>
        <w:t>of the relevant custody factors weigh in favor of the father</w:t>
      </w:r>
      <w:r w:rsidRPr="00062AC6">
        <w:rPr>
          <w:rFonts w:ascii="Times New Roman" w:hAnsi="Times New Roman" w:cs="Times New Roman"/>
        </w:rPr>
        <w:t>”;</w:t>
      </w:r>
      <w:r w:rsidRPr="00D6553A">
        <w:rPr>
          <w:rFonts w:ascii="Times New Roman" w:hAnsi="Times New Roman" w:cs="Times New Roman"/>
        </w:rPr>
        <w:t xml:space="preserve"> </w:t>
      </w:r>
      <w:r w:rsidRPr="00062AC6">
        <w:rPr>
          <w:rFonts w:ascii="Times New Roman" w:hAnsi="Times New Roman" w:cs="Times New Roman"/>
        </w:rPr>
        <w:t>in the mother’s favor are “</w:t>
      </w:r>
      <w:r w:rsidRPr="00D6553A">
        <w:rPr>
          <w:rFonts w:ascii="Times New Roman" w:hAnsi="Times New Roman" w:cs="Times New Roman"/>
        </w:rPr>
        <w:t>the child</w:t>
      </w:r>
      <w:r w:rsidRPr="00062AC6">
        <w:rPr>
          <w:rFonts w:ascii="Times New Roman" w:hAnsi="Times New Roman" w:cs="Times New Roman"/>
        </w:rPr>
        <w:t>’</w:t>
      </w:r>
      <w:r w:rsidRPr="00D6553A">
        <w:rPr>
          <w:rFonts w:ascii="Times New Roman" w:hAnsi="Times New Roman" w:cs="Times New Roman"/>
        </w:rPr>
        <w:t>s express wishes, but that factor should be discounted considering the significant evidence of parental alienation by the mother, as established in earlier litigation (</w:t>
      </w:r>
      <w:r w:rsidRPr="00D6553A">
        <w:rPr>
          <w:rFonts w:ascii="Times New Roman" w:hAnsi="Times New Roman" w:cs="Times New Roman"/>
          <w:i/>
          <w:iCs/>
        </w:rPr>
        <w:t>see Werner</w:t>
      </w:r>
      <w:r w:rsidRPr="00D6553A">
        <w:rPr>
          <w:rFonts w:ascii="Times New Roman" w:hAnsi="Times New Roman" w:cs="Times New Roman"/>
        </w:rPr>
        <w:t>, 142 AD3d at 1352)</w:t>
      </w:r>
      <w:r w:rsidRPr="00062AC6">
        <w:rPr>
          <w:rFonts w:ascii="Times New Roman" w:hAnsi="Times New Roman" w:cs="Times New Roman"/>
        </w:rPr>
        <w:t>”;</w:t>
      </w:r>
      <w:r w:rsidRPr="00D6553A">
        <w:rPr>
          <w:rFonts w:ascii="Times New Roman" w:hAnsi="Times New Roman" w:cs="Times New Roman"/>
        </w:rPr>
        <w:t xml:space="preserve"> </w:t>
      </w:r>
      <w:r w:rsidRPr="00062AC6">
        <w:rPr>
          <w:rFonts w:ascii="Times New Roman" w:hAnsi="Times New Roman" w:cs="Times New Roman"/>
        </w:rPr>
        <w:t>the “</w:t>
      </w:r>
      <w:r w:rsidRPr="00D6553A">
        <w:rPr>
          <w:rFonts w:ascii="Times New Roman" w:hAnsi="Times New Roman" w:cs="Times New Roman"/>
        </w:rPr>
        <w:t xml:space="preserve">most recent hearing </w:t>
      </w:r>
      <w:r w:rsidRPr="00062AC6">
        <w:rPr>
          <w:rFonts w:ascii="Times New Roman" w:hAnsi="Times New Roman" w:cs="Times New Roman"/>
        </w:rPr>
        <w:t xml:space="preserve">[evidence] </w:t>
      </w:r>
      <w:r w:rsidRPr="00D6553A">
        <w:rPr>
          <w:rFonts w:ascii="Times New Roman" w:hAnsi="Times New Roman" w:cs="Times New Roman"/>
        </w:rPr>
        <w:t>confirms that the mother has engaged in an unrelenting campaign of alienation against the father. For example, the mother made numerous unfounded allegations of abuse of the child by the father, inflamed the child's fear that the father was going to take away the child</w:t>
      </w:r>
      <w:r w:rsidRPr="00062AC6">
        <w:rPr>
          <w:rFonts w:ascii="Times New Roman" w:hAnsi="Times New Roman" w:cs="Times New Roman"/>
        </w:rPr>
        <w:t>’</w:t>
      </w:r>
      <w:r w:rsidRPr="00D6553A">
        <w:rPr>
          <w:rFonts w:ascii="Times New Roman" w:hAnsi="Times New Roman" w:cs="Times New Roman"/>
        </w:rPr>
        <w:t>s dog by taking the child to various shelters to look for the dog, even though the dog remained safely in the father's custody, and by other means encouraged the child's disregard for the father</w:t>
      </w:r>
      <w:r w:rsidRPr="00062AC6">
        <w:rPr>
          <w:rFonts w:ascii="Times New Roman" w:hAnsi="Times New Roman" w:cs="Times New Roman"/>
        </w:rPr>
        <w:t>.”</w:t>
      </w:r>
      <w:r w:rsidRPr="00D6553A">
        <w:rPr>
          <w:rFonts w:ascii="Times New Roman" w:hAnsi="Times New Roman" w:cs="Times New Roman"/>
        </w:rPr>
        <w:t xml:space="preserve"> </w:t>
      </w:r>
      <w:r w:rsidRPr="00062AC6">
        <w:rPr>
          <w:rFonts w:ascii="Times New Roman" w:hAnsi="Times New Roman" w:cs="Times New Roman"/>
        </w:rPr>
        <w:t>As to the contempt sanction, “</w:t>
      </w:r>
      <w:r w:rsidRPr="00D6553A">
        <w:rPr>
          <w:rFonts w:ascii="Times New Roman" w:hAnsi="Times New Roman" w:cs="Times New Roman"/>
        </w:rPr>
        <w:t xml:space="preserve">the father first sought civil contempt against the mother in a </w:t>
      </w:r>
      <w:proofErr w:type="gramStart"/>
      <w:r w:rsidRPr="00D6553A">
        <w:rPr>
          <w:rFonts w:ascii="Times New Roman" w:hAnsi="Times New Roman" w:cs="Times New Roman"/>
        </w:rPr>
        <w:t>cross-claim</w:t>
      </w:r>
      <w:proofErr w:type="gramEnd"/>
      <w:r w:rsidRPr="00D6553A">
        <w:rPr>
          <w:rFonts w:ascii="Times New Roman" w:hAnsi="Times New Roman" w:cs="Times New Roman"/>
        </w:rPr>
        <w:t>, but that cross-claim was not a proper procedural method for such relief (</w:t>
      </w:r>
      <w:r w:rsidRPr="00D6553A">
        <w:rPr>
          <w:rFonts w:ascii="Times New Roman" w:hAnsi="Times New Roman" w:cs="Times New Roman"/>
          <w:i/>
          <w:iCs/>
        </w:rPr>
        <w:t>see</w:t>
      </w:r>
      <w:r w:rsidRPr="00D6553A">
        <w:rPr>
          <w:rFonts w:ascii="Times New Roman" w:hAnsi="Times New Roman" w:cs="Times New Roman"/>
        </w:rPr>
        <w:t xml:space="preserve"> Judiciary Law § 756). In any event, the </w:t>
      </w:r>
      <w:proofErr w:type="gramStart"/>
      <w:r w:rsidRPr="00D6553A">
        <w:rPr>
          <w:rFonts w:ascii="Times New Roman" w:hAnsi="Times New Roman" w:cs="Times New Roman"/>
        </w:rPr>
        <w:t>cross-claim</w:t>
      </w:r>
      <w:proofErr w:type="gramEnd"/>
      <w:r w:rsidRPr="00D6553A">
        <w:rPr>
          <w:rFonts w:ascii="Times New Roman" w:hAnsi="Times New Roman" w:cs="Times New Roman"/>
        </w:rPr>
        <w:t xml:space="preserve"> failed to comply with Judiciary Law § 756 inasmuch as it did not contain the required notice and warning (</w:t>
      </w:r>
      <w:r w:rsidRPr="00062AC6">
        <w:rPr>
          <w:rFonts w:ascii="Times New Roman" w:hAnsi="Times New Roman" w:cs="Times New Roman"/>
        </w:rPr>
        <w:t>citations omitted).” The Appellate Division further observed: “</w:t>
      </w:r>
      <w:r w:rsidRPr="00D6553A">
        <w:rPr>
          <w:rFonts w:ascii="Times New Roman" w:hAnsi="Times New Roman" w:cs="Times New Roman"/>
        </w:rPr>
        <w:t>On the eve of trial, the father filed an order to show cause with the necessary contempt warnings (</w:t>
      </w:r>
      <w:r w:rsidRPr="00062AC6">
        <w:rPr>
          <w:rFonts w:ascii="Times New Roman" w:hAnsi="Times New Roman" w:cs="Times New Roman"/>
        </w:rPr>
        <w:t>citations omitted)</w:t>
      </w:r>
      <w:r w:rsidRPr="00D6553A">
        <w:rPr>
          <w:rFonts w:ascii="Times New Roman" w:hAnsi="Times New Roman" w:cs="Times New Roman"/>
        </w:rPr>
        <w:t xml:space="preserve">, but the court did not sign the order to show cause, which was therefore never served upon the mother. </w:t>
      </w:r>
      <w:r w:rsidRPr="00062AC6">
        <w:rPr>
          <w:rFonts w:ascii="Times New Roman" w:hAnsi="Times New Roman" w:cs="Times New Roman"/>
        </w:rPr>
        <w:t>***</w:t>
      </w:r>
      <w:r w:rsidRPr="00D6553A">
        <w:rPr>
          <w:rFonts w:ascii="Times New Roman" w:hAnsi="Times New Roman" w:cs="Times New Roman"/>
        </w:rPr>
        <w:t xml:space="preserve"> We conclude that the court lacked jurisdiction to find the mother in contempt (</w:t>
      </w:r>
      <w:r w:rsidRPr="00062AC6">
        <w:rPr>
          <w:rFonts w:ascii="Times New Roman" w:hAnsi="Times New Roman" w:cs="Times New Roman"/>
        </w:rPr>
        <w:t>citations omitted).</w:t>
      </w:r>
      <w:r>
        <w:rPr>
          <w:rFonts w:ascii="Times New Roman" w:hAnsi="Times New Roman" w:cs="Times New Roman"/>
        </w:rPr>
        <w:t>”</w:t>
      </w:r>
    </w:p>
    <w:p w14:paraId="432221A4" w14:textId="77777777" w:rsidR="00F040C7" w:rsidRDefault="00F040C7" w:rsidP="00027160">
      <w:pPr>
        <w:pStyle w:val="Heading2"/>
        <w:numPr>
          <w:ilvl w:val="0"/>
          <w:numId w:val="0"/>
        </w:numPr>
        <w:spacing w:line="240" w:lineRule="auto"/>
        <w:jc w:val="both"/>
        <w:rPr>
          <w:rFonts w:ascii="Times New Roman" w:hAnsi="Times New Roman" w:cs="Times New Roman"/>
        </w:rPr>
      </w:pPr>
    </w:p>
    <w:p w14:paraId="37F2EED7" w14:textId="4BCCA39F" w:rsidR="00F040C7" w:rsidRDefault="00F040C7" w:rsidP="00F040C7">
      <w:pPr>
        <w:pStyle w:val="Heading2"/>
        <w:numPr>
          <w:ilvl w:val="0"/>
          <w:numId w:val="0"/>
        </w:numPr>
        <w:spacing w:line="240" w:lineRule="auto"/>
        <w:jc w:val="both"/>
        <w:rPr>
          <w:rFonts w:ascii="Times New Roman" w:hAnsi="Times New Roman" w:cs="Times New Roman"/>
          <w:b/>
          <w:bCs/>
        </w:rPr>
      </w:pPr>
      <w:r w:rsidRPr="00F040C7">
        <w:rPr>
          <w:rFonts w:ascii="Times New Roman" w:hAnsi="Times New Roman" w:cs="Times New Roman"/>
          <w:b/>
          <w:bCs/>
        </w:rPr>
        <w:t>Custody &amp; Visitation - Relocation (IN) – Initial Custody Determination</w:t>
      </w:r>
      <w:r>
        <w:rPr>
          <w:rFonts w:ascii="Times New Roman" w:hAnsi="Times New Roman" w:cs="Times New Roman"/>
          <w:b/>
          <w:bCs/>
        </w:rPr>
        <w:t xml:space="preserve"> </w:t>
      </w:r>
      <w:r w:rsidRPr="00F040C7">
        <w:rPr>
          <w:rFonts w:ascii="Times New Roman" w:hAnsi="Times New Roman" w:cs="Times New Roman"/>
          <w:b/>
          <w:bCs/>
        </w:rPr>
        <w:t>–</w:t>
      </w:r>
      <w:r>
        <w:rPr>
          <w:rFonts w:ascii="Times New Roman" w:hAnsi="Times New Roman" w:cs="Times New Roman"/>
          <w:b/>
          <w:bCs/>
        </w:rPr>
        <w:t xml:space="preserve"> </w:t>
      </w:r>
      <w:r w:rsidRPr="00F040C7">
        <w:rPr>
          <w:rFonts w:ascii="Times New Roman" w:hAnsi="Times New Roman" w:cs="Times New Roman"/>
          <w:b/>
          <w:bCs/>
        </w:rPr>
        <w:t>Reversed</w:t>
      </w:r>
      <w:r>
        <w:rPr>
          <w:rFonts w:ascii="Times New Roman" w:hAnsi="Times New Roman" w:cs="Times New Roman"/>
          <w:b/>
          <w:bCs/>
        </w:rPr>
        <w:t xml:space="preserve"> </w:t>
      </w:r>
      <w:r w:rsidRPr="00F040C7">
        <w:rPr>
          <w:rFonts w:ascii="Times New Roman" w:hAnsi="Times New Roman" w:cs="Times New Roman"/>
          <w:b/>
          <w:bCs/>
        </w:rPr>
        <w:t>–Domestic Violence</w:t>
      </w:r>
    </w:p>
    <w:p w14:paraId="1F85FDD2" w14:textId="77777777" w:rsidR="00F040C7" w:rsidRPr="00F040C7" w:rsidRDefault="00F040C7" w:rsidP="00F040C7">
      <w:pPr>
        <w:pStyle w:val="Heading2"/>
        <w:numPr>
          <w:ilvl w:val="0"/>
          <w:numId w:val="0"/>
        </w:numPr>
        <w:spacing w:line="240" w:lineRule="auto"/>
        <w:jc w:val="both"/>
        <w:rPr>
          <w:b/>
          <w:bCs/>
        </w:rPr>
      </w:pPr>
    </w:p>
    <w:p w14:paraId="0AA53839" w14:textId="7DC17DD3" w:rsidR="00F040C7" w:rsidRDefault="00F040C7" w:rsidP="00F040C7">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F040C7">
        <w:rPr>
          <w:rFonts w:ascii="Times New Roman" w:hAnsi="Times New Roman" w:cs="Times New Roman"/>
          <w:b/>
          <w:bCs/>
          <w:i/>
          <w:iCs/>
        </w:rPr>
        <w:t>Matter of Glaser v. Dougherty</w:t>
      </w:r>
      <w:r>
        <w:rPr>
          <w:rFonts w:ascii="Times New Roman" w:hAnsi="Times New Roman" w:cs="Times New Roman"/>
        </w:rPr>
        <w:t xml:space="preserve">, 2026 Westlaw 1408399 (2d Dept. May 20, 2026), the parties were married in October 2020 and have a child born in December 2020. The mother appealed from a February 2025 Family Court order which, after a hearing, granted the father’s 2023 petition for joint residential custody of the parties’ child in Indiana, where he had relocated, and denied her October 2023 petition for primary physical custody. The Second Department reversed, on the facts and in the exercise of discretion, denied the father’s petition, granted the mother’s petition, and remitted to Family Court for further proceedings and schedule for the father. The Appellate Division found since “the allegation of domestic violence was undisputed by either </w:t>
      </w:r>
      <w:proofErr w:type="gramStart"/>
      <w:r>
        <w:rPr>
          <w:rFonts w:ascii="Times New Roman" w:hAnsi="Times New Roman" w:cs="Times New Roman"/>
        </w:rPr>
        <w:t>party,</w:t>
      </w:r>
      <w:proofErr w:type="gramEnd"/>
      <w:r>
        <w:rPr>
          <w:rFonts w:ascii="Times New Roman" w:hAnsi="Times New Roman" w:cs="Times New Roman"/>
        </w:rPr>
        <w:t xml:space="preserve"> the Court was required to consider the effects of such violence upon the best interests of the child (citations omitted).” The Court concluded: “where the other factors pertaining to residential custody were fairly equal between the parties, the incident of domestic violence weighs in favor of awarding primary physical custody to the mother.”</w:t>
      </w:r>
    </w:p>
    <w:p w14:paraId="374FB259" w14:textId="77777777" w:rsidR="00027160" w:rsidRDefault="00027160" w:rsidP="00027160">
      <w:pPr>
        <w:pStyle w:val="Heading2"/>
        <w:numPr>
          <w:ilvl w:val="0"/>
          <w:numId w:val="0"/>
        </w:numPr>
        <w:spacing w:line="240" w:lineRule="auto"/>
        <w:jc w:val="both"/>
        <w:rPr>
          <w:rFonts w:ascii="Times New Roman" w:hAnsi="Times New Roman" w:cs="Times New Roman"/>
        </w:rPr>
      </w:pPr>
    </w:p>
    <w:p w14:paraId="046675DA" w14:textId="67EAD73A" w:rsidR="00027160" w:rsidRPr="00027160" w:rsidRDefault="00027160" w:rsidP="00027160">
      <w:pPr>
        <w:pStyle w:val="Heading2"/>
        <w:numPr>
          <w:ilvl w:val="0"/>
          <w:numId w:val="0"/>
        </w:numPr>
        <w:spacing w:line="240" w:lineRule="auto"/>
        <w:jc w:val="both"/>
        <w:rPr>
          <w:rFonts w:ascii="Times New Roman" w:hAnsi="Times New Roman" w:cs="Times New Roman"/>
        </w:rPr>
      </w:pPr>
      <w:r w:rsidRPr="00027160">
        <w:rPr>
          <w:rFonts w:ascii="Times New Roman" w:hAnsi="Times New Roman" w:cs="Times New Roman"/>
          <w:b/>
          <w:bCs/>
        </w:rPr>
        <w:t>Custody</w:t>
      </w:r>
      <w:r>
        <w:rPr>
          <w:rFonts w:ascii="Times New Roman" w:hAnsi="Times New Roman" w:cs="Times New Roman"/>
          <w:b/>
          <w:bCs/>
        </w:rPr>
        <w:t xml:space="preserve"> &amp; Visitation</w:t>
      </w:r>
      <w:r w:rsidRPr="00027160">
        <w:rPr>
          <w:rFonts w:ascii="Times New Roman" w:hAnsi="Times New Roman" w:cs="Times New Roman"/>
          <w:b/>
          <w:bCs/>
        </w:rPr>
        <w:t xml:space="preserve"> - Sole Legal – Article</w:t>
      </w:r>
    </w:p>
    <w:p w14:paraId="685A7FAA" w14:textId="77777777" w:rsidR="00027160" w:rsidRDefault="00027160" w:rsidP="00027160">
      <w:pPr>
        <w:pStyle w:val="Heading2"/>
        <w:numPr>
          <w:ilvl w:val="0"/>
          <w:numId w:val="0"/>
        </w:numPr>
        <w:spacing w:line="240" w:lineRule="auto"/>
        <w:jc w:val="both"/>
        <w:rPr>
          <w:rFonts w:ascii="Times New Roman" w:hAnsi="Times New Roman" w:cs="Times New Roman"/>
        </w:rPr>
      </w:pPr>
    </w:p>
    <w:p w14:paraId="146C44FF" w14:textId="0779D7DA" w:rsidR="00027160" w:rsidRDefault="00027160" w:rsidP="00027160">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For an informative article, </w:t>
      </w:r>
      <w:r w:rsidRPr="00D85B88">
        <w:rPr>
          <w:rFonts w:ascii="Times New Roman" w:hAnsi="Times New Roman" w:cs="Times New Roman"/>
          <w:i/>
          <w:iCs/>
        </w:rPr>
        <w:t>see</w:t>
      </w:r>
      <w:r>
        <w:rPr>
          <w:rFonts w:ascii="Times New Roman" w:hAnsi="Times New Roman" w:cs="Times New Roman"/>
        </w:rPr>
        <w:t xml:space="preserve"> Leslie Sullivan and Francesca McGuire, “Sole Legal Custody: A Thornier Issue for the Child’s Best Interest,” </w:t>
      </w:r>
      <w:r w:rsidRPr="00D85B88">
        <w:rPr>
          <w:rFonts w:ascii="Times New Roman" w:hAnsi="Times New Roman" w:cs="Times New Roman"/>
          <w:i/>
          <w:iCs/>
        </w:rPr>
        <w:t>NY Law Journal</w:t>
      </w:r>
      <w:r>
        <w:rPr>
          <w:rFonts w:ascii="Times New Roman" w:hAnsi="Times New Roman" w:cs="Times New Roman"/>
        </w:rPr>
        <w:t>, May 6, 2026.</w:t>
      </w:r>
    </w:p>
    <w:p w14:paraId="69F745DD" w14:textId="77777777" w:rsidR="00914349" w:rsidRDefault="00914349" w:rsidP="00027160">
      <w:pPr>
        <w:pStyle w:val="Heading2"/>
        <w:numPr>
          <w:ilvl w:val="0"/>
          <w:numId w:val="0"/>
        </w:numPr>
        <w:spacing w:line="240" w:lineRule="auto"/>
        <w:jc w:val="both"/>
        <w:rPr>
          <w:rFonts w:ascii="Times New Roman" w:hAnsi="Times New Roman" w:cs="Times New Roman"/>
        </w:rPr>
      </w:pPr>
    </w:p>
    <w:p w14:paraId="1210E183" w14:textId="370B9E61" w:rsidR="00914349" w:rsidRDefault="00914349" w:rsidP="00027160">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Custody &amp; Visitation – Third Party – Standing</w:t>
      </w:r>
    </w:p>
    <w:p w14:paraId="316BA218" w14:textId="77777777" w:rsidR="00914349" w:rsidRDefault="00914349" w:rsidP="00027160">
      <w:pPr>
        <w:pStyle w:val="Heading2"/>
        <w:numPr>
          <w:ilvl w:val="0"/>
          <w:numId w:val="0"/>
        </w:numPr>
        <w:spacing w:line="240" w:lineRule="auto"/>
        <w:jc w:val="both"/>
        <w:rPr>
          <w:rFonts w:ascii="Times New Roman" w:hAnsi="Times New Roman" w:cs="Times New Roman"/>
          <w:b/>
          <w:bCs/>
        </w:rPr>
      </w:pPr>
    </w:p>
    <w:p w14:paraId="685AE12D" w14:textId="5808B41B" w:rsidR="00914349" w:rsidRPr="00914349" w:rsidRDefault="00914349" w:rsidP="00027160">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914349">
        <w:rPr>
          <w:rFonts w:ascii="Times New Roman" w:hAnsi="Times New Roman" w:cs="Times New Roman"/>
          <w:b/>
          <w:bCs/>
          <w:i/>
          <w:iCs/>
        </w:rPr>
        <w:t>Matter of Amir BB. V. William CC.</w:t>
      </w:r>
      <w:r>
        <w:rPr>
          <w:rFonts w:ascii="Times New Roman" w:hAnsi="Times New Roman" w:cs="Times New Roman"/>
        </w:rPr>
        <w:t xml:space="preserve">, 2026 NY Slip Op 03339 (3d Dept. May 28, 2026), Petitioner, Respondent’s former spouse, appealed from a September 2024 Family Court order which granted the AFC’s motion to dismiss his March 2024 petition seeking visitation with Respondent’s child, upon the </w:t>
      </w:r>
      <w:proofErr w:type="gramStart"/>
      <w:r>
        <w:rPr>
          <w:rFonts w:ascii="Times New Roman" w:hAnsi="Times New Roman" w:cs="Times New Roman"/>
        </w:rPr>
        <w:t>ground</w:t>
      </w:r>
      <w:proofErr w:type="gramEnd"/>
      <w:r>
        <w:rPr>
          <w:rFonts w:ascii="Times New Roman" w:hAnsi="Times New Roman" w:cs="Times New Roman"/>
        </w:rPr>
        <w:t xml:space="preserve"> of lack of standing. The Third Department affirmed, finding: “Petitioner has never met the child, bears no familial relation to the child and had no role in the planning, conception or birth of the child.” Petitioner’s assigned appellate counsel sought to be </w:t>
      </w:r>
      <w:r>
        <w:rPr>
          <w:rFonts w:ascii="Times New Roman" w:hAnsi="Times New Roman" w:cs="Times New Roman"/>
        </w:rPr>
        <w:lastRenderedPageBreak/>
        <w:t>relieved “on the ground that there are no nonfrivolous issues to be raised on appeal.” The Appellate Division agreed with that assessment and granted the attorney’s motion.</w:t>
      </w:r>
    </w:p>
    <w:p w14:paraId="38C66425" w14:textId="77777777" w:rsidR="008B0BE8" w:rsidRDefault="008B0BE8" w:rsidP="00A83271">
      <w:pPr>
        <w:pStyle w:val="Heading2"/>
        <w:numPr>
          <w:ilvl w:val="0"/>
          <w:numId w:val="0"/>
        </w:numPr>
        <w:spacing w:line="240" w:lineRule="auto"/>
        <w:jc w:val="both"/>
        <w:rPr>
          <w:rFonts w:ascii="Times New Roman" w:hAnsi="Times New Roman" w:cs="Times New Roman"/>
        </w:rPr>
      </w:pPr>
    </w:p>
    <w:p w14:paraId="476B3B0D" w14:textId="2BF0FC88" w:rsidR="008455D8" w:rsidRPr="009E7210" w:rsidRDefault="008455D8" w:rsidP="008455D8">
      <w:pPr>
        <w:pStyle w:val="Heading2"/>
        <w:numPr>
          <w:ilvl w:val="0"/>
          <w:numId w:val="0"/>
        </w:numPr>
        <w:jc w:val="both"/>
      </w:pPr>
      <w:r>
        <w:rPr>
          <w:rFonts w:ascii="Times New Roman" w:hAnsi="Times New Roman" w:cs="Times New Roman"/>
          <w:b/>
          <w:bCs/>
        </w:rPr>
        <w:t xml:space="preserve">Custody &amp; Visitation </w:t>
      </w:r>
      <w:r w:rsidRPr="008455D8">
        <w:rPr>
          <w:rFonts w:ascii="Times New Roman" w:hAnsi="Times New Roman" w:cs="Times New Roman"/>
          <w:b/>
          <w:bCs/>
        </w:rPr>
        <w:t>- UCCJEA and ICWA – Jurisdictional Priority</w:t>
      </w:r>
    </w:p>
    <w:p w14:paraId="5D314D31" w14:textId="78758357" w:rsidR="008455D8" w:rsidRDefault="008455D8" w:rsidP="008455D8">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BD34CA">
        <w:rPr>
          <w:rFonts w:ascii="Times New Roman" w:hAnsi="Times New Roman" w:cs="Times New Roman"/>
          <w:b/>
          <w:bCs/>
          <w:i/>
          <w:iCs/>
        </w:rPr>
        <w:t>Matter of Kody II. v. Shaunta JJ.</w:t>
      </w:r>
      <w:r>
        <w:rPr>
          <w:rFonts w:ascii="Times New Roman" w:hAnsi="Times New Roman" w:cs="Times New Roman"/>
        </w:rPr>
        <w:t xml:space="preserve">, 2026 Westlaw 1336155 (3d Dept. May 14, 2026), the father and attorney for the child appealed from: (1) a January 2026 Family Court order which granted the mother temporary custody of the parties’ child born in 2022 in New Mexico (but who lived on the Navajo Nation reservation in Utah with the mother until she was about 8 months old); and (2) two other January 2026 orders which dismissed the father’s petition for custody.  In March 2023, the mother and child relocated to NY to reside with the father. In March 2024, the mother returned to the Utah reservation and the child continued to reside with the father in NY. Also in March 2024, the mother obtained a temporary order of protection and temporary custody of the child in the Navajo Court, which was served upon the father on March 26, 2024. On March 27, 2024, the father filed an emergency application for temporary sole custody in Family Court, and following a March 29, </w:t>
      </w:r>
      <w:proofErr w:type="gramStart"/>
      <w:r>
        <w:rPr>
          <w:rFonts w:ascii="Times New Roman" w:hAnsi="Times New Roman" w:cs="Times New Roman"/>
        </w:rPr>
        <w:t>2024</w:t>
      </w:r>
      <w:proofErr w:type="gramEnd"/>
      <w:r>
        <w:rPr>
          <w:rFonts w:ascii="Times New Roman" w:hAnsi="Times New Roman" w:cs="Times New Roman"/>
        </w:rPr>
        <w:t xml:space="preserve"> hearing, Family Court granted the father temporary sole legal and physical custody, ruling that the Navajo Court did not have jurisdiction. In May 2024, Family Court continued sole legal and physical custody to the father, upon the consent of the parties and the AFC, with phone and video calls to the mother. In June 2025, the parties and counsel stipulated in the Navajo Court that “matters pertaining to child custody … shall be addressed exclusively” in the Family Court of Columbia County. During a January 13, 2026 appearance in Family Court, the Court “suddenly, and without having been so prompted by the parties or conducting a best interests hearing, concluded that the mother ought to have custody of her child and issued a temporary order awarding the parents joint legal custody, but transferring primary physical custody to the mother” with time to the father. (Internal quotation marks omitted). The father and the AFC </w:t>
      </w:r>
      <w:r w:rsidR="001D4720">
        <w:rPr>
          <w:rFonts w:ascii="Times New Roman" w:hAnsi="Times New Roman" w:cs="Times New Roman"/>
        </w:rPr>
        <w:t>appealed,</w:t>
      </w:r>
      <w:r>
        <w:rPr>
          <w:rFonts w:ascii="Times New Roman" w:hAnsi="Times New Roman" w:cs="Times New Roman"/>
        </w:rPr>
        <w:t xml:space="preserve"> and the father moved for an emergency stay in the Appellate Division, which was granted. The Third Department </w:t>
      </w:r>
      <w:proofErr w:type="gramStart"/>
      <w:r>
        <w:rPr>
          <w:rFonts w:ascii="Times New Roman" w:hAnsi="Times New Roman" w:cs="Times New Roman"/>
        </w:rPr>
        <w:t>reinstated</w:t>
      </w:r>
      <w:proofErr w:type="gramEnd"/>
      <w:r>
        <w:rPr>
          <w:rFonts w:ascii="Times New Roman" w:hAnsi="Times New Roman" w:cs="Times New Roman"/>
        </w:rPr>
        <w:t xml:space="preserve"> Family Court’s May 2024 temporary order granting the father primary physical custody, but the child was already traveling to the Utah reservation with the mother, despite the father attempting to intercept the mother and serve her with the Appellate Division order at a Colorado airport. On January 15, 2026, Family Court and the Navajo Court held a conference without the parties, “during which Family Court expressed its intent to relinquish jurisdiction to the Navajo Court and make the appeal *** moot” and entered one of the orders appealed from, which dismissed the father’s petition with prejudice, for lack of jurisdiction, later issuing a written decision stating that the Navajo Court had exclusive jurisdiction under the Indian Child Welfare Act (ICWA, 25 USC 1901et seq.).  The Third Department framed the appeal as “an issue of first impression centered upon a question of jurisdiction priority at the convergence of [ICWA] ***, the [UCCJEA] ***, and competing state and tribal laws.” The Appellate Division concluded that: ICWA is inapplicable; the assertion of jurisdiction under the Navajo Nation Code “is not in conformity with the UCCJEA, and, as this state is the child’s ‘home state’ within the meaning of the UCCJEA, there was no basis for this state to cede jurisdiction to the Navajo Court.”</w:t>
      </w:r>
    </w:p>
    <w:p w14:paraId="54FD3074" w14:textId="77777777" w:rsidR="008455D8" w:rsidRDefault="008455D8" w:rsidP="008455D8">
      <w:pPr>
        <w:pStyle w:val="Heading2"/>
        <w:numPr>
          <w:ilvl w:val="0"/>
          <w:numId w:val="0"/>
        </w:numPr>
        <w:spacing w:line="240" w:lineRule="auto"/>
        <w:jc w:val="both"/>
        <w:rPr>
          <w:rFonts w:ascii="Times New Roman" w:hAnsi="Times New Roman" w:cs="Times New Roman"/>
          <w:b/>
          <w:bCs/>
        </w:rPr>
      </w:pPr>
    </w:p>
    <w:p w14:paraId="4834B4E7" w14:textId="624DC953" w:rsidR="008455D8" w:rsidRPr="00186182" w:rsidRDefault="008455D8" w:rsidP="008455D8">
      <w:pPr>
        <w:pStyle w:val="Heading2"/>
        <w:numPr>
          <w:ilvl w:val="0"/>
          <w:numId w:val="0"/>
        </w:numPr>
      </w:pPr>
      <w:r>
        <w:rPr>
          <w:rFonts w:ascii="Times New Roman" w:hAnsi="Times New Roman" w:cs="Times New Roman"/>
          <w:b/>
          <w:bCs/>
        </w:rPr>
        <w:t xml:space="preserve">Disclosure </w:t>
      </w:r>
      <w:r w:rsidRPr="008455D8">
        <w:rPr>
          <w:rFonts w:ascii="Times New Roman" w:hAnsi="Times New Roman" w:cs="Times New Roman"/>
          <w:b/>
          <w:bCs/>
        </w:rPr>
        <w:t>- Enforcement of Money Judgment – Subpoena Upheld</w:t>
      </w:r>
    </w:p>
    <w:p w14:paraId="32ED3ECB" w14:textId="290CE1E7" w:rsidR="008455D8" w:rsidRDefault="008455D8" w:rsidP="008455D8">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8455D8">
        <w:rPr>
          <w:rFonts w:ascii="Times New Roman" w:hAnsi="Times New Roman" w:cs="Times New Roman"/>
          <w:b/>
          <w:bCs/>
          <w:i/>
          <w:iCs/>
        </w:rPr>
        <w:t>York v. York</w:t>
      </w:r>
      <w:r>
        <w:rPr>
          <w:rFonts w:ascii="Times New Roman" w:hAnsi="Times New Roman" w:cs="Times New Roman"/>
        </w:rPr>
        <w:t xml:space="preserve">, 2026 Westlaw 1317409 (2d Dept. May 13, 2026), the wife appealed from a March 2022 Supreme Court order, which granted the husband’s motion to quash a subpoena duces tecum served upon him further to the wife’s enforcement of a money judgment against the </w:t>
      </w:r>
      <w:r>
        <w:rPr>
          <w:rFonts w:ascii="Times New Roman" w:hAnsi="Times New Roman" w:cs="Times New Roman"/>
        </w:rPr>
        <w:lastRenderedPageBreak/>
        <w:t>husband, which was renewed in 2010. The Second Department reversed, on the law and in the exercise of discretion, and denied the husband’s motion to quash, holding that the husband “failed to meet his initial burden of demonstrating either that the requested disclosure was utterly irrelevant or that futility of the process to uncover anything legitimate is inevitable or obvious (internal quotation marks and citation omitted).”</w:t>
      </w:r>
    </w:p>
    <w:p w14:paraId="208EFCB9" w14:textId="77777777" w:rsidR="008455D8" w:rsidRDefault="008455D8" w:rsidP="008455D8">
      <w:pPr>
        <w:pStyle w:val="Heading2"/>
        <w:numPr>
          <w:ilvl w:val="0"/>
          <w:numId w:val="0"/>
        </w:numPr>
        <w:spacing w:line="240" w:lineRule="auto"/>
        <w:jc w:val="both"/>
        <w:rPr>
          <w:rFonts w:ascii="Times New Roman" w:hAnsi="Times New Roman" w:cs="Times New Roman"/>
          <w:b/>
          <w:bCs/>
        </w:rPr>
      </w:pPr>
    </w:p>
    <w:p w14:paraId="4B8A6F46" w14:textId="799DB9C9" w:rsidR="008B0BE8" w:rsidRPr="008B0BE8" w:rsidRDefault="008B0BE8" w:rsidP="008B0BE8">
      <w:pPr>
        <w:pStyle w:val="Heading2"/>
        <w:numPr>
          <w:ilvl w:val="0"/>
          <w:numId w:val="0"/>
        </w:numPr>
        <w:rPr>
          <w:b/>
          <w:bCs/>
        </w:rPr>
      </w:pPr>
      <w:r w:rsidRPr="008B0BE8">
        <w:rPr>
          <w:rFonts w:ascii="Times New Roman" w:hAnsi="Times New Roman" w:cs="Times New Roman"/>
          <w:b/>
          <w:bCs/>
        </w:rPr>
        <w:t>Paternity - Invalid Surrogacy Agreements – Remitted for Hearing on Best Interests</w:t>
      </w:r>
    </w:p>
    <w:p w14:paraId="5165C776" w14:textId="0FBB28C8" w:rsidR="008B0BE8" w:rsidRDefault="008B0BE8" w:rsidP="008B0BE8">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8B0BE8">
        <w:rPr>
          <w:rFonts w:ascii="Times New Roman" w:hAnsi="Times New Roman" w:cs="Times New Roman"/>
          <w:b/>
          <w:bCs/>
          <w:i/>
          <w:iCs/>
        </w:rPr>
        <w:t>Matter of Baby A.</w:t>
      </w:r>
      <w:r>
        <w:rPr>
          <w:rFonts w:ascii="Times New Roman" w:hAnsi="Times New Roman" w:cs="Times New Roman"/>
        </w:rPr>
        <w:t>, 2026 Westlaw 1194475 (4</w:t>
      </w:r>
      <w:r w:rsidRPr="008F57AB">
        <w:rPr>
          <w:rFonts w:ascii="Times New Roman" w:hAnsi="Times New Roman" w:cs="Times New Roman"/>
          <w:vertAlign w:val="superscript"/>
        </w:rPr>
        <w:t>th</w:t>
      </w:r>
      <w:r>
        <w:rPr>
          <w:rFonts w:ascii="Times New Roman" w:hAnsi="Times New Roman" w:cs="Times New Roman"/>
        </w:rPr>
        <w:t xml:space="preserve"> Dept. May 1, 2026), the AFC appealed from </w:t>
      </w:r>
      <w:proofErr w:type="gramStart"/>
      <w:r>
        <w:rPr>
          <w:rFonts w:ascii="Times New Roman" w:hAnsi="Times New Roman" w:cs="Times New Roman"/>
        </w:rPr>
        <w:t>an October</w:t>
      </w:r>
      <w:proofErr w:type="gramEnd"/>
      <w:r>
        <w:rPr>
          <w:rFonts w:ascii="Times New Roman" w:hAnsi="Times New Roman" w:cs="Times New Roman"/>
        </w:rPr>
        <w:t xml:space="preserve"> 2025 Family Court Order and Judgment adjudging petitioners to be the only legal parents of the subject children born on or about November 2023. The Fourth Department reversed, on the law, and remitted to Family Court for further proceedings, at which it “must consider evidence of the intent of the parties, taking into account evidence pertaining to the best interests of the children.” In February 2023, Mary and Robert purportedly executed a surrogacy agreement with surrogate Isabella to carry to term 2 embryos. Following an August 2023 petition for a judgment of parentage, Family Court issued a pre-birth judgment of parentage. It was thereafter revealed that Robert did not sign the surrogacy agreement and was unaware of the same. Family Court then </w:t>
      </w:r>
      <w:r w:rsidRPr="00E31C1A">
        <w:rPr>
          <w:rFonts w:ascii="Times New Roman" w:hAnsi="Times New Roman" w:cs="Times New Roman"/>
          <w:i/>
          <w:iCs/>
        </w:rPr>
        <w:t>sua sponte</w:t>
      </w:r>
      <w:r>
        <w:rPr>
          <w:rFonts w:ascii="Times New Roman" w:hAnsi="Times New Roman" w:cs="Times New Roman"/>
        </w:rPr>
        <w:t xml:space="preserve"> rescinded the judgment of parentage, directed that custody </w:t>
      </w:r>
      <w:proofErr w:type="gramStart"/>
      <w:r>
        <w:rPr>
          <w:rFonts w:ascii="Times New Roman" w:hAnsi="Times New Roman" w:cs="Times New Roman"/>
        </w:rPr>
        <w:t>not be</w:t>
      </w:r>
      <w:proofErr w:type="gramEnd"/>
      <w:r>
        <w:rPr>
          <w:rFonts w:ascii="Times New Roman" w:hAnsi="Times New Roman" w:cs="Times New Roman"/>
        </w:rPr>
        <w:t xml:space="preserve"> transferred to Mary and Robert upon the children’s birth, added DSS as a party, and assigned an AFC. A new surrogacy agreement was executed shortly before the children’s birth. The children were placed with DSS and then with a foster family, with whom they have resided for over 2 years. In April 2025, Robert moved to vacate the 2023 order rescission order, which Family Court granted, while noting that such a vacatur was not dispositive of all issues involving the children. The AFC thereafter moved to vacate the 2023 judgment of parentage, which the Appellate Division noted “was effectively revived upon the vacatur of the rescission order,” and to dismiss the parentage petition for failure to comply with Family Court Article 5-C. Family Court initially reserved decision pending a hearing, but then, over the AFC’s objection, granted the parties’ request to submit affidavits in lieu of a hearing. Family Court found that</w:t>
      </w:r>
      <w:r w:rsidR="00BD34CA">
        <w:rPr>
          <w:rFonts w:ascii="Times New Roman" w:hAnsi="Times New Roman" w:cs="Times New Roman"/>
        </w:rPr>
        <w:t xml:space="preserve"> because</w:t>
      </w:r>
      <w:r>
        <w:rPr>
          <w:rFonts w:ascii="Times New Roman" w:hAnsi="Times New Roman" w:cs="Times New Roman"/>
        </w:rPr>
        <w:t xml:space="preserve"> “the intentions of the parties to the surrogacy agreement were not in dispute, the best interests of the children need not be considered.” Family Court then vacated the 2023 judgment of parentage and issued the October 2025 judgment declaring Mary and Robert to be </w:t>
      </w:r>
      <w:proofErr w:type="gramStart"/>
      <w:r>
        <w:rPr>
          <w:rFonts w:ascii="Times New Roman" w:hAnsi="Times New Roman" w:cs="Times New Roman"/>
        </w:rPr>
        <w:t>the legal</w:t>
      </w:r>
      <w:proofErr w:type="gramEnd"/>
      <w:r>
        <w:rPr>
          <w:rFonts w:ascii="Times New Roman" w:hAnsi="Times New Roman" w:cs="Times New Roman"/>
        </w:rPr>
        <w:t xml:space="preserve"> parents and which is the subject of the appeal. Mary and Robert argued that the AFC had no standing to bring the appeal. The Fourth Department noted that while an AFC is not among the statutorily defined “necessary parties” to a proceeding for a judgment of parentage arising from a surrogacy agreement (FCA 581-203[b]), where, as is here the case, the surrogacy agreement is not enforceable, “the best interests of the child become relevant to the parentage determination,” citing FCA 581-407, and the Court may appoint an AFC pursuant to FCA 241. The Appellate Division agreed with the AFC that Family Court “erred in refusing to hold a hearing and in failing to consider the best interests of the children,” given that the surrogacy agreement “does not meet the material requirements of [article 5-C], *** is not enforceable and the court shall determine parentage based on the intent of the parties, taking into account the best interests of child,” citing FCA 581-407. The February 2023 pre-birth surrogacy agreement was not valid because it was not signed by Robert. The second agreement “is unenforceable because it was not executed prior to the commencement of medical procedures in furtherance of the embryo transfer,” citing FCA 581-403(b).</w:t>
      </w:r>
    </w:p>
    <w:p w14:paraId="38F9ABDA" w14:textId="77777777" w:rsidR="00DC5BFC" w:rsidRDefault="00DC5BFC" w:rsidP="008B0BE8">
      <w:pPr>
        <w:pStyle w:val="Heading2"/>
        <w:numPr>
          <w:ilvl w:val="0"/>
          <w:numId w:val="0"/>
        </w:numPr>
        <w:spacing w:line="240" w:lineRule="auto"/>
        <w:jc w:val="both"/>
        <w:rPr>
          <w:rFonts w:ascii="Times New Roman" w:hAnsi="Times New Roman" w:cs="Times New Roman"/>
        </w:rPr>
      </w:pPr>
    </w:p>
    <w:p w14:paraId="2DEDBE99" w14:textId="77777777" w:rsidR="008B0BE8" w:rsidRDefault="008B0BE8" w:rsidP="008B0BE8">
      <w:pPr>
        <w:pStyle w:val="Heading2"/>
        <w:numPr>
          <w:ilvl w:val="0"/>
          <w:numId w:val="0"/>
        </w:numPr>
        <w:spacing w:line="240" w:lineRule="auto"/>
        <w:jc w:val="both"/>
        <w:rPr>
          <w:rFonts w:ascii="Times New Roman" w:hAnsi="Times New Roman" w:cs="Times New Roman"/>
        </w:rPr>
      </w:pPr>
    </w:p>
    <w:p w14:paraId="50627725" w14:textId="77777777" w:rsidR="008B0BE8" w:rsidRDefault="008B0BE8" w:rsidP="008B0BE8">
      <w:pPr>
        <w:pStyle w:val="Heading2"/>
        <w:numPr>
          <w:ilvl w:val="0"/>
          <w:numId w:val="0"/>
        </w:numPr>
        <w:spacing w:line="240" w:lineRule="auto"/>
        <w:jc w:val="both"/>
        <w:rPr>
          <w:rFonts w:ascii="Times New Roman" w:hAnsi="Times New Roman" w:cs="Times New Roman"/>
          <w:b/>
          <w:bCs/>
        </w:rPr>
      </w:pPr>
      <w:r w:rsidRPr="008B0BE8">
        <w:rPr>
          <w:rFonts w:ascii="Times New Roman" w:hAnsi="Times New Roman" w:cs="Times New Roman"/>
          <w:b/>
          <w:bCs/>
        </w:rPr>
        <w:lastRenderedPageBreak/>
        <w:t>Pendente Lite - Counsel Fees – Award Vacated – Inadequate Factual Basis, No Retainer Agreement, No SNW</w:t>
      </w:r>
    </w:p>
    <w:p w14:paraId="06A86F24" w14:textId="77777777" w:rsidR="008B0BE8" w:rsidRPr="008B0BE8" w:rsidRDefault="008B0BE8" w:rsidP="008B0BE8">
      <w:pPr>
        <w:pStyle w:val="Heading2"/>
        <w:numPr>
          <w:ilvl w:val="0"/>
          <w:numId w:val="0"/>
        </w:numPr>
        <w:spacing w:line="240" w:lineRule="auto"/>
        <w:jc w:val="both"/>
        <w:rPr>
          <w:b/>
          <w:bCs/>
        </w:rPr>
      </w:pPr>
    </w:p>
    <w:p w14:paraId="19D3853C" w14:textId="6C81AD51" w:rsidR="008B0BE8" w:rsidRDefault="008B0BE8" w:rsidP="008B0BE8">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8B0BE8">
        <w:rPr>
          <w:rFonts w:ascii="Times New Roman" w:hAnsi="Times New Roman" w:cs="Times New Roman"/>
          <w:b/>
          <w:bCs/>
          <w:i/>
          <w:iCs/>
        </w:rPr>
        <w:t>Park v. Butkow</w:t>
      </w:r>
      <w:r>
        <w:rPr>
          <w:rFonts w:ascii="Times New Roman" w:hAnsi="Times New Roman" w:cs="Times New Roman"/>
        </w:rPr>
        <w:t>, 2026 Westlaw 1250553 (1</w:t>
      </w:r>
      <w:r w:rsidRPr="00B94D2F">
        <w:rPr>
          <w:rFonts w:ascii="Times New Roman" w:hAnsi="Times New Roman" w:cs="Times New Roman"/>
          <w:vertAlign w:val="superscript"/>
        </w:rPr>
        <w:t>st</w:t>
      </w:r>
      <w:r>
        <w:rPr>
          <w:rFonts w:ascii="Times New Roman" w:hAnsi="Times New Roman" w:cs="Times New Roman"/>
        </w:rPr>
        <w:t xml:space="preserve"> Dept. May 7, 2026), the wife appealed from a July 2025 Supreme Court order which awarded the husband temporary counsel fees of $70,000. The First Department modified, on the law and as a matter of discretion in the interest of justice, to vacate the award without prejudice to renewal upon proper papers, finding that the wife “did not expressly oppose the husband’s fee application, thereby failing to preserve her challenge to the fee award,” but the Court “review[ed] the issue in the interest of justice (citation omitted).” The fee application arose following the wife’s retrieval of an email between the husband and counsel from a tablet used by the parties’ child, on which the husband had left his email application. The child discovered the email and reported it to the mother. The mother deleted the email application from the tablet after printing and saving the subject email, which she later shared with the court-appointed forensic evaluator. Supreme Court based on these events found that “the husband had a good faith basis for his motion and awarded fees.”  The Appellate Division held: “the amount of the fees awarded was an improvident exercise of discretion because the husband’s motion was not supported by a statement of net worth and a copy of his retainer agreement, as required by Domestic Relations Law § 237(a) and 22 NYCRR 202.16(k).”  The Court concluded that Supreme Court should have “decline[d] to entertain the motion or deny it without prejudice to renewal upon compliance with the applicable requirements (citation omitted)” and that there was no “good cause” to dispense with the SNW and retainer agreement requirements, where “the husband admitted that he had not submitted updated financial information since February 2020, leaving the court without an adequate basis to assess the parties’ relative financial circumstances.”</w:t>
      </w:r>
    </w:p>
    <w:p w14:paraId="1F472CB0" w14:textId="77777777" w:rsidR="00F040C7" w:rsidRDefault="00F040C7" w:rsidP="008B0BE8">
      <w:pPr>
        <w:pStyle w:val="Heading2"/>
        <w:numPr>
          <w:ilvl w:val="0"/>
          <w:numId w:val="0"/>
        </w:numPr>
        <w:spacing w:line="240" w:lineRule="auto"/>
        <w:jc w:val="both"/>
        <w:rPr>
          <w:rFonts w:ascii="Times New Roman" w:hAnsi="Times New Roman" w:cs="Times New Roman"/>
        </w:rPr>
      </w:pPr>
    </w:p>
    <w:p w14:paraId="34E856E3" w14:textId="2ED7E25B" w:rsidR="00F040C7" w:rsidRDefault="00F040C7" w:rsidP="008B0BE8">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F040C7">
        <w:rPr>
          <w:rFonts w:ascii="Times New Roman" w:hAnsi="Times New Roman" w:cs="Times New Roman"/>
          <w:b/>
          <w:bCs/>
          <w:i/>
          <w:iCs/>
        </w:rPr>
        <w:t>Casella v. Casella</w:t>
      </w:r>
      <w:r>
        <w:rPr>
          <w:rFonts w:ascii="Times New Roman" w:hAnsi="Times New Roman" w:cs="Times New Roman"/>
        </w:rPr>
        <w:t>, 2026 Westlaw 1423615 (1</w:t>
      </w:r>
      <w:r w:rsidRPr="00515AD8">
        <w:rPr>
          <w:rFonts w:ascii="Times New Roman" w:hAnsi="Times New Roman" w:cs="Times New Roman"/>
          <w:vertAlign w:val="superscript"/>
        </w:rPr>
        <w:t>st</w:t>
      </w:r>
      <w:r>
        <w:rPr>
          <w:rFonts w:ascii="Times New Roman" w:hAnsi="Times New Roman" w:cs="Times New Roman"/>
        </w:rPr>
        <w:t xml:space="preserve"> Dept. May 21, 2026), the wife appealed from a November 2024 Supreme Court order which, in the husband’s 2020 divorce action, directed that $100,000 held in a marital escrow account be used to pay the husband’s legal fees, and authorized the AFC’s trial retainer to also be paid therefrom, apportioned 66.7% to the husband and 33.3%, subject to reallocation after trial. The First Department reversed, on the law and in the exercise </w:t>
      </w:r>
      <w:r w:rsidR="00BD34CA">
        <w:rPr>
          <w:rFonts w:ascii="Times New Roman" w:hAnsi="Times New Roman" w:cs="Times New Roman"/>
        </w:rPr>
        <w:t xml:space="preserve">of </w:t>
      </w:r>
      <w:r>
        <w:rPr>
          <w:rFonts w:ascii="Times New Roman" w:hAnsi="Times New Roman" w:cs="Times New Roman"/>
        </w:rPr>
        <w:t>discretion, and vacated the legal fee awards. The Appellate Division held that Supreme Court “improvidently exercised its discretion in directing that escrow funds be released to pay the husband’s counsel and the attorney for the children because the relief granted was ‘dramatically unlike’ the relief sought, the husband’s counsel’s application to be relieved.”  The Court concluded that “to the extent the husband’s motion could be interpreted as requesting legal fees, it should have been denied for failing to comply with both Domestic Relations Law §237(a) and 22 NYCRR 202.16(k)(2), as it was not supported by a copy of the retainer agreement, a statement of net worth, or current billing statements (citation omitted).”</w:t>
      </w:r>
    </w:p>
    <w:p w14:paraId="63B4C5B8" w14:textId="77777777" w:rsidR="00BD4945" w:rsidRDefault="00BD4945" w:rsidP="008B0BE8">
      <w:pPr>
        <w:pStyle w:val="Heading2"/>
        <w:numPr>
          <w:ilvl w:val="0"/>
          <w:numId w:val="0"/>
        </w:numPr>
        <w:spacing w:line="240" w:lineRule="auto"/>
        <w:jc w:val="both"/>
        <w:rPr>
          <w:rFonts w:ascii="Times New Roman" w:hAnsi="Times New Roman" w:cs="Times New Roman"/>
        </w:rPr>
      </w:pPr>
    </w:p>
    <w:p w14:paraId="7B17FDEE" w14:textId="77777777" w:rsidR="008B0BE8" w:rsidRPr="008B0BE8" w:rsidRDefault="008B0BE8" w:rsidP="008B0BE8">
      <w:pPr>
        <w:pStyle w:val="Heading2"/>
        <w:numPr>
          <w:ilvl w:val="0"/>
          <w:numId w:val="0"/>
        </w:numPr>
        <w:jc w:val="both"/>
        <w:rPr>
          <w:b/>
          <w:bCs/>
        </w:rPr>
      </w:pPr>
      <w:r w:rsidRPr="008B0BE8">
        <w:rPr>
          <w:rFonts w:ascii="Times New Roman" w:hAnsi="Times New Roman" w:cs="Times New Roman"/>
          <w:b/>
          <w:bCs/>
        </w:rPr>
        <w:t>Procedure - Joinder of Third Party – Denied; No Basis for Fee Award Against Third Party</w:t>
      </w:r>
    </w:p>
    <w:p w14:paraId="1E934F98" w14:textId="312EBD54" w:rsidR="00DC5BFC" w:rsidRDefault="008B0BE8" w:rsidP="00DC5BFC">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8B0BE8">
        <w:rPr>
          <w:rFonts w:ascii="Times New Roman" w:hAnsi="Times New Roman" w:cs="Times New Roman"/>
          <w:b/>
          <w:bCs/>
          <w:i/>
          <w:iCs/>
        </w:rPr>
        <w:t>Marinac v Marinac</w:t>
      </w:r>
      <w:r>
        <w:rPr>
          <w:rFonts w:ascii="Times New Roman" w:hAnsi="Times New Roman" w:cs="Times New Roman"/>
        </w:rPr>
        <w:t>, 2026 Westlaw 1250547 (1</w:t>
      </w:r>
      <w:r w:rsidRPr="002E20AF">
        <w:rPr>
          <w:rFonts w:ascii="Times New Roman" w:hAnsi="Times New Roman" w:cs="Times New Roman"/>
          <w:vertAlign w:val="superscript"/>
        </w:rPr>
        <w:t>st</w:t>
      </w:r>
      <w:r>
        <w:rPr>
          <w:rFonts w:ascii="Times New Roman" w:hAnsi="Times New Roman" w:cs="Times New Roman"/>
        </w:rPr>
        <w:t xml:space="preserve"> Dept. May 7, 2026), the wife appealed from an April 2025 Supreme Court order which denied her motion to join nonparty Gorman, a business associate of the husband, compel disclosure from him, require him to restore marital assets and to reimburse her for litigation costs, and which granted Gorman’s cross-motion to enjoin her from initiating future litigation in this action </w:t>
      </w:r>
      <w:r w:rsidR="00BD34CA">
        <w:rPr>
          <w:rFonts w:ascii="Times New Roman" w:hAnsi="Times New Roman" w:cs="Times New Roman"/>
        </w:rPr>
        <w:t xml:space="preserve">against him </w:t>
      </w:r>
      <w:r>
        <w:rPr>
          <w:rFonts w:ascii="Times New Roman" w:hAnsi="Times New Roman" w:cs="Times New Roman"/>
        </w:rPr>
        <w:t xml:space="preserve">without leave of court. The First Department affirmed the injunction as proper, in that Gorman had already produced financial </w:t>
      </w:r>
      <w:r>
        <w:rPr>
          <w:rFonts w:ascii="Times New Roman" w:hAnsi="Times New Roman" w:cs="Times New Roman"/>
        </w:rPr>
        <w:lastRenderedPageBreak/>
        <w:t>documents and the wife could not identify any outstanding documents. Gorman explained that the transactions alleged by the wife were not wrongful transfers or funds, but were business dealings between he and the husband, which in all events could be addressed in the divorce action. The Appellate Division noted that there was no basis for reimbursement from Gorman, given that “there is no pleading in this action which would allow the court to award such relief against Gorman.”</w:t>
      </w:r>
    </w:p>
    <w:p w14:paraId="7358C6D6" w14:textId="77777777" w:rsidR="00DC5BFC" w:rsidRDefault="00DC5BFC" w:rsidP="00DC5BFC">
      <w:pPr>
        <w:pStyle w:val="Heading2"/>
        <w:numPr>
          <w:ilvl w:val="0"/>
          <w:numId w:val="0"/>
        </w:numPr>
        <w:spacing w:line="240" w:lineRule="auto"/>
        <w:jc w:val="both"/>
        <w:rPr>
          <w:rFonts w:ascii="Times New Roman" w:hAnsi="Times New Roman" w:cs="Times New Roman"/>
        </w:rPr>
      </w:pPr>
    </w:p>
    <w:p w14:paraId="3F7A016B" w14:textId="146149CC" w:rsidR="00F040C7" w:rsidRPr="00DC5BFC" w:rsidRDefault="00F040C7" w:rsidP="00DC5BFC">
      <w:pPr>
        <w:pStyle w:val="Heading2"/>
        <w:numPr>
          <w:ilvl w:val="0"/>
          <w:numId w:val="0"/>
        </w:numPr>
        <w:spacing w:line="240" w:lineRule="auto"/>
        <w:jc w:val="both"/>
        <w:rPr>
          <w:rFonts w:ascii="Times New Roman" w:hAnsi="Times New Roman" w:cs="Times New Roman"/>
        </w:rPr>
      </w:pPr>
      <w:r w:rsidRPr="00F040C7">
        <w:rPr>
          <w:rFonts w:ascii="Times New Roman" w:hAnsi="Times New Roman" w:cs="Times New Roman"/>
          <w:b/>
          <w:bCs/>
        </w:rPr>
        <w:t>Procedure - Default Vacatur Denied – No Meritorious Defense</w:t>
      </w:r>
    </w:p>
    <w:p w14:paraId="7E45AC1C" w14:textId="77777777" w:rsidR="00DC5BFC" w:rsidRDefault="00DC5BFC" w:rsidP="00F040C7">
      <w:pPr>
        <w:pStyle w:val="Heading2"/>
        <w:numPr>
          <w:ilvl w:val="0"/>
          <w:numId w:val="0"/>
        </w:numPr>
        <w:spacing w:line="240" w:lineRule="auto"/>
        <w:jc w:val="both"/>
        <w:rPr>
          <w:rFonts w:ascii="Times New Roman" w:hAnsi="Times New Roman" w:cs="Times New Roman"/>
        </w:rPr>
      </w:pPr>
    </w:p>
    <w:p w14:paraId="2F859516" w14:textId="2FD0F4A2" w:rsidR="00F040C7" w:rsidRDefault="00F040C7" w:rsidP="00F040C7">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 xml:space="preserve">In </w:t>
      </w:r>
      <w:r w:rsidRPr="00F040C7">
        <w:rPr>
          <w:rFonts w:ascii="Times New Roman" w:hAnsi="Times New Roman" w:cs="Times New Roman"/>
          <w:b/>
          <w:bCs/>
          <w:i/>
          <w:iCs/>
        </w:rPr>
        <w:t>Matter of Smith v. Munoz</w:t>
      </w:r>
      <w:r>
        <w:rPr>
          <w:rFonts w:ascii="Times New Roman" w:hAnsi="Times New Roman" w:cs="Times New Roman"/>
        </w:rPr>
        <w:t>, 2026 Westlaw 1408392 (2d Dept. May 20, 2026), the parties had 2 children and were divorced by a decree of a Bahamian Court directing the father to pay child support. The father appealed from a March 2024 Family Court order, denying his objections to a January 2024 Support Magistrate order, which denied his motion to vacate 3 August 2023 Support Magistrate orders granting the mother’s March 2022 enforcement petition, to the extent of finding that he willfully violated the child support terms of the parties’ divorce decree, granting the mother a money judgment, and recommending incarceration, unless he paid a purge amount of $398,200. The Second Department affirmed, holding that while “the father showed no intent to default where he was tardy to the hearing and he had appeared for prior hearing dates and there was no showing of prejudice to the mother (citations omitted), the father failed to establish a potentially meritorious defense (citations omitted).”</w:t>
      </w:r>
    </w:p>
    <w:p w14:paraId="1F639E87" w14:textId="77777777" w:rsidR="00914349" w:rsidRDefault="00914349" w:rsidP="00F040C7">
      <w:pPr>
        <w:pStyle w:val="Heading2"/>
        <w:numPr>
          <w:ilvl w:val="0"/>
          <w:numId w:val="0"/>
        </w:numPr>
        <w:spacing w:line="240" w:lineRule="auto"/>
        <w:jc w:val="both"/>
        <w:rPr>
          <w:rFonts w:ascii="Times New Roman" w:hAnsi="Times New Roman" w:cs="Times New Roman"/>
        </w:rPr>
      </w:pPr>
    </w:p>
    <w:p w14:paraId="6F7B7F21" w14:textId="4A23D41A" w:rsidR="00914349" w:rsidRDefault="00914349" w:rsidP="00F040C7">
      <w:pPr>
        <w:pStyle w:val="Heading2"/>
        <w:numPr>
          <w:ilvl w:val="0"/>
          <w:numId w:val="0"/>
        </w:numPr>
        <w:spacing w:line="240" w:lineRule="auto"/>
        <w:jc w:val="both"/>
        <w:rPr>
          <w:rFonts w:ascii="Times New Roman" w:hAnsi="Times New Roman" w:cs="Times New Roman"/>
          <w:b/>
          <w:bCs/>
        </w:rPr>
      </w:pPr>
      <w:r w:rsidRPr="00914349">
        <w:rPr>
          <w:rFonts w:ascii="Times New Roman" w:hAnsi="Times New Roman" w:cs="Times New Roman"/>
          <w:b/>
          <w:bCs/>
        </w:rPr>
        <w:t xml:space="preserve">Procedure – Generative AI – </w:t>
      </w:r>
      <w:r w:rsidRPr="00914349">
        <w:rPr>
          <w:rFonts w:ascii="Times New Roman" w:hAnsi="Times New Roman" w:cs="Times New Roman"/>
          <w:b/>
          <w:bCs/>
          <w:i/>
          <w:iCs/>
        </w:rPr>
        <w:t>Pro Se</w:t>
      </w:r>
      <w:r w:rsidRPr="00914349">
        <w:rPr>
          <w:rFonts w:ascii="Times New Roman" w:hAnsi="Times New Roman" w:cs="Times New Roman"/>
          <w:b/>
          <w:bCs/>
        </w:rPr>
        <w:t xml:space="preserve"> Litigant </w:t>
      </w:r>
      <w:r>
        <w:rPr>
          <w:rFonts w:ascii="Times New Roman" w:hAnsi="Times New Roman" w:cs="Times New Roman"/>
          <w:b/>
          <w:bCs/>
        </w:rPr>
        <w:t>–</w:t>
      </w:r>
      <w:r w:rsidRPr="00914349">
        <w:rPr>
          <w:rFonts w:ascii="Times New Roman" w:hAnsi="Times New Roman" w:cs="Times New Roman"/>
          <w:b/>
          <w:bCs/>
        </w:rPr>
        <w:t xml:space="preserve"> Sanctions</w:t>
      </w:r>
    </w:p>
    <w:p w14:paraId="117ECD00" w14:textId="77777777" w:rsidR="00914349" w:rsidRDefault="00914349" w:rsidP="00F040C7">
      <w:pPr>
        <w:pStyle w:val="Heading2"/>
        <w:numPr>
          <w:ilvl w:val="0"/>
          <w:numId w:val="0"/>
        </w:numPr>
        <w:spacing w:line="240" w:lineRule="auto"/>
        <w:jc w:val="both"/>
        <w:rPr>
          <w:rFonts w:ascii="Times New Roman" w:hAnsi="Times New Roman" w:cs="Times New Roman"/>
          <w:b/>
          <w:bCs/>
        </w:rPr>
      </w:pPr>
    </w:p>
    <w:p w14:paraId="4C5CCB21" w14:textId="1CBF4ACC" w:rsidR="00027160" w:rsidRDefault="00914349" w:rsidP="00027160">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914349">
        <w:rPr>
          <w:rFonts w:ascii="Times New Roman" w:hAnsi="Times New Roman" w:cs="Times New Roman"/>
          <w:b/>
          <w:bCs/>
          <w:i/>
          <w:iCs/>
        </w:rPr>
        <w:t>Matter of Julien v. Arthur</w:t>
      </w:r>
      <w:r>
        <w:rPr>
          <w:rFonts w:ascii="Times New Roman" w:hAnsi="Times New Roman" w:cs="Times New Roman"/>
        </w:rPr>
        <w:t xml:space="preserve">, 2026 Westlaw 1476261 (2d Dept. May 27, 2026), the father appealed from an April 2024 Family Court order which, after a hearing, granted the mother’s May 2021 petition seeking sole legal custody of the parties’ child born in June 2020. By Order to Show Cause dated January 14, 2026, the Second Department directed the parties to show cause why an order should not be made imposing sanctions and/or costs against the father pursuant to 22 NYCRR 130-1.1 “for filing a brief containing fabricated legal authority.” The Appellate Division affirmed the order appealed from and imposed a $250 sanction upon the father, finding that his “appellate brief contained a citation to a nonexistent decision purportedly issued by the Appellate Division, First Department.”  The Court compared this case to </w:t>
      </w:r>
      <w:r w:rsidRPr="00914349">
        <w:rPr>
          <w:rFonts w:ascii="Times New Roman" w:hAnsi="Times New Roman" w:cs="Times New Roman"/>
          <w:b/>
          <w:bCs/>
          <w:i/>
          <w:iCs/>
        </w:rPr>
        <w:t>Deutsche Bank Natl. Trust Co. v. Le Tennier</w:t>
      </w:r>
      <w:r>
        <w:rPr>
          <w:rFonts w:ascii="Times New Roman" w:hAnsi="Times New Roman" w:cs="Times New Roman"/>
        </w:rPr>
        <w:t>, 250 NYS3d 260 (3d Dept. Jan. 8, 2026) [</w:t>
      </w:r>
      <w:r w:rsidRPr="00DC5BFC">
        <w:rPr>
          <w:rFonts w:ascii="Times New Roman" w:hAnsi="Times New Roman" w:cs="Times New Roman"/>
          <w:i/>
          <w:iCs/>
        </w:rPr>
        <w:t>see</w:t>
      </w:r>
      <w:r w:rsidRPr="00DC5BFC">
        <w:rPr>
          <w:rFonts w:ascii="Times New Roman" w:hAnsi="Times New Roman" w:cs="Times New Roman"/>
        </w:rPr>
        <w:t xml:space="preserve"> </w:t>
      </w:r>
      <w:r w:rsidRPr="00DC5BFC">
        <w:rPr>
          <w:rFonts w:ascii="Times New Roman" w:hAnsi="Times New Roman" w:cs="Times New Roman"/>
          <w:b/>
          <w:bCs/>
        </w:rPr>
        <w:t>February 2026 Bulletin at 11</w:t>
      </w:r>
      <w:r w:rsidRPr="00DC5BFC">
        <w:rPr>
          <w:rFonts w:ascii="Times New Roman" w:hAnsi="Times New Roman" w:cs="Times New Roman"/>
        </w:rPr>
        <w:t>]</w:t>
      </w:r>
      <w:r>
        <w:rPr>
          <w:rFonts w:ascii="Times New Roman" w:hAnsi="Times New Roman" w:cs="Times New Roman"/>
        </w:rPr>
        <w:t>, [23 fabricated citations, sanctions of $7,500 upon attorney and $2,500 on client] and observed “[t]he circumstances of this case are far less egregious ***.” The Third Department concluded that “a party’s pro se status does not excuse [the party’s] failure to check the legal citations ***.”</w:t>
      </w:r>
    </w:p>
    <w:p w14:paraId="745F2144" w14:textId="77777777" w:rsidR="00961D8D" w:rsidRPr="0089226B" w:rsidRDefault="00961D8D" w:rsidP="0039601B">
      <w:pPr>
        <w:pStyle w:val="Heading2"/>
        <w:numPr>
          <w:ilvl w:val="0"/>
          <w:numId w:val="0"/>
        </w:numPr>
        <w:spacing w:line="240" w:lineRule="auto"/>
        <w:jc w:val="both"/>
      </w:pPr>
    </w:p>
    <w:p w14:paraId="7D099A19" w14:textId="598BAA68" w:rsidR="004F34EE" w:rsidRPr="00A43A59" w:rsidRDefault="005664BA" w:rsidP="00AA33D7">
      <w:pPr>
        <w:pStyle w:val="Heading2"/>
        <w:numPr>
          <w:ilvl w:val="0"/>
          <w:numId w:val="0"/>
        </w:numPr>
        <w:jc w:val="both"/>
        <w:rPr>
          <w:rFonts w:ascii="Times New Roman" w:hAnsi="Times New Roman" w:cs="Times New Roman"/>
          <w:b/>
          <w:bCs/>
          <w:u w:val="single"/>
        </w:rPr>
      </w:pPr>
      <w:r w:rsidRPr="00A43A59">
        <w:rPr>
          <w:rFonts w:ascii="Times New Roman" w:hAnsi="Times New Roman" w:cs="Times New Roman"/>
          <w:b/>
          <w:bCs/>
          <w:u w:val="single"/>
        </w:rPr>
        <w:t>LEGISLATIVE AND COURT RULE ITEMS</w:t>
      </w:r>
    </w:p>
    <w:p w14:paraId="013D8E76" w14:textId="317FC9D6" w:rsidR="001541D8" w:rsidRDefault="001541D8" w:rsidP="001541D8">
      <w:pPr>
        <w:pStyle w:val="Heading2"/>
        <w:numPr>
          <w:ilvl w:val="0"/>
          <w:numId w:val="0"/>
        </w:numPr>
        <w:jc w:val="both"/>
        <w:rPr>
          <w:b/>
          <w:bCs/>
        </w:rPr>
      </w:pPr>
      <w:r>
        <w:rPr>
          <w:rFonts w:ascii="Times New Roman" w:hAnsi="Times New Roman" w:cs="Times New Roman"/>
          <w:b/>
          <w:bCs/>
        </w:rPr>
        <w:t>Alternative Dispute Resolution (</w:t>
      </w:r>
      <w:r w:rsidRPr="001541D8">
        <w:rPr>
          <w:rFonts w:ascii="Times New Roman" w:hAnsi="Times New Roman" w:cs="Times New Roman"/>
          <w:b/>
          <w:bCs/>
          <w:i/>
          <w:iCs/>
        </w:rPr>
        <w:t>see</w:t>
      </w:r>
      <w:r>
        <w:rPr>
          <w:rFonts w:ascii="Times New Roman" w:hAnsi="Times New Roman" w:cs="Times New Roman"/>
          <w:b/>
          <w:bCs/>
        </w:rPr>
        <w:t xml:space="preserve"> October 2025 </w:t>
      </w:r>
      <w:r w:rsidR="00ED52FC">
        <w:rPr>
          <w:rFonts w:ascii="Times New Roman" w:hAnsi="Times New Roman" w:cs="Times New Roman"/>
          <w:b/>
          <w:bCs/>
          <w:i/>
          <w:iCs/>
        </w:rPr>
        <w:t>Update</w:t>
      </w:r>
      <w:r>
        <w:rPr>
          <w:rFonts w:ascii="Times New Roman" w:hAnsi="Times New Roman" w:cs="Times New Roman"/>
          <w:b/>
          <w:bCs/>
        </w:rPr>
        <w:t xml:space="preserve"> at 6)</w:t>
      </w:r>
    </w:p>
    <w:p w14:paraId="2AB7736D" w14:textId="77777777" w:rsidR="001541D8" w:rsidRDefault="001541D8" w:rsidP="001541D8">
      <w:pPr>
        <w:pStyle w:val="Heading2"/>
        <w:numPr>
          <w:ilvl w:val="0"/>
          <w:numId w:val="0"/>
        </w:numPr>
        <w:spacing w:line="240" w:lineRule="auto"/>
        <w:jc w:val="both"/>
      </w:pPr>
      <w:r>
        <w:rPr>
          <w:rFonts w:ascii="Times New Roman" w:hAnsi="Times New Roman" w:cs="Times New Roman"/>
        </w:rPr>
        <w:tab/>
      </w:r>
      <w:r w:rsidRPr="008D7D4C">
        <w:rPr>
          <w:rFonts w:ascii="Times New Roman" w:hAnsi="Times New Roman" w:cs="Times New Roman"/>
        </w:rPr>
        <w:t xml:space="preserve">22 NYCRR §§160.1(f), 160.2(a) and 160.5 </w:t>
      </w:r>
      <w:r>
        <w:rPr>
          <w:rFonts w:ascii="Times New Roman" w:hAnsi="Times New Roman" w:cs="Times New Roman"/>
          <w:b/>
          <w:bCs/>
          <w:u w:val="single"/>
        </w:rPr>
        <w:t xml:space="preserve">are </w:t>
      </w:r>
      <w:r w:rsidRPr="008D7D4C">
        <w:rPr>
          <w:rFonts w:ascii="Times New Roman" w:hAnsi="Times New Roman" w:cs="Times New Roman"/>
          <w:b/>
          <w:bCs/>
          <w:u w:val="single"/>
        </w:rPr>
        <w:t>amended</w:t>
      </w:r>
      <w:r>
        <w:rPr>
          <w:rFonts w:ascii="Times New Roman" w:hAnsi="Times New Roman" w:cs="Times New Roman"/>
          <w:b/>
          <w:bCs/>
          <w:u w:val="single"/>
        </w:rPr>
        <w:t xml:space="preserve">, effective January 20, </w:t>
      </w:r>
      <w:proofErr w:type="gramStart"/>
      <w:r>
        <w:rPr>
          <w:rFonts w:ascii="Times New Roman" w:hAnsi="Times New Roman" w:cs="Times New Roman"/>
          <w:b/>
          <w:bCs/>
          <w:u w:val="single"/>
        </w:rPr>
        <w:t>2026</w:t>
      </w:r>
      <w:proofErr w:type="gramEnd"/>
      <w:r w:rsidRPr="008D7D4C">
        <w:rPr>
          <w:rFonts w:ascii="Times New Roman" w:hAnsi="Times New Roman" w:cs="Times New Roman"/>
        </w:rPr>
        <w:t xml:space="preserve"> to change the phrase “Statewide ADR Office” to “Division of ADR” and §160.3(a) </w:t>
      </w:r>
      <w:r>
        <w:rPr>
          <w:rFonts w:ascii="Times New Roman" w:hAnsi="Times New Roman" w:cs="Times New Roman"/>
        </w:rPr>
        <w:t xml:space="preserve">is </w:t>
      </w:r>
      <w:r w:rsidRPr="008D7D4C">
        <w:rPr>
          <w:rFonts w:ascii="Times New Roman" w:hAnsi="Times New Roman" w:cs="Times New Roman"/>
          <w:b/>
          <w:bCs/>
          <w:u w:val="single"/>
        </w:rPr>
        <w:t>amended</w:t>
      </w:r>
      <w:r>
        <w:rPr>
          <w:rFonts w:ascii="Times New Roman" w:hAnsi="Times New Roman" w:cs="Times New Roman"/>
          <w:b/>
          <w:bCs/>
          <w:u w:val="single"/>
        </w:rPr>
        <w:t>, effective January 20, 2026</w:t>
      </w:r>
      <w:r w:rsidRPr="008D7D4C">
        <w:rPr>
          <w:rFonts w:ascii="Times New Roman" w:hAnsi="Times New Roman" w:cs="Times New Roman"/>
        </w:rPr>
        <w:t xml:space="preserve"> to clarify the scope of confidentiality among ADR processes. Presently, §160.3(a) provides that confidentiality applies to “an ADR process.” The phrase “ADR process” </w:t>
      </w:r>
      <w:r>
        <w:rPr>
          <w:rFonts w:ascii="Times New Roman" w:hAnsi="Times New Roman" w:cs="Times New Roman"/>
        </w:rPr>
        <w:t xml:space="preserve">is </w:t>
      </w:r>
      <w:r w:rsidRPr="008D7D4C">
        <w:rPr>
          <w:rFonts w:ascii="Times New Roman" w:hAnsi="Times New Roman" w:cs="Times New Roman"/>
        </w:rPr>
        <w:t xml:space="preserve">deleted and replaced by “mediation or neutral evaluation.” (Memorandum of David </w:t>
      </w:r>
      <w:r w:rsidRPr="008D7D4C">
        <w:rPr>
          <w:rFonts w:ascii="Times New Roman" w:hAnsi="Times New Roman" w:cs="Times New Roman"/>
        </w:rPr>
        <w:lastRenderedPageBreak/>
        <w:t xml:space="preserve">Nocenti, Esq., Counsel, NYS Unified Court System, dated September 29, </w:t>
      </w:r>
      <w:proofErr w:type="gramStart"/>
      <w:r w:rsidRPr="008D7D4C">
        <w:rPr>
          <w:rFonts w:ascii="Times New Roman" w:hAnsi="Times New Roman" w:cs="Times New Roman"/>
        </w:rPr>
        <w:t>2025</w:t>
      </w:r>
      <w:proofErr w:type="gramEnd"/>
      <w:r w:rsidRPr="008D7D4C">
        <w:rPr>
          <w:rFonts w:ascii="Times New Roman" w:hAnsi="Times New Roman" w:cs="Times New Roman"/>
        </w:rPr>
        <w:t xml:space="preserve"> at 1). For the complete text and amendments, see </w:t>
      </w:r>
      <w:hyperlink r:id="rId7" w:history="1">
        <w:r w:rsidRPr="00CB3C17">
          <w:rPr>
            <w:rStyle w:val="Hyperlink"/>
          </w:rPr>
          <w:t>requestforpubliccomment-adrconfidentiality-092925.pdf</w:t>
        </w:r>
      </w:hyperlink>
      <w:r w:rsidRPr="008D7D4C">
        <w:rPr>
          <w:rFonts w:ascii="Times New Roman" w:hAnsi="Times New Roman" w:cs="Times New Roman"/>
        </w:rPr>
        <w:t xml:space="preserve"> which can be accessed via the page </w:t>
      </w:r>
      <w:hyperlink r:id="rId8" w:history="1">
        <w:r w:rsidRPr="00CB3C17">
          <w:rPr>
            <w:rStyle w:val="Hyperlink"/>
          </w:rPr>
          <w:t>Rules - Requests for Public Comment | NYCOURTS.GOV</w:t>
        </w:r>
      </w:hyperlink>
    </w:p>
    <w:p w14:paraId="10881987" w14:textId="77777777" w:rsidR="001541D8" w:rsidRDefault="001541D8" w:rsidP="001541D8">
      <w:pPr>
        <w:pStyle w:val="Heading2"/>
        <w:numPr>
          <w:ilvl w:val="0"/>
          <w:numId w:val="0"/>
        </w:numPr>
        <w:spacing w:line="240" w:lineRule="auto"/>
        <w:jc w:val="both"/>
      </w:pPr>
    </w:p>
    <w:p w14:paraId="6197D02B" w14:textId="78FFE266" w:rsidR="005F4D8B" w:rsidRPr="00F6349E" w:rsidRDefault="005F4D8B" w:rsidP="005F4D8B">
      <w:pPr>
        <w:pStyle w:val="Heading2"/>
        <w:numPr>
          <w:ilvl w:val="0"/>
          <w:numId w:val="0"/>
        </w:numPr>
        <w:rPr>
          <w:b/>
          <w:bCs/>
        </w:rPr>
      </w:pPr>
      <w:r w:rsidRPr="00F6349E">
        <w:rPr>
          <w:rFonts w:ascii="Times New Roman" w:hAnsi="Times New Roman" w:cs="Times New Roman"/>
          <w:b/>
          <w:bCs/>
        </w:rPr>
        <w:t>Custody and Visitation – Kyra’s Law</w:t>
      </w:r>
      <w:r>
        <w:rPr>
          <w:rFonts w:ascii="Times New Roman" w:hAnsi="Times New Roman" w:cs="Times New Roman"/>
          <w:b/>
          <w:bCs/>
        </w:rPr>
        <w:t xml:space="preserve"> (</w:t>
      </w:r>
      <w:r w:rsidRPr="005F4D8B">
        <w:rPr>
          <w:rFonts w:ascii="Times New Roman" w:hAnsi="Times New Roman" w:cs="Times New Roman"/>
          <w:b/>
          <w:bCs/>
          <w:i/>
          <w:iCs/>
        </w:rPr>
        <w:t>see</w:t>
      </w:r>
      <w:r>
        <w:rPr>
          <w:rFonts w:ascii="Times New Roman" w:hAnsi="Times New Roman" w:cs="Times New Roman"/>
          <w:b/>
          <w:bCs/>
        </w:rPr>
        <w:t xml:space="preserve"> July 2025 </w:t>
      </w:r>
      <w:r w:rsidR="00ED52FC">
        <w:rPr>
          <w:rFonts w:ascii="Times New Roman" w:hAnsi="Times New Roman" w:cs="Times New Roman"/>
          <w:b/>
          <w:bCs/>
          <w:i/>
          <w:iCs/>
        </w:rPr>
        <w:t>Update</w:t>
      </w:r>
      <w:r>
        <w:rPr>
          <w:rFonts w:ascii="Times New Roman" w:hAnsi="Times New Roman" w:cs="Times New Roman"/>
          <w:b/>
          <w:bCs/>
        </w:rPr>
        <w:t xml:space="preserve"> at 12)</w:t>
      </w:r>
    </w:p>
    <w:p w14:paraId="40D52D50" w14:textId="1792D459" w:rsidR="005F4D8B" w:rsidRDefault="005F4D8B" w:rsidP="005F4D8B">
      <w:pPr>
        <w:pStyle w:val="Heading2"/>
        <w:numPr>
          <w:ilvl w:val="0"/>
          <w:numId w:val="0"/>
        </w:numPr>
        <w:spacing w:line="240" w:lineRule="auto"/>
        <w:jc w:val="both"/>
        <w:rPr>
          <w:rFonts w:ascii="Times New Roman" w:hAnsi="Times New Roman" w:cs="Times New Roman"/>
        </w:rPr>
      </w:pPr>
      <w:r>
        <w:rPr>
          <w:rFonts w:ascii="Times New Roman" w:hAnsi="Times New Roman" w:cs="Times New Roman"/>
        </w:rPr>
        <w:tab/>
        <w:t>As reported</w:t>
      </w:r>
      <w:r w:rsidR="00ED52FC">
        <w:rPr>
          <w:rFonts w:ascii="Times New Roman" w:hAnsi="Times New Roman" w:cs="Times New Roman"/>
        </w:rPr>
        <w:t xml:space="preserve"> </w:t>
      </w:r>
      <w:r>
        <w:rPr>
          <w:rFonts w:ascii="Times New Roman" w:hAnsi="Times New Roman" w:cs="Times New Roman"/>
        </w:rPr>
        <w:t>previous</w:t>
      </w:r>
      <w:r w:rsidR="00ED52FC">
        <w:rPr>
          <w:rFonts w:ascii="Times New Roman" w:hAnsi="Times New Roman" w:cs="Times New Roman"/>
        </w:rPr>
        <w:t>ly</w:t>
      </w:r>
      <w:r>
        <w:rPr>
          <w:rFonts w:ascii="Times New Roman" w:hAnsi="Times New Roman" w:cs="Times New Roman"/>
        </w:rPr>
        <w:t>, t</w:t>
      </w:r>
      <w:r w:rsidRPr="00F6349E">
        <w:rPr>
          <w:rFonts w:ascii="Times New Roman" w:hAnsi="Times New Roman" w:cs="Times New Roman"/>
        </w:rPr>
        <w:t xml:space="preserve">his bill </w:t>
      </w:r>
      <w:r w:rsidRPr="00F6349E">
        <w:rPr>
          <w:rFonts w:ascii="Times New Roman" w:hAnsi="Times New Roman" w:cs="Times New Roman"/>
          <w:b/>
          <w:bCs/>
        </w:rPr>
        <w:t>passed in the Senate on June 13, 2025</w:t>
      </w:r>
      <w:r w:rsidRPr="00F6349E">
        <w:rPr>
          <w:rFonts w:ascii="Times New Roman" w:hAnsi="Times New Roman" w:cs="Times New Roman"/>
        </w:rPr>
        <w:t>, whereupon it was delivered to the Assembly and referred to its Judiciary Committee on the same date. S.05998B</w:t>
      </w:r>
      <w:r>
        <w:rPr>
          <w:rFonts w:ascii="Times New Roman" w:hAnsi="Times New Roman" w:cs="Times New Roman"/>
        </w:rPr>
        <w:t xml:space="preserve">/A.06194B. The bill was then referred to the Judiciary Committee in both houses on January 7, 2026. Another version is in both houses, </w:t>
      </w:r>
      <w:r w:rsidRPr="00F6349E">
        <w:rPr>
          <w:rFonts w:ascii="Times New Roman" w:hAnsi="Times New Roman" w:cs="Times New Roman"/>
        </w:rPr>
        <w:t>S.05998</w:t>
      </w:r>
      <w:r>
        <w:rPr>
          <w:rFonts w:ascii="Times New Roman" w:hAnsi="Times New Roman" w:cs="Times New Roman"/>
        </w:rPr>
        <w:t>C/A.06194C, was amended on the third reading in the Senate on May 26, 2026, and was amended and recommitted to the Assembly Judiciary Committee on May 20, 2026.</w:t>
      </w:r>
    </w:p>
    <w:p w14:paraId="7DCF36E4" w14:textId="77777777" w:rsidR="005F4D8B" w:rsidRDefault="005F4D8B" w:rsidP="005F4D8B">
      <w:pPr>
        <w:pStyle w:val="Heading2"/>
        <w:numPr>
          <w:ilvl w:val="0"/>
          <w:numId w:val="0"/>
        </w:numPr>
        <w:spacing w:line="240" w:lineRule="auto"/>
        <w:jc w:val="both"/>
        <w:rPr>
          <w:rFonts w:ascii="Times New Roman" w:hAnsi="Times New Roman" w:cs="Times New Roman"/>
        </w:rPr>
      </w:pPr>
    </w:p>
    <w:p w14:paraId="481A4D13" w14:textId="4D382423" w:rsidR="00D82FF8" w:rsidRDefault="00D82FF8" w:rsidP="005F4D8B">
      <w:pPr>
        <w:pStyle w:val="Heading2"/>
        <w:numPr>
          <w:ilvl w:val="0"/>
          <w:numId w:val="0"/>
        </w:numPr>
        <w:spacing w:line="240" w:lineRule="auto"/>
        <w:jc w:val="both"/>
        <w:rPr>
          <w:rFonts w:ascii="Times New Roman" w:hAnsi="Times New Roman" w:cs="Times New Roman"/>
          <w:b/>
          <w:bCs/>
        </w:rPr>
      </w:pPr>
      <w:r w:rsidRPr="00D82FF8">
        <w:rPr>
          <w:rFonts w:ascii="Times New Roman" w:hAnsi="Times New Roman" w:cs="Times New Roman"/>
          <w:b/>
          <w:bCs/>
        </w:rPr>
        <w:t>Evidence – Rebuttable Presumption of Expenses in Matrimonial Actions – Proposed Legislation</w:t>
      </w:r>
    </w:p>
    <w:p w14:paraId="2548D3B3" w14:textId="77777777" w:rsidR="00D82FF8" w:rsidRDefault="00D82FF8" w:rsidP="007A5AC3">
      <w:pPr>
        <w:pStyle w:val="Heading2"/>
        <w:numPr>
          <w:ilvl w:val="0"/>
          <w:numId w:val="0"/>
        </w:numPr>
        <w:spacing w:line="240" w:lineRule="auto"/>
        <w:jc w:val="both"/>
        <w:rPr>
          <w:rFonts w:ascii="Times New Roman" w:hAnsi="Times New Roman" w:cs="Times New Roman"/>
          <w:b/>
          <w:bCs/>
        </w:rPr>
      </w:pPr>
    </w:p>
    <w:p w14:paraId="52EBFF21" w14:textId="37DB87BB" w:rsidR="00D82FF8" w:rsidRPr="00D82FF8" w:rsidRDefault="00D82FF8" w:rsidP="007A5AC3">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sidR="00F31414" w:rsidRPr="00F40DEE">
        <w:rPr>
          <w:rFonts w:ascii="Times New Roman" w:hAnsi="Times New Roman" w:cs="Times New Roman"/>
          <w:b/>
          <w:bCs/>
          <w:u w:val="single"/>
        </w:rPr>
        <w:t>Passed by both Houses as of April 22, 2026 and if signed by the Governor</w:t>
      </w:r>
      <w:r w:rsidR="00F31414">
        <w:rPr>
          <w:rFonts w:ascii="Times New Roman" w:hAnsi="Times New Roman" w:cs="Times New Roman"/>
          <w:b/>
          <w:bCs/>
        </w:rPr>
        <w:t xml:space="preserve">, </w:t>
      </w:r>
      <w:r w:rsidR="00F31414">
        <w:rPr>
          <w:rFonts w:ascii="Times New Roman" w:hAnsi="Times New Roman" w:cs="Times New Roman"/>
        </w:rPr>
        <w:t xml:space="preserve">CPLR Rule 4533-c </w:t>
      </w:r>
      <w:r w:rsidR="00F31414" w:rsidRPr="00D82FF8">
        <w:rPr>
          <w:rFonts w:ascii="Times New Roman" w:hAnsi="Times New Roman" w:cs="Times New Roman"/>
          <w:b/>
          <w:bCs/>
          <w:u w:val="single"/>
        </w:rPr>
        <w:t>would be added</w:t>
      </w:r>
      <w:r w:rsidR="00F31414">
        <w:rPr>
          <w:rFonts w:ascii="Times New Roman" w:hAnsi="Times New Roman" w:cs="Times New Roman"/>
        </w:rPr>
        <w:t xml:space="preserve">, to provide “a rebuttable presumption that an itemized bill or invoice, receipted or marked paid, for court-ordered obligations” and certain other expenses “not in excess of ten thousand dollars shall be admissible in evidence and establishes the necessity of and reasonable value [thereof] ***.” There would be requirements for an accompanying affirmation with specified content and for the proponent of the document(s) to serve the adverse party therewith no later than 30 days prior to trial. The adverse party may serve a notice of intent to rebut the presumption, with the basis for objection(s), no later than 15 days prior to trial. [This is </w:t>
      </w:r>
      <w:proofErr w:type="gramStart"/>
      <w:r w:rsidR="00F31414">
        <w:rPr>
          <w:rFonts w:ascii="Times New Roman" w:hAnsi="Times New Roman" w:cs="Times New Roman"/>
        </w:rPr>
        <w:t>similar to</w:t>
      </w:r>
      <w:proofErr w:type="gramEnd"/>
      <w:r w:rsidR="00F31414">
        <w:rPr>
          <w:rFonts w:ascii="Times New Roman" w:hAnsi="Times New Roman" w:cs="Times New Roman"/>
        </w:rPr>
        <w:t xml:space="preserve"> CPLR Rule 3122-a for certified business records, which is subject to 30 and 10-day periods before trial]. A.08305, </w:t>
      </w:r>
      <w:r w:rsidR="00F31414" w:rsidRPr="00917CA9">
        <w:rPr>
          <w:rFonts w:ascii="Times New Roman" w:hAnsi="Times New Roman" w:cs="Times New Roman"/>
          <w:b/>
          <w:bCs/>
          <w:u w:val="single"/>
        </w:rPr>
        <w:t>passed Assembly March 9, 2026</w:t>
      </w:r>
      <w:r w:rsidR="00F31414">
        <w:rPr>
          <w:rFonts w:ascii="Times New Roman" w:hAnsi="Times New Roman" w:cs="Times New Roman"/>
        </w:rPr>
        <w:t xml:space="preserve">. S.08372, </w:t>
      </w:r>
      <w:r w:rsidR="00F31414" w:rsidRPr="00F40DEE">
        <w:rPr>
          <w:rFonts w:ascii="Times New Roman" w:hAnsi="Times New Roman" w:cs="Times New Roman"/>
          <w:b/>
          <w:bCs/>
          <w:u w:val="single"/>
        </w:rPr>
        <w:t>passed Senate April 22, 2026</w:t>
      </w:r>
      <w:r w:rsidR="00F31414" w:rsidRPr="00F40DEE">
        <w:rPr>
          <w:rFonts w:ascii="Times New Roman" w:hAnsi="Times New Roman" w:cs="Times New Roman"/>
        </w:rPr>
        <w:t>.</w:t>
      </w:r>
      <w:r w:rsidR="00F31414">
        <w:rPr>
          <w:rFonts w:ascii="Times New Roman" w:hAnsi="Times New Roman" w:cs="Times New Roman"/>
        </w:rPr>
        <w:t xml:space="preserve"> </w:t>
      </w:r>
      <w:bookmarkStart w:id="4" w:name="_Hlk226715818"/>
      <w:r w:rsidR="00F31414">
        <w:rPr>
          <w:rFonts w:ascii="Times New Roman" w:hAnsi="Times New Roman" w:cs="Times New Roman"/>
        </w:rPr>
        <w:t>If enacted, the statute would take effect on the 60</w:t>
      </w:r>
      <w:r w:rsidR="00F31414" w:rsidRPr="00D27F55">
        <w:rPr>
          <w:rFonts w:ascii="Times New Roman" w:hAnsi="Times New Roman" w:cs="Times New Roman"/>
          <w:vertAlign w:val="superscript"/>
        </w:rPr>
        <w:t>th</w:t>
      </w:r>
      <w:r w:rsidR="00F31414">
        <w:rPr>
          <w:rFonts w:ascii="Times New Roman" w:hAnsi="Times New Roman" w:cs="Times New Roman"/>
        </w:rPr>
        <w:t xml:space="preserve"> day thereafter and would apply to matrimonial actions commenced on or after such date.</w:t>
      </w:r>
      <w:bookmarkEnd w:id="4"/>
    </w:p>
    <w:p w14:paraId="3FAB4C6E" w14:textId="77777777" w:rsidR="00D82FF8" w:rsidRDefault="00D82FF8" w:rsidP="007A5AC3">
      <w:pPr>
        <w:pStyle w:val="Heading2"/>
        <w:numPr>
          <w:ilvl w:val="0"/>
          <w:numId w:val="0"/>
        </w:numPr>
        <w:spacing w:line="240" w:lineRule="auto"/>
        <w:jc w:val="both"/>
        <w:rPr>
          <w:rFonts w:ascii="Times New Roman" w:hAnsi="Times New Roman" w:cs="Times New Roman"/>
        </w:rPr>
      </w:pPr>
    </w:p>
    <w:p w14:paraId="0D1DE2CC" w14:textId="77777777" w:rsidR="00D82FF8" w:rsidRPr="00275316" w:rsidRDefault="00D82FF8" w:rsidP="00D82FF8">
      <w:pPr>
        <w:pStyle w:val="Heading2"/>
        <w:numPr>
          <w:ilvl w:val="0"/>
          <w:numId w:val="0"/>
        </w:numPr>
        <w:rPr>
          <w:b/>
          <w:bCs/>
        </w:rPr>
      </w:pPr>
      <w:r w:rsidRPr="00275316">
        <w:rPr>
          <w:rFonts w:ascii="Times New Roman" w:hAnsi="Times New Roman" w:cs="Times New Roman"/>
          <w:b/>
          <w:bCs/>
        </w:rPr>
        <w:t>Fee Arbitration – Proposal</w:t>
      </w:r>
    </w:p>
    <w:p w14:paraId="40DC8B62" w14:textId="78939B67" w:rsidR="00F31414" w:rsidRDefault="00D82FF8" w:rsidP="00F31414">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sidRPr="00275316">
        <w:rPr>
          <w:rFonts w:ascii="Times New Roman" w:hAnsi="Times New Roman" w:cs="Times New Roman"/>
        </w:rPr>
        <w:t>“The Administrative Board of the Courts is seeking public comment on a proposal to amend 22 NYCRR Part 137 relating to New York State’s program for resolving attorney-client fee disputes: (1) to increase, from $50,000 to $75,000, the maximum amount that can be in dispute (unless the parties have consented to a higher amount); and (2) to increase, from $10,000 to $20,000, the monetary threshold above which a panel of three arbitrators will be assigned</w:t>
      </w:r>
      <w:r>
        <w:rPr>
          <w:rFonts w:ascii="Times New Roman" w:hAnsi="Times New Roman" w:cs="Times New Roman"/>
        </w:rPr>
        <w:t>.” (</w:t>
      </w:r>
      <w:r w:rsidRPr="008D7D4C">
        <w:rPr>
          <w:rFonts w:ascii="Times New Roman" w:hAnsi="Times New Roman" w:cs="Times New Roman"/>
        </w:rPr>
        <w:t xml:space="preserve">Memorandum of David Nocenti, Esq., Counsel, NYS Unified Court System, dated </w:t>
      </w:r>
      <w:r>
        <w:rPr>
          <w:rFonts w:ascii="Times New Roman" w:hAnsi="Times New Roman" w:cs="Times New Roman"/>
        </w:rPr>
        <w:t xml:space="preserve">April 2, </w:t>
      </w:r>
      <w:proofErr w:type="gramStart"/>
      <w:r>
        <w:rPr>
          <w:rFonts w:ascii="Times New Roman" w:hAnsi="Times New Roman" w:cs="Times New Roman"/>
        </w:rPr>
        <w:t>2026</w:t>
      </w:r>
      <w:proofErr w:type="gramEnd"/>
      <w:r>
        <w:rPr>
          <w:rFonts w:ascii="Times New Roman" w:hAnsi="Times New Roman" w:cs="Times New Roman"/>
        </w:rPr>
        <w:t xml:space="preserve"> </w:t>
      </w:r>
      <w:r w:rsidRPr="008D7D4C">
        <w:rPr>
          <w:rFonts w:ascii="Times New Roman" w:hAnsi="Times New Roman" w:cs="Times New Roman"/>
        </w:rPr>
        <w:t>at 1).</w:t>
      </w:r>
      <w:r>
        <w:rPr>
          <w:rFonts w:ascii="Times New Roman" w:hAnsi="Times New Roman" w:cs="Times New Roman"/>
        </w:rPr>
        <w:t xml:space="preserve"> </w:t>
      </w:r>
      <w:r w:rsidRPr="008D7D4C">
        <w:rPr>
          <w:rFonts w:ascii="Times New Roman" w:hAnsi="Times New Roman" w:cs="Times New Roman"/>
        </w:rPr>
        <w:t>For the complete text and proposed amendments,</w:t>
      </w:r>
      <w:r>
        <w:rPr>
          <w:rFonts w:ascii="Times New Roman" w:hAnsi="Times New Roman" w:cs="Times New Roman"/>
        </w:rPr>
        <w:t xml:space="preserve"> see </w:t>
      </w:r>
      <w:hyperlink r:id="rId9" w:history="1">
        <w:r w:rsidRPr="00EF3DFD">
          <w:rPr>
            <w:rStyle w:val="Hyperlink"/>
            <w:rFonts w:ascii="Times New Roman" w:hAnsi="Times New Roman" w:cs="Times New Roman"/>
          </w:rPr>
          <w:t>Request for Public Comment</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w:t>
      </w:r>
      <w:r w:rsidR="007131EC">
        <w:rPr>
          <w:rFonts w:ascii="Times New Roman" w:hAnsi="Times New Roman" w:cs="Times New Roman"/>
          <w:b/>
          <w:bCs/>
          <w:u w:val="single"/>
        </w:rPr>
        <w:t xml:space="preserve">was </w:t>
      </w:r>
      <w:r w:rsidRPr="008D7D4C">
        <w:rPr>
          <w:rFonts w:ascii="Times New Roman" w:hAnsi="Times New Roman" w:cs="Times New Roman"/>
          <w:b/>
          <w:bCs/>
          <w:u w:val="single"/>
        </w:rPr>
        <w:t xml:space="preserve">requested by </w:t>
      </w:r>
      <w:r>
        <w:rPr>
          <w:rFonts w:ascii="Times New Roman" w:hAnsi="Times New Roman" w:cs="Times New Roman"/>
          <w:b/>
          <w:bCs/>
          <w:u w:val="single"/>
        </w:rPr>
        <w:t>May 15</w:t>
      </w:r>
      <w:r w:rsidRPr="008D7D4C">
        <w:rPr>
          <w:rFonts w:ascii="Times New Roman" w:hAnsi="Times New Roman" w:cs="Times New Roman"/>
          <w:b/>
          <w:bCs/>
          <w:u w:val="single"/>
        </w:rPr>
        <w:t>, 202</w:t>
      </w:r>
      <w:r>
        <w:rPr>
          <w:rFonts w:ascii="Times New Roman" w:hAnsi="Times New Roman" w:cs="Times New Roman"/>
          <w:b/>
          <w:bCs/>
          <w:u w:val="single"/>
        </w:rPr>
        <w:t>6</w:t>
      </w:r>
      <w:r w:rsidRPr="008D7D4C">
        <w:rPr>
          <w:rFonts w:ascii="Times New Roman" w:hAnsi="Times New Roman" w:cs="Times New Roman"/>
          <w:b/>
          <w:bCs/>
          <w:u w:val="single"/>
        </w:rPr>
        <w:t>.</w:t>
      </w:r>
    </w:p>
    <w:p w14:paraId="7F25A9C1" w14:textId="77777777" w:rsidR="00F31414" w:rsidRDefault="00F31414" w:rsidP="00F31414">
      <w:pPr>
        <w:pStyle w:val="Heading2"/>
        <w:numPr>
          <w:ilvl w:val="0"/>
          <w:numId w:val="0"/>
        </w:numPr>
        <w:spacing w:line="240" w:lineRule="auto"/>
        <w:jc w:val="both"/>
        <w:rPr>
          <w:rFonts w:ascii="Times New Roman" w:hAnsi="Times New Roman" w:cs="Times New Roman"/>
        </w:rPr>
      </w:pPr>
    </w:p>
    <w:p w14:paraId="66D0039F" w14:textId="67DC07D7" w:rsidR="001A721B" w:rsidRDefault="001A721B" w:rsidP="00F31414">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Filing of Papers – Matrimonial Actions</w:t>
      </w:r>
    </w:p>
    <w:p w14:paraId="6AD22C42" w14:textId="77777777" w:rsidR="00F31414" w:rsidRPr="00F31414" w:rsidRDefault="00F31414" w:rsidP="00F31414">
      <w:pPr>
        <w:pStyle w:val="Heading2"/>
        <w:numPr>
          <w:ilvl w:val="0"/>
          <w:numId w:val="0"/>
        </w:numPr>
        <w:spacing w:line="240" w:lineRule="auto"/>
        <w:jc w:val="both"/>
        <w:rPr>
          <w:rFonts w:ascii="Times New Roman" w:hAnsi="Times New Roman" w:cs="Times New Roman"/>
        </w:rPr>
      </w:pPr>
    </w:p>
    <w:p w14:paraId="4421FC11" w14:textId="74A83894" w:rsidR="001A721B" w:rsidRDefault="001A721B" w:rsidP="001A721B">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Administrative Board of the Courts is seeking public </w:t>
      </w:r>
      <w:proofErr w:type="gramStart"/>
      <w:r>
        <w:rPr>
          <w:rFonts w:ascii="Times New Roman" w:hAnsi="Times New Roman" w:cs="Times New Roman"/>
        </w:rPr>
        <w:t>comment</w:t>
      </w:r>
      <w:proofErr w:type="gramEnd"/>
      <w:r>
        <w:rPr>
          <w:rFonts w:ascii="Times New Roman" w:hAnsi="Times New Roman" w:cs="Times New Roman"/>
        </w:rPr>
        <w:t xml:space="preserve"> on a proposed new court rule regarding the filing of papers in matrimonial actions with the County Clerks. New 22 NYCRR </w:t>
      </w:r>
      <w:r w:rsidRPr="00607E66">
        <w:rPr>
          <w:rFonts w:ascii="Times New Roman" w:hAnsi="Times New Roman" w:cs="Times New Roman"/>
        </w:rPr>
        <w:t xml:space="preserve"> </w:t>
      </w:r>
      <w:r w:rsidRPr="00F76AC6">
        <w:rPr>
          <w:rFonts w:ascii="Times New Roman" w:hAnsi="Times New Roman" w:cs="Times New Roman"/>
        </w:rPr>
        <w:t>§</w:t>
      </w:r>
      <w:r w:rsidRPr="00607E66">
        <w:rPr>
          <w:rFonts w:ascii="Times New Roman" w:hAnsi="Times New Roman" w:cs="Times New Roman"/>
        </w:rPr>
        <w:t xml:space="preserve">202.16-d </w:t>
      </w:r>
      <w:r>
        <w:rPr>
          <w:rFonts w:ascii="Times New Roman" w:hAnsi="Times New Roman" w:cs="Times New Roman"/>
        </w:rPr>
        <w:t xml:space="preserve"> </w:t>
      </w:r>
      <w:r w:rsidRPr="00275316">
        <w:rPr>
          <w:rFonts w:ascii="Times New Roman" w:hAnsi="Times New Roman" w:cs="Times New Roman"/>
          <w:b/>
          <w:bCs/>
          <w:u w:val="single"/>
        </w:rPr>
        <w:t>would be added</w:t>
      </w:r>
      <w:r w:rsidRPr="00607E66">
        <w:rPr>
          <w:rFonts w:ascii="Times New Roman" w:hAnsi="Times New Roman" w:cs="Times New Roman"/>
        </w:rPr>
        <w:t xml:space="preserve"> </w:t>
      </w:r>
      <w:r>
        <w:rPr>
          <w:rFonts w:ascii="Times New Roman" w:hAnsi="Times New Roman" w:cs="Times New Roman"/>
        </w:rPr>
        <w:t>“</w:t>
      </w:r>
      <w:r w:rsidRPr="00607E66">
        <w:rPr>
          <w:rFonts w:ascii="Times New Roman" w:hAnsi="Times New Roman" w:cs="Times New Roman"/>
        </w:rPr>
        <w:t xml:space="preserve">to require that in any matrimonial action, whether contested </w:t>
      </w:r>
      <w:r w:rsidRPr="00607E66">
        <w:rPr>
          <w:rFonts w:ascii="Times New Roman" w:hAnsi="Times New Roman" w:cs="Times New Roman"/>
        </w:rPr>
        <w:lastRenderedPageBreak/>
        <w:t>or uncontested, the Supreme Court must promptly deliver to the county clerk (either in original hard copy paper filings, or electronically in e-filed actions), the papers or orders in the action for divorce, as well as any ancillary or post-disposition documents, or documents filed in a plenary action for child support, custody or visitation, an order of protection pursuant to the Domestic Relations Law or the Child Parent Security Act.</w:t>
      </w:r>
      <w:r>
        <w:rPr>
          <w:rFonts w:ascii="Times New Roman" w:hAnsi="Times New Roman" w:cs="Times New Roman"/>
        </w:rPr>
        <w:t>” (</w:t>
      </w:r>
      <w:r w:rsidRPr="008D7D4C">
        <w:rPr>
          <w:rFonts w:ascii="Times New Roman" w:hAnsi="Times New Roman" w:cs="Times New Roman"/>
        </w:rPr>
        <w:t xml:space="preserve">Memorandum of David Nocenti, Esq., Counsel, NYS Unified Court System, dated </w:t>
      </w:r>
      <w:r>
        <w:rPr>
          <w:rFonts w:ascii="Times New Roman" w:hAnsi="Times New Roman" w:cs="Times New Roman"/>
        </w:rPr>
        <w:t xml:space="preserve">March 27, </w:t>
      </w:r>
      <w:proofErr w:type="gramStart"/>
      <w:r>
        <w:rPr>
          <w:rFonts w:ascii="Times New Roman" w:hAnsi="Times New Roman" w:cs="Times New Roman"/>
        </w:rPr>
        <w:t>2026</w:t>
      </w:r>
      <w:proofErr w:type="gramEnd"/>
      <w:r>
        <w:rPr>
          <w:rFonts w:ascii="Times New Roman" w:hAnsi="Times New Roman" w:cs="Times New Roman"/>
        </w:rPr>
        <w:t xml:space="preserve"> </w:t>
      </w:r>
      <w:r w:rsidRPr="008D7D4C">
        <w:rPr>
          <w:rFonts w:ascii="Times New Roman" w:hAnsi="Times New Roman" w:cs="Times New Roman"/>
        </w:rPr>
        <w:t>at 1).</w:t>
      </w:r>
      <w:r>
        <w:rPr>
          <w:rFonts w:ascii="Times New Roman" w:hAnsi="Times New Roman" w:cs="Times New Roman"/>
        </w:rPr>
        <w:t xml:space="preserve"> </w:t>
      </w:r>
      <w:r w:rsidRPr="008D7D4C">
        <w:rPr>
          <w:rFonts w:ascii="Times New Roman" w:hAnsi="Times New Roman" w:cs="Times New Roman"/>
        </w:rPr>
        <w:t>For the complete text and proposed amendments,</w:t>
      </w:r>
      <w:r>
        <w:rPr>
          <w:rFonts w:ascii="Times New Roman" w:hAnsi="Times New Roman" w:cs="Times New Roman"/>
        </w:rPr>
        <w:t xml:space="preserve"> see </w:t>
      </w:r>
      <w:hyperlink r:id="rId10" w:history="1">
        <w:r w:rsidRPr="00275316">
          <w:rPr>
            <w:rStyle w:val="Hyperlink"/>
            <w:rFonts w:ascii="Times New Roman" w:hAnsi="Times New Roman" w:cs="Times New Roman"/>
          </w:rPr>
          <w:t>Request for Public Comment-Matrimonial Action Filings</w:t>
        </w:r>
      </w:hyperlink>
      <w:r>
        <w:rPr>
          <w:rFonts w:ascii="Times New Roman" w:hAnsi="Times New Roman" w:cs="Times New Roman"/>
        </w:rPr>
        <w:t xml:space="preserve"> </w:t>
      </w:r>
      <w:r w:rsidRPr="008D7D4C">
        <w:rPr>
          <w:rFonts w:ascii="Times New Roman" w:hAnsi="Times New Roman" w:cs="Times New Roman"/>
          <w:b/>
          <w:bCs/>
          <w:u w:val="single"/>
        </w:rPr>
        <w:t xml:space="preserve">Public Comment </w:t>
      </w:r>
      <w:r w:rsidR="007131EC">
        <w:rPr>
          <w:rFonts w:ascii="Times New Roman" w:hAnsi="Times New Roman" w:cs="Times New Roman"/>
          <w:b/>
          <w:bCs/>
          <w:u w:val="single"/>
        </w:rPr>
        <w:t>was</w:t>
      </w:r>
      <w:r w:rsidRPr="008D7D4C">
        <w:rPr>
          <w:rFonts w:ascii="Times New Roman" w:hAnsi="Times New Roman" w:cs="Times New Roman"/>
          <w:b/>
          <w:bCs/>
          <w:u w:val="single"/>
        </w:rPr>
        <w:t xml:space="preserve"> requested by </w:t>
      </w:r>
      <w:r>
        <w:rPr>
          <w:rFonts w:ascii="Times New Roman" w:hAnsi="Times New Roman" w:cs="Times New Roman"/>
          <w:b/>
          <w:bCs/>
          <w:u w:val="single"/>
        </w:rPr>
        <w:t>May 8</w:t>
      </w:r>
      <w:r w:rsidRPr="008D7D4C">
        <w:rPr>
          <w:rFonts w:ascii="Times New Roman" w:hAnsi="Times New Roman" w:cs="Times New Roman"/>
          <w:b/>
          <w:bCs/>
          <w:u w:val="single"/>
        </w:rPr>
        <w:t>, 202</w:t>
      </w:r>
      <w:r>
        <w:rPr>
          <w:rFonts w:ascii="Times New Roman" w:hAnsi="Times New Roman" w:cs="Times New Roman"/>
          <w:b/>
          <w:bCs/>
          <w:u w:val="single"/>
        </w:rPr>
        <w:t>6</w:t>
      </w:r>
      <w:r w:rsidRPr="008D7D4C">
        <w:rPr>
          <w:rFonts w:ascii="Times New Roman" w:hAnsi="Times New Roman" w:cs="Times New Roman"/>
          <w:b/>
          <w:bCs/>
          <w:u w:val="single"/>
        </w:rPr>
        <w:t>.</w:t>
      </w:r>
    </w:p>
    <w:p w14:paraId="19E1625D" w14:textId="77777777" w:rsidR="0098271F" w:rsidRDefault="0098271F" w:rsidP="007A5AC3">
      <w:pPr>
        <w:pStyle w:val="Heading2"/>
        <w:numPr>
          <w:ilvl w:val="0"/>
          <w:numId w:val="0"/>
        </w:numPr>
        <w:spacing w:line="240" w:lineRule="auto"/>
        <w:jc w:val="both"/>
        <w:rPr>
          <w:rFonts w:ascii="Times New Roman" w:hAnsi="Times New Roman" w:cs="Times New Roman"/>
        </w:rPr>
      </w:pPr>
    </w:p>
    <w:p w14:paraId="4F4132A4" w14:textId="77777777" w:rsidR="007B3E6E" w:rsidRDefault="007B3E6E" w:rsidP="0098271F">
      <w:pPr>
        <w:pStyle w:val="Heading2"/>
        <w:numPr>
          <w:ilvl w:val="0"/>
          <w:numId w:val="0"/>
        </w:numPr>
        <w:spacing w:line="240" w:lineRule="auto"/>
        <w:jc w:val="both"/>
        <w:rPr>
          <w:rFonts w:ascii="Times New Roman" w:hAnsi="Times New Roman" w:cs="Times New Roman"/>
        </w:rPr>
      </w:pPr>
    </w:p>
    <w:p w14:paraId="56D78978" w14:textId="2F4BFDE3" w:rsidR="007A5AC3" w:rsidRDefault="007A5AC3" w:rsidP="007A5AC3">
      <w:pPr>
        <w:pStyle w:val="Heading2"/>
        <w:numPr>
          <w:ilvl w:val="0"/>
          <w:numId w:val="0"/>
        </w:numPr>
        <w:spacing w:line="240" w:lineRule="auto"/>
        <w:jc w:val="both"/>
        <w:rPr>
          <w:rFonts w:ascii="Times New Roman" w:hAnsi="Times New Roman" w:cs="Times New Roman"/>
        </w:rPr>
      </w:pPr>
    </w:p>
    <w:sectPr w:rsidR="007A5AC3" w:rsidSect="000002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BD8E" w14:textId="77777777" w:rsidR="00990D77" w:rsidRDefault="00990D77" w:rsidP="0013568D">
      <w:pPr>
        <w:spacing w:after="0" w:line="240" w:lineRule="auto"/>
      </w:pPr>
      <w:r>
        <w:separator/>
      </w:r>
    </w:p>
  </w:endnote>
  <w:endnote w:type="continuationSeparator" w:id="0">
    <w:p w14:paraId="79ADBE33" w14:textId="77777777" w:rsidR="00990D77" w:rsidRDefault="00990D77"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id w:val="-1769616900"/>
          <w:docPartObj>
            <w:docPartGallery w:val="Page Numbers (Top of Page)"/>
            <w:docPartUnique/>
          </w:docPartObj>
        </w:sdtPr>
        <w:sdtEndPr/>
        <w:sdtContent>
          <w:p w14:paraId="550BA402" w14:textId="383DD0BB" w:rsidR="0013568D" w:rsidRDefault="00ED52FC">
            <w:pPr>
              <w:pStyle w:val="Footer"/>
              <w:jc w:val="right"/>
            </w:pPr>
            <w:r w:rsidRPr="00ED52FC">
              <w:rPr>
                <w:b/>
                <w:bCs/>
                <w:i/>
                <w:iCs/>
              </w:rPr>
              <w:t>NYSBA Family Law Section Update</w:t>
            </w:r>
            <w:r w:rsidR="00434674" w:rsidRPr="00ED52FC">
              <w:rPr>
                <w:b/>
                <w:bCs/>
                <w:i/>
                <w:iCs/>
              </w:rPr>
              <w:t>,</w:t>
            </w:r>
            <w:r w:rsidR="00013D0E" w:rsidRPr="00351E36">
              <w:rPr>
                <w:b/>
                <w:bCs/>
                <w:i/>
                <w:iCs/>
              </w:rPr>
              <w:t xml:space="preserve"> </w:t>
            </w:r>
            <w:r w:rsidR="008455D8">
              <w:rPr>
                <w:b/>
                <w:bCs/>
                <w:i/>
                <w:iCs/>
              </w:rPr>
              <w:t xml:space="preserve">June </w:t>
            </w:r>
            <w:r w:rsidR="00013D0E" w:rsidRPr="00351E36">
              <w:rPr>
                <w:b/>
                <w:bCs/>
                <w:i/>
                <w:iCs/>
              </w:rPr>
              <w:t>202</w:t>
            </w:r>
            <w:r w:rsidR="00445087">
              <w:rPr>
                <w:b/>
                <w:bCs/>
                <w:i/>
                <w:iCs/>
              </w:rPr>
              <w:t>6</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DE0F" w14:textId="77777777" w:rsidR="00990D77" w:rsidRDefault="00990D77" w:rsidP="0013568D">
      <w:pPr>
        <w:spacing w:after="0" w:line="240" w:lineRule="auto"/>
      </w:pPr>
      <w:r>
        <w:separator/>
      </w:r>
    </w:p>
  </w:footnote>
  <w:footnote w:type="continuationSeparator" w:id="0">
    <w:p w14:paraId="2A7F13A2" w14:textId="77777777" w:rsidR="00990D77" w:rsidRDefault="00990D77"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25"/>
    <w:rsid w:val="00000250"/>
    <w:rsid w:val="0000028D"/>
    <w:rsid w:val="00002FED"/>
    <w:rsid w:val="00013D0E"/>
    <w:rsid w:val="00025061"/>
    <w:rsid w:val="000254B3"/>
    <w:rsid w:val="00027160"/>
    <w:rsid w:val="00030E7B"/>
    <w:rsid w:val="000322B8"/>
    <w:rsid w:val="00032EA3"/>
    <w:rsid w:val="00033C3A"/>
    <w:rsid w:val="00037206"/>
    <w:rsid w:val="000404FD"/>
    <w:rsid w:val="00041C00"/>
    <w:rsid w:val="00047F89"/>
    <w:rsid w:val="000514B2"/>
    <w:rsid w:val="00051512"/>
    <w:rsid w:val="00052C0D"/>
    <w:rsid w:val="000540AA"/>
    <w:rsid w:val="000551E0"/>
    <w:rsid w:val="0005543C"/>
    <w:rsid w:val="00055B6F"/>
    <w:rsid w:val="000625A6"/>
    <w:rsid w:val="00062CD7"/>
    <w:rsid w:val="000654AE"/>
    <w:rsid w:val="00066217"/>
    <w:rsid w:val="00066226"/>
    <w:rsid w:val="000662E8"/>
    <w:rsid w:val="00066D9F"/>
    <w:rsid w:val="0006780C"/>
    <w:rsid w:val="000700E4"/>
    <w:rsid w:val="00070E30"/>
    <w:rsid w:val="00071082"/>
    <w:rsid w:val="00071B05"/>
    <w:rsid w:val="0007559B"/>
    <w:rsid w:val="00076A51"/>
    <w:rsid w:val="00076AAD"/>
    <w:rsid w:val="000772CB"/>
    <w:rsid w:val="000827AF"/>
    <w:rsid w:val="00085BF5"/>
    <w:rsid w:val="00091F6C"/>
    <w:rsid w:val="00093E1C"/>
    <w:rsid w:val="00096BC4"/>
    <w:rsid w:val="000A116B"/>
    <w:rsid w:val="000A6E42"/>
    <w:rsid w:val="000B032A"/>
    <w:rsid w:val="000B21E3"/>
    <w:rsid w:val="000B536B"/>
    <w:rsid w:val="000B64E3"/>
    <w:rsid w:val="000C5DFF"/>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4C6B"/>
    <w:rsid w:val="00105D6C"/>
    <w:rsid w:val="00107716"/>
    <w:rsid w:val="00110B69"/>
    <w:rsid w:val="00111B35"/>
    <w:rsid w:val="0011428F"/>
    <w:rsid w:val="00116A8B"/>
    <w:rsid w:val="001248D2"/>
    <w:rsid w:val="0012568F"/>
    <w:rsid w:val="001270FF"/>
    <w:rsid w:val="0013228F"/>
    <w:rsid w:val="001334B5"/>
    <w:rsid w:val="00133775"/>
    <w:rsid w:val="00135004"/>
    <w:rsid w:val="0013568D"/>
    <w:rsid w:val="00137E75"/>
    <w:rsid w:val="0014019F"/>
    <w:rsid w:val="00142D95"/>
    <w:rsid w:val="00144E14"/>
    <w:rsid w:val="001541D8"/>
    <w:rsid w:val="001611AD"/>
    <w:rsid w:val="001626DE"/>
    <w:rsid w:val="00162DC8"/>
    <w:rsid w:val="00164362"/>
    <w:rsid w:val="00164586"/>
    <w:rsid w:val="00166C26"/>
    <w:rsid w:val="00171E6E"/>
    <w:rsid w:val="00172614"/>
    <w:rsid w:val="001758DF"/>
    <w:rsid w:val="00177866"/>
    <w:rsid w:val="0018302A"/>
    <w:rsid w:val="00186704"/>
    <w:rsid w:val="001903F1"/>
    <w:rsid w:val="00191BDF"/>
    <w:rsid w:val="00191C80"/>
    <w:rsid w:val="00192EA0"/>
    <w:rsid w:val="00195367"/>
    <w:rsid w:val="00196B70"/>
    <w:rsid w:val="00197828"/>
    <w:rsid w:val="001A41F3"/>
    <w:rsid w:val="001A721B"/>
    <w:rsid w:val="001A729B"/>
    <w:rsid w:val="001B09C1"/>
    <w:rsid w:val="001B1566"/>
    <w:rsid w:val="001B15E5"/>
    <w:rsid w:val="001B19AC"/>
    <w:rsid w:val="001B28C0"/>
    <w:rsid w:val="001B67A5"/>
    <w:rsid w:val="001C238D"/>
    <w:rsid w:val="001D2A73"/>
    <w:rsid w:val="001D32E2"/>
    <w:rsid w:val="001D3CE2"/>
    <w:rsid w:val="001D4720"/>
    <w:rsid w:val="001D4E49"/>
    <w:rsid w:val="001D5634"/>
    <w:rsid w:val="001D5F96"/>
    <w:rsid w:val="001D7603"/>
    <w:rsid w:val="001E1071"/>
    <w:rsid w:val="001E2FFF"/>
    <w:rsid w:val="001E5734"/>
    <w:rsid w:val="001E60EC"/>
    <w:rsid w:val="001E6ACC"/>
    <w:rsid w:val="001E6C91"/>
    <w:rsid w:val="001F1D15"/>
    <w:rsid w:val="001F1EAC"/>
    <w:rsid w:val="001F3A03"/>
    <w:rsid w:val="001F4407"/>
    <w:rsid w:val="001F4CBA"/>
    <w:rsid w:val="00200A25"/>
    <w:rsid w:val="00200D26"/>
    <w:rsid w:val="0020544D"/>
    <w:rsid w:val="00211262"/>
    <w:rsid w:val="00211575"/>
    <w:rsid w:val="00212037"/>
    <w:rsid w:val="002140D9"/>
    <w:rsid w:val="0021690E"/>
    <w:rsid w:val="00222428"/>
    <w:rsid w:val="00231ABD"/>
    <w:rsid w:val="002366B4"/>
    <w:rsid w:val="00236893"/>
    <w:rsid w:val="002418FB"/>
    <w:rsid w:val="002442F7"/>
    <w:rsid w:val="00245175"/>
    <w:rsid w:val="00250A16"/>
    <w:rsid w:val="00250F9D"/>
    <w:rsid w:val="002527B6"/>
    <w:rsid w:val="002539EE"/>
    <w:rsid w:val="00254A28"/>
    <w:rsid w:val="00255048"/>
    <w:rsid w:val="0025748D"/>
    <w:rsid w:val="00260F81"/>
    <w:rsid w:val="00263553"/>
    <w:rsid w:val="002635EA"/>
    <w:rsid w:val="002640C3"/>
    <w:rsid w:val="00264B31"/>
    <w:rsid w:val="00264D9B"/>
    <w:rsid w:val="00264DB3"/>
    <w:rsid w:val="00265850"/>
    <w:rsid w:val="0026604F"/>
    <w:rsid w:val="00266CF4"/>
    <w:rsid w:val="00274E69"/>
    <w:rsid w:val="0027645F"/>
    <w:rsid w:val="00277304"/>
    <w:rsid w:val="00277940"/>
    <w:rsid w:val="002809A4"/>
    <w:rsid w:val="002844E5"/>
    <w:rsid w:val="00285163"/>
    <w:rsid w:val="0028627A"/>
    <w:rsid w:val="00286DA7"/>
    <w:rsid w:val="002875C4"/>
    <w:rsid w:val="00287C90"/>
    <w:rsid w:val="0029176C"/>
    <w:rsid w:val="00293192"/>
    <w:rsid w:val="00295975"/>
    <w:rsid w:val="00296312"/>
    <w:rsid w:val="002A0635"/>
    <w:rsid w:val="002A378A"/>
    <w:rsid w:val="002A417E"/>
    <w:rsid w:val="002B2655"/>
    <w:rsid w:val="002B3C7F"/>
    <w:rsid w:val="002C0242"/>
    <w:rsid w:val="002C0F9A"/>
    <w:rsid w:val="002C1D9B"/>
    <w:rsid w:val="002C34BB"/>
    <w:rsid w:val="002C371B"/>
    <w:rsid w:val="002C38DD"/>
    <w:rsid w:val="002C408C"/>
    <w:rsid w:val="002C4256"/>
    <w:rsid w:val="002D194C"/>
    <w:rsid w:val="002D21B9"/>
    <w:rsid w:val="002D45D9"/>
    <w:rsid w:val="002D4C74"/>
    <w:rsid w:val="002D6348"/>
    <w:rsid w:val="002D78E1"/>
    <w:rsid w:val="002E01D4"/>
    <w:rsid w:val="002E2596"/>
    <w:rsid w:val="002E5766"/>
    <w:rsid w:val="002F03B1"/>
    <w:rsid w:val="002F23FB"/>
    <w:rsid w:val="002F473E"/>
    <w:rsid w:val="002F50D8"/>
    <w:rsid w:val="002F7615"/>
    <w:rsid w:val="00302F0A"/>
    <w:rsid w:val="00303952"/>
    <w:rsid w:val="00304190"/>
    <w:rsid w:val="00316AE4"/>
    <w:rsid w:val="00316B46"/>
    <w:rsid w:val="003208C8"/>
    <w:rsid w:val="0032713C"/>
    <w:rsid w:val="00331173"/>
    <w:rsid w:val="003374BD"/>
    <w:rsid w:val="003415F7"/>
    <w:rsid w:val="00341AB2"/>
    <w:rsid w:val="003433C5"/>
    <w:rsid w:val="00344411"/>
    <w:rsid w:val="003463D5"/>
    <w:rsid w:val="00351E36"/>
    <w:rsid w:val="0035418D"/>
    <w:rsid w:val="0035715C"/>
    <w:rsid w:val="00362AAA"/>
    <w:rsid w:val="0036406D"/>
    <w:rsid w:val="0036502B"/>
    <w:rsid w:val="00365549"/>
    <w:rsid w:val="0037175C"/>
    <w:rsid w:val="00371823"/>
    <w:rsid w:val="00375AF9"/>
    <w:rsid w:val="00375E4B"/>
    <w:rsid w:val="00381CBC"/>
    <w:rsid w:val="0038342C"/>
    <w:rsid w:val="003861E9"/>
    <w:rsid w:val="00387D11"/>
    <w:rsid w:val="0039326A"/>
    <w:rsid w:val="0039379B"/>
    <w:rsid w:val="00393A13"/>
    <w:rsid w:val="0039601B"/>
    <w:rsid w:val="003A0196"/>
    <w:rsid w:val="003A3A37"/>
    <w:rsid w:val="003A4E0D"/>
    <w:rsid w:val="003A521A"/>
    <w:rsid w:val="003A58AF"/>
    <w:rsid w:val="003A6BEC"/>
    <w:rsid w:val="003A73BE"/>
    <w:rsid w:val="003B1027"/>
    <w:rsid w:val="003B3D44"/>
    <w:rsid w:val="003B533E"/>
    <w:rsid w:val="003B7088"/>
    <w:rsid w:val="003C022E"/>
    <w:rsid w:val="003C0C3C"/>
    <w:rsid w:val="003C2789"/>
    <w:rsid w:val="003C531D"/>
    <w:rsid w:val="003C5858"/>
    <w:rsid w:val="003D151D"/>
    <w:rsid w:val="003D2FB1"/>
    <w:rsid w:val="003D3C67"/>
    <w:rsid w:val="003D7C08"/>
    <w:rsid w:val="003E12C1"/>
    <w:rsid w:val="003E5A82"/>
    <w:rsid w:val="003E5E58"/>
    <w:rsid w:val="003F2751"/>
    <w:rsid w:val="003F3EFE"/>
    <w:rsid w:val="003F4BBA"/>
    <w:rsid w:val="00401CF6"/>
    <w:rsid w:val="00402074"/>
    <w:rsid w:val="004027AB"/>
    <w:rsid w:val="00403DB6"/>
    <w:rsid w:val="004055E6"/>
    <w:rsid w:val="00405D6A"/>
    <w:rsid w:val="00406B54"/>
    <w:rsid w:val="00412122"/>
    <w:rsid w:val="00412E43"/>
    <w:rsid w:val="0042070D"/>
    <w:rsid w:val="0042173F"/>
    <w:rsid w:val="00423B86"/>
    <w:rsid w:val="00424D96"/>
    <w:rsid w:val="00426AAF"/>
    <w:rsid w:val="0043007A"/>
    <w:rsid w:val="00433165"/>
    <w:rsid w:val="00434674"/>
    <w:rsid w:val="00436002"/>
    <w:rsid w:val="00436C6A"/>
    <w:rsid w:val="004403EA"/>
    <w:rsid w:val="00441764"/>
    <w:rsid w:val="0044182D"/>
    <w:rsid w:val="00442B12"/>
    <w:rsid w:val="00442E95"/>
    <w:rsid w:val="00443DF1"/>
    <w:rsid w:val="00445087"/>
    <w:rsid w:val="00445701"/>
    <w:rsid w:val="00447881"/>
    <w:rsid w:val="00455A34"/>
    <w:rsid w:val="00456862"/>
    <w:rsid w:val="00460089"/>
    <w:rsid w:val="0046490D"/>
    <w:rsid w:val="00466410"/>
    <w:rsid w:val="00474065"/>
    <w:rsid w:val="004773F0"/>
    <w:rsid w:val="00480909"/>
    <w:rsid w:val="0048175B"/>
    <w:rsid w:val="00487D28"/>
    <w:rsid w:val="00490C4F"/>
    <w:rsid w:val="0049268A"/>
    <w:rsid w:val="004972D7"/>
    <w:rsid w:val="004A1A7F"/>
    <w:rsid w:val="004A26C8"/>
    <w:rsid w:val="004A40BC"/>
    <w:rsid w:val="004A6B44"/>
    <w:rsid w:val="004B1E3E"/>
    <w:rsid w:val="004B23DB"/>
    <w:rsid w:val="004B5BF7"/>
    <w:rsid w:val="004B6E26"/>
    <w:rsid w:val="004B725B"/>
    <w:rsid w:val="004C11F7"/>
    <w:rsid w:val="004C1402"/>
    <w:rsid w:val="004C1B2A"/>
    <w:rsid w:val="004C6309"/>
    <w:rsid w:val="004C6FEA"/>
    <w:rsid w:val="004D122F"/>
    <w:rsid w:val="004D1831"/>
    <w:rsid w:val="004D1B2F"/>
    <w:rsid w:val="004D2AAD"/>
    <w:rsid w:val="004D348C"/>
    <w:rsid w:val="004D3CD1"/>
    <w:rsid w:val="004D5479"/>
    <w:rsid w:val="004D7DA4"/>
    <w:rsid w:val="004E0119"/>
    <w:rsid w:val="004E02BA"/>
    <w:rsid w:val="004E304C"/>
    <w:rsid w:val="004E3DE2"/>
    <w:rsid w:val="004E578D"/>
    <w:rsid w:val="004F183D"/>
    <w:rsid w:val="004F1E58"/>
    <w:rsid w:val="004F2B31"/>
    <w:rsid w:val="004F34EE"/>
    <w:rsid w:val="0050045E"/>
    <w:rsid w:val="0050101D"/>
    <w:rsid w:val="00503467"/>
    <w:rsid w:val="00504AA4"/>
    <w:rsid w:val="00521884"/>
    <w:rsid w:val="00523DA5"/>
    <w:rsid w:val="005244CF"/>
    <w:rsid w:val="005254EB"/>
    <w:rsid w:val="00525DC5"/>
    <w:rsid w:val="0052614B"/>
    <w:rsid w:val="00531535"/>
    <w:rsid w:val="00532B1B"/>
    <w:rsid w:val="00532BC6"/>
    <w:rsid w:val="00534D55"/>
    <w:rsid w:val="00534ECF"/>
    <w:rsid w:val="005409A9"/>
    <w:rsid w:val="00540FC7"/>
    <w:rsid w:val="005428A6"/>
    <w:rsid w:val="0054330B"/>
    <w:rsid w:val="00543D1C"/>
    <w:rsid w:val="005513E8"/>
    <w:rsid w:val="00553AD2"/>
    <w:rsid w:val="005547A4"/>
    <w:rsid w:val="00555FA9"/>
    <w:rsid w:val="00557CD2"/>
    <w:rsid w:val="00561B60"/>
    <w:rsid w:val="005636F9"/>
    <w:rsid w:val="0056461A"/>
    <w:rsid w:val="005664BA"/>
    <w:rsid w:val="0057264C"/>
    <w:rsid w:val="00574051"/>
    <w:rsid w:val="00574618"/>
    <w:rsid w:val="005750C3"/>
    <w:rsid w:val="005764AE"/>
    <w:rsid w:val="005767B5"/>
    <w:rsid w:val="005834BD"/>
    <w:rsid w:val="0058461B"/>
    <w:rsid w:val="00587C83"/>
    <w:rsid w:val="00590397"/>
    <w:rsid w:val="00591B5A"/>
    <w:rsid w:val="00593428"/>
    <w:rsid w:val="005941DF"/>
    <w:rsid w:val="0059627F"/>
    <w:rsid w:val="0059679A"/>
    <w:rsid w:val="005A14E6"/>
    <w:rsid w:val="005A1C85"/>
    <w:rsid w:val="005A20B1"/>
    <w:rsid w:val="005A43BD"/>
    <w:rsid w:val="005A63C9"/>
    <w:rsid w:val="005B0F11"/>
    <w:rsid w:val="005B40E1"/>
    <w:rsid w:val="005B4A10"/>
    <w:rsid w:val="005C0C8C"/>
    <w:rsid w:val="005C1216"/>
    <w:rsid w:val="005C3139"/>
    <w:rsid w:val="005C5D5A"/>
    <w:rsid w:val="005C75EE"/>
    <w:rsid w:val="005C7917"/>
    <w:rsid w:val="005D1A9A"/>
    <w:rsid w:val="005D528C"/>
    <w:rsid w:val="005D7B18"/>
    <w:rsid w:val="005E3BFD"/>
    <w:rsid w:val="005F11C0"/>
    <w:rsid w:val="005F20BD"/>
    <w:rsid w:val="005F4375"/>
    <w:rsid w:val="005F4D8B"/>
    <w:rsid w:val="005F4E5A"/>
    <w:rsid w:val="005F523E"/>
    <w:rsid w:val="005F53C7"/>
    <w:rsid w:val="006001EC"/>
    <w:rsid w:val="006008DC"/>
    <w:rsid w:val="006041F0"/>
    <w:rsid w:val="00604BBE"/>
    <w:rsid w:val="006074D7"/>
    <w:rsid w:val="00617452"/>
    <w:rsid w:val="006207B6"/>
    <w:rsid w:val="0062357A"/>
    <w:rsid w:val="006244B6"/>
    <w:rsid w:val="00624BFB"/>
    <w:rsid w:val="006250E1"/>
    <w:rsid w:val="00625BE6"/>
    <w:rsid w:val="00626431"/>
    <w:rsid w:val="006268E6"/>
    <w:rsid w:val="006275BD"/>
    <w:rsid w:val="00631D12"/>
    <w:rsid w:val="00631E50"/>
    <w:rsid w:val="00632DF8"/>
    <w:rsid w:val="00633F7B"/>
    <w:rsid w:val="0063482D"/>
    <w:rsid w:val="00637907"/>
    <w:rsid w:val="0064076C"/>
    <w:rsid w:val="0064131D"/>
    <w:rsid w:val="00641967"/>
    <w:rsid w:val="006446D9"/>
    <w:rsid w:val="00646820"/>
    <w:rsid w:val="006503C8"/>
    <w:rsid w:val="00652EDA"/>
    <w:rsid w:val="00653C6D"/>
    <w:rsid w:val="00654971"/>
    <w:rsid w:val="00655DF5"/>
    <w:rsid w:val="00660DA3"/>
    <w:rsid w:val="0066211F"/>
    <w:rsid w:val="00662C8E"/>
    <w:rsid w:val="00673005"/>
    <w:rsid w:val="00673F9E"/>
    <w:rsid w:val="00674FBC"/>
    <w:rsid w:val="006768D4"/>
    <w:rsid w:val="0067755D"/>
    <w:rsid w:val="00681041"/>
    <w:rsid w:val="00681FF3"/>
    <w:rsid w:val="00682416"/>
    <w:rsid w:val="00682F58"/>
    <w:rsid w:val="00684C18"/>
    <w:rsid w:val="00686C98"/>
    <w:rsid w:val="00687A35"/>
    <w:rsid w:val="006909C0"/>
    <w:rsid w:val="00690AAF"/>
    <w:rsid w:val="00691C58"/>
    <w:rsid w:val="006930CE"/>
    <w:rsid w:val="00693AB6"/>
    <w:rsid w:val="00695392"/>
    <w:rsid w:val="00696AF5"/>
    <w:rsid w:val="006976EF"/>
    <w:rsid w:val="006976F6"/>
    <w:rsid w:val="0069775F"/>
    <w:rsid w:val="006A1E72"/>
    <w:rsid w:val="006A279A"/>
    <w:rsid w:val="006A51E4"/>
    <w:rsid w:val="006A543B"/>
    <w:rsid w:val="006A5A7F"/>
    <w:rsid w:val="006B4BE8"/>
    <w:rsid w:val="006B7D1D"/>
    <w:rsid w:val="006C650A"/>
    <w:rsid w:val="006D0E76"/>
    <w:rsid w:val="006D181B"/>
    <w:rsid w:val="006E457A"/>
    <w:rsid w:val="006E4AE6"/>
    <w:rsid w:val="006E5D5C"/>
    <w:rsid w:val="006E64B0"/>
    <w:rsid w:val="006F28E2"/>
    <w:rsid w:val="006F2B5D"/>
    <w:rsid w:val="006F39E4"/>
    <w:rsid w:val="006F4972"/>
    <w:rsid w:val="006F6113"/>
    <w:rsid w:val="0070423D"/>
    <w:rsid w:val="00704457"/>
    <w:rsid w:val="0070449D"/>
    <w:rsid w:val="007058D9"/>
    <w:rsid w:val="00711785"/>
    <w:rsid w:val="00712602"/>
    <w:rsid w:val="007131EC"/>
    <w:rsid w:val="00713918"/>
    <w:rsid w:val="007165EB"/>
    <w:rsid w:val="00722019"/>
    <w:rsid w:val="00722A55"/>
    <w:rsid w:val="00724D2F"/>
    <w:rsid w:val="00725AFA"/>
    <w:rsid w:val="007261F7"/>
    <w:rsid w:val="00726C77"/>
    <w:rsid w:val="00727088"/>
    <w:rsid w:val="007333D3"/>
    <w:rsid w:val="00734B55"/>
    <w:rsid w:val="00741F62"/>
    <w:rsid w:val="00743824"/>
    <w:rsid w:val="00743A4B"/>
    <w:rsid w:val="007479BB"/>
    <w:rsid w:val="00750118"/>
    <w:rsid w:val="00750B3D"/>
    <w:rsid w:val="00752151"/>
    <w:rsid w:val="007522E2"/>
    <w:rsid w:val="00753F42"/>
    <w:rsid w:val="00754F0F"/>
    <w:rsid w:val="00755DD0"/>
    <w:rsid w:val="0075779E"/>
    <w:rsid w:val="007604D9"/>
    <w:rsid w:val="007627B6"/>
    <w:rsid w:val="00772BC3"/>
    <w:rsid w:val="0077356F"/>
    <w:rsid w:val="007741D3"/>
    <w:rsid w:val="00774719"/>
    <w:rsid w:val="0077478E"/>
    <w:rsid w:val="007773D2"/>
    <w:rsid w:val="00783A91"/>
    <w:rsid w:val="00783B98"/>
    <w:rsid w:val="00792C72"/>
    <w:rsid w:val="00793B25"/>
    <w:rsid w:val="0079413E"/>
    <w:rsid w:val="0079600E"/>
    <w:rsid w:val="007A12A9"/>
    <w:rsid w:val="007A2D12"/>
    <w:rsid w:val="007A3CEE"/>
    <w:rsid w:val="007A5AC3"/>
    <w:rsid w:val="007B0927"/>
    <w:rsid w:val="007B1F53"/>
    <w:rsid w:val="007B398A"/>
    <w:rsid w:val="007B3E6E"/>
    <w:rsid w:val="007B599D"/>
    <w:rsid w:val="007B7631"/>
    <w:rsid w:val="007C746B"/>
    <w:rsid w:val="007C7ACA"/>
    <w:rsid w:val="007D26EF"/>
    <w:rsid w:val="007D43E5"/>
    <w:rsid w:val="007D47A8"/>
    <w:rsid w:val="007D64B6"/>
    <w:rsid w:val="007D66D6"/>
    <w:rsid w:val="007D6956"/>
    <w:rsid w:val="007D7789"/>
    <w:rsid w:val="007E0AFE"/>
    <w:rsid w:val="007E5221"/>
    <w:rsid w:val="007E7E51"/>
    <w:rsid w:val="007E7ECB"/>
    <w:rsid w:val="007F0353"/>
    <w:rsid w:val="007F0FAA"/>
    <w:rsid w:val="007F0FE7"/>
    <w:rsid w:val="007F1901"/>
    <w:rsid w:val="007F2E6D"/>
    <w:rsid w:val="007F367F"/>
    <w:rsid w:val="007F36DF"/>
    <w:rsid w:val="007F3A6D"/>
    <w:rsid w:val="007F4061"/>
    <w:rsid w:val="00801E66"/>
    <w:rsid w:val="00802BC6"/>
    <w:rsid w:val="00805174"/>
    <w:rsid w:val="0080674A"/>
    <w:rsid w:val="008076B1"/>
    <w:rsid w:val="00813A43"/>
    <w:rsid w:val="00815927"/>
    <w:rsid w:val="00817ADB"/>
    <w:rsid w:val="0082192F"/>
    <w:rsid w:val="00822735"/>
    <w:rsid w:val="008256BC"/>
    <w:rsid w:val="00831BF4"/>
    <w:rsid w:val="0083296D"/>
    <w:rsid w:val="00832EE4"/>
    <w:rsid w:val="0083549F"/>
    <w:rsid w:val="008368B0"/>
    <w:rsid w:val="008370E9"/>
    <w:rsid w:val="00837EF3"/>
    <w:rsid w:val="00840290"/>
    <w:rsid w:val="0084153B"/>
    <w:rsid w:val="00841F77"/>
    <w:rsid w:val="00844D77"/>
    <w:rsid w:val="008455D8"/>
    <w:rsid w:val="00845B5C"/>
    <w:rsid w:val="00846723"/>
    <w:rsid w:val="00850E04"/>
    <w:rsid w:val="008539B2"/>
    <w:rsid w:val="00855452"/>
    <w:rsid w:val="00857BC9"/>
    <w:rsid w:val="00862943"/>
    <w:rsid w:val="00863C44"/>
    <w:rsid w:val="0087792D"/>
    <w:rsid w:val="0089226B"/>
    <w:rsid w:val="00893F63"/>
    <w:rsid w:val="00897F14"/>
    <w:rsid w:val="00897F26"/>
    <w:rsid w:val="008A11BF"/>
    <w:rsid w:val="008B0051"/>
    <w:rsid w:val="008B0BE8"/>
    <w:rsid w:val="008B2B87"/>
    <w:rsid w:val="008B4AF2"/>
    <w:rsid w:val="008B56BA"/>
    <w:rsid w:val="008C05AE"/>
    <w:rsid w:val="008C189C"/>
    <w:rsid w:val="008C2582"/>
    <w:rsid w:val="008C651D"/>
    <w:rsid w:val="008C715C"/>
    <w:rsid w:val="008D5F44"/>
    <w:rsid w:val="008D5F89"/>
    <w:rsid w:val="008E4B3B"/>
    <w:rsid w:val="008F1A67"/>
    <w:rsid w:val="008F23F2"/>
    <w:rsid w:val="008F5B45"/>
    <w:rsid w:val="00900466"/>
    <w:rsid w:val="00900D3C"/>
    <w:rsid w:val="00900E49"/>
    <w:rsid w:val="0090215F"/>
    <w:rsid w:val="00902870"/>
    <w:rsid w:val="009048AC"/>
    <w:rsid w:val="009055B2"/>
    <w:rsid w:val="00905997"/>
    <w:rsid w:val="00914349"/>
    <w:rsid w:val="00915DEF"/>
    <w:rsid w:val="00917CA9"/>
    <w:rsid w:val="00920A8F"/>
    <w:rsid w:val="00922813"/>
    <w:rsid w:val="00925C96"/>
    <w:rsid w:val="00926438"/>
    <w:rsid w:val="00926952"/>
    <w:rsid w:val="00932F6F"/>
    <w:rsid w:val="0094100B"/>
    <w:rsid w:val="0094307B"/>
    <w:rsid w:val="009463C2"/>
    <w:rsid w:val="00946656"/>
    <w:rsid w:val="009479C7"/>
    <w:rsid w:val="00952D57"/>
    <w:rsid w:val="00954676"/>
    <w:rsid w:val="00955C58"/>
    <w:rsid w:val="00956A11"/>
    <w:rsid w:val="009573A3"/>
    <w:rsid w:val="00960F1C"/>
    <w:rsid w:val="00961D8D"/>
    <w:rsid w:val="00963446"/>
    <w:rsid w:val="009636EE"/>
    <w:rsid w:val="009646B0"/>
    <w:rsid w:val="009719A3"/>
    <w:rsid w:val="0097513C"/>
    <w:rsid w:val="00975A07"/>
    <w:rsid w:val="009775DF"/>
    <w:rsid w:val="0098271F"/>
    <w:rsid w:val="00983212"/>
    <w:rsid w:val="0098400E"/>
    <w:rsid w:val="00990D77"/>
    <w:rsid w:val="0099446A"/>
    <w:rsid w:val="00994F89"/>
    <w:rsid w:val="00997FA9"/>
    <w:rsid w:val="009A29BF"/>
    <w:rsid w:val="009A4576"/>
    <w:rsid w:val="009A5971"/>
    <w:rsid w:val="009A5A55"/>
    <w:rsid w:val="009A5BA5"/>
    <w:rsid w:val="009A6839"/>
    <w:rsid w:val="009A6AD5"/>
    <w:rsid w:val="009B1427"/>
    <w:rsid w:val="009B457C"/>
    <w:rsid w:val="009C25D9"/>
    <w:rsid w:val="009C2B63"/>
    <w:rsid w:val="009C2EF5"/>
    <w:rsid w:val="009C649E"/>
    <w:rsid w:val="009D16C6"/>
    <w:rsid w:val="009E304D"/>
    <w:rsid w:val="009E6855"/>
    <w:rsid w:val="009F0FA5"/>
    <w:rsid w:val="009F1F13"/>
    <w:rsid w:val="009F2E33"/>
    <w:rsid w:val="009F3787"/>
    <w:rsid w:val="009F379D"/>
    <w:rsid w:val="009F71BA"/>
    <w:rsid w:val="009F786C"/>
    <w:rsid w:val="00A0076E"/>
    <w:rsid w:val="00A01BE5"/>
    <w:rsid w:val="00A04C4B"/>
    <w:rsid w:val="00A06B07"/>
    <w:rsid w:val="00A06DC6"/>
    <w:rsid w:val="00A06E64"/>
    <w:rsid w:val="00A0753F"/>
    <w:rsid w:val="00A10259"/>
    <w:rsid w:val="00A11264"/>
    <w:rsid w:val="00A13967"/>
    <w:rsid w:val="00A1542F"/>
    <w:rsid w:val="00A16892"/>
    <w:rsid w:val="00A16C7D"/>
    <w:rsid w:val="00A22355"/>
    <w:rsid w:val="00A2262D"/>
    <w:rsid w:val="00A22728"/>
    <w:rsid w:val="00A25D6D"/>
    <w:rsid w:val="00A279E6"/>
    <w:rsid w:val="00A350A3"/>
    <w:rsid w:val="00A37F0F"/>
    <w:rsid w:val="00A43A59"/>
    <w:rsid w:val="00A43B3B"/>
    <w:rsid w:val="00A43ED8"/>
    <w:rsid w:val="00A43FC9"/>
    <w:rsid w:val="00A50142"/>
    <w:rsid w:val="00A54CD2"/>
    <w:rsid w:val="00A55554"/>
    <w:rsid w:val="00A65503"/>
    <w:rsid w:val="00A6648F"/>
    <w:rsid w:val="00A669A6"/>
    <w:rsid w:val="00A6729A"/>
    <w:rsid w:val="00A73D94"/>
    <w:rsid w:val="00A746FC"/>
    <w:rsid w:val="00A83271"/>
    <w:rsid w:val="00A83FEB"/>
    <w:rsid w:val="00A84907"/>
    <w:rsid w:val="00A85C88"/>
    <w:rsid w:val="00A87A92"/>
    <w:rsid w:val="00A9259B"/>
    <w:rsid w:val="00A94CEF"/>
    <w:rsid w:val="00A95835"/>
    <w:rsid w:val="00A960E9"/>
    <w:rsid w:val="00AA008A"/>
    <w:rsid w:val="00AA2CD2"/>
    <w:rsid w:val="00AA33D7"/>
    <w:rsid w:val="00AA40AC"/>
    <w:rsid w:val="00AA6304"/>
    <w:rsid w:val="00AA6D49"/>
    <w:rsid w:val="00AB0549"/>
    <w:rsid w:val="00AB0F3D"/>
    <w:rsid w:val="00AB1981"/>
    <w:rsid w:val="00AB1F18"/>
    <w:rsid w:val="00AB2F6E"/>
    <w:rsid w:val="00AB36FD"/>
    <w:rsid w:val="00AB425B"/>
    <w:rsid w:val="00AB43F7"/>
    <w:rsid w:val="00AB482C"/>
    <w:rsid w:val="00AC33A6"/>
    <w:rsid w:val="00AC3598"/>
    <w:rsid w:val="00AC35F3"/>
    <w:rsid w:val="00AC39FC"/>
    <w:rsid w:val="00AD31F0"/>
    <w:rsid w:val="00AD57BF"/>
    <w:rsid w:val="00AD608C"/>
    <w:rsid w:val="00AD6936"/>
    <w:rsid w:val="00AD7210"/>
    <w:rsid w:val="00AE1154"/>
    <w:rsid w:val="00AE237E"/>
    <w:rsid w:val="00AE248F"/>
    <w:rsid w:val="00AE3480"/>
    <w:rsid w:val="00AE36CB"/>
    <w:rsid w:val="00AE49C5"/>
    <w:rsid w:val="00AE4D2C"/>
    <w:rsid w:val="00AE5B72"/>
    <w:rsid w:val="00AE5B98"/>
    <w:rsid w:val="00AE6954"/>
    <w:rsid w:val="00AF0EA9"/>
    <w:rsid w:val="00AF39B5"/>
    <w:rsid w:val="00AF3FD6"/>
    <w:rsid w:val="00B01E70"/>
    <w:rsid w:val="00B028AF"/>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339D"/>
    <w:rsid w:val="00B3400D"/>
    <w:rsid w:val="00B35C64"/>
    <w:rsid w:val="00B36613"/>
    <w:rsid w:val="00B41978"/>
    <w:rsid w:val="00B41FD6"/>
    <w:rsid w:val="00B460B4"/>
    <w:rsid w:val="00B47334"/>
    <w:rsid w:val="00B503C8"/>
    <w:rsid w:val="00B53C1F"/>
    <w:rsid w:val="00B563D4"/>
    <w:rsid w:val="00B56BA2"/>
    <w:rsid w:val="00B6127A"/>
    <w:rsid w:val="00B633FB"/>
    <w:rsid w:val="00B649AA"/>
    <w:rsid w:val="00B65207"/>
    <w:rsid w:val="00B66DCF"/>
    <w:rsid w:val="00B71142"/>
    <w:rsid w:val="00B726B2"/>
    <w:rsid w:val="00B778D5"/>
    <w:rsid w:val="00B8125F"/>
    <w:rsid w:val="00B819E1"/>
    <w:rsid w:val="00B860C9"/>
    <w:rsid w:val="00B92FA4"/>
    <w:rsid w:val="00B9574E"/>
    <w:rsid w:val="00B965AA"/>
    <w:rsid w:val="00B96F0B"/>
    <w:rsid w:val="00BA069E"/>
    <w:rsid w:val="00BA137B"/>
    <w:rsid w:val="00BA213F"/>
    <w:rsid w:val="00BA2243"/>
    <w:rsid w:val="00BA3CB9"/>
    <w:rsid w:val="00BA3E20"/>
    <w:rsid w:val="00BA48E7"/>
    <w:rsid w:val="00BB1342"/>
    <w:rsid w:val="00BB3EE7"/>
    <w:rsid w:val="00BB55B7"/>
    <w:rsid w:val="00BB59B3"/>
    <w:rsid w:val="00BC1057"/>
    <w:rsid w:val="00BC5015"/>
    <w:rsid w:val="00BC5344"/>
    <w:rsid w:val="00BC62DA"/>
    <w:rsid w:val="00BD238E"/>
    <w:rsid w:val="00BD34CA"/>
    <w:rsid w:val="00BD4945"/>
    <w:rsid w:val="00BD6C46"/>
    <w:rsid w:val="00BD6D61"/>
    <w:rsid w:val="00BE2F60"/>
    <w:rsid w:val="00BE4F18"/>
    <w:rsid w:val="00BE6AF8"/>
    <w:rsid w:val="00BE6FC7"/>
    <w:rsid w:val="00BF09E0"/>
    <w:rsid w:val="00BF2187"/>
    <w:rsid w:val="00BF67C7"/>
    <w:rsid w:val="00BF769E"/>
    <w:rsid w:val="00BF76B5"/>
    <w:rsid w:val="00C016ED"/>
    <w:rsid w:val="00C035DA"/>
    <w:rsid w:val="00C101DE"/>
    <w:rsid w:val="00C13F4E"/>
    <w:rsid w:val="00C15DC1"/>
    <w:rsid w:val="00C24641"/>
    <w:rsid w:val="00C252FC"/>
    <w:rsid w:val="00C26561"/>
    <w:rsid w:val="00C273B9"/>
    <w:rsid w:val="00C32E87"/>
    <w:rsid w:val="00C33F6E"/>
    <w:rsid w:val="00C34549"/>
    <w:rsid w:val="00C3490A"/>
    <w:rsid w:val="00C36CEA"/>
    <w:rsid w:val="00C371AB"/>
    <w:rsid w:val="00C4514F"/>
    <w:rsid w:val="00C458E9"/>
    <w:rsid w:val="00C45F57"/>
    <w:rsid w:val="00C46E88"/>
    <w:rsid w:val="00C54500"/>
    <w:rsid w:val="00C54553"/>
    <w:rsid w:val="00C61700"/>
    <w:rsid w:val="00C63A86"/>
    <w:rsid w:val="00C7005B"/>
    <w:rsid w:val="00C71741"/>
    <w:rsid w:val="00C737EA"/>
    <w:rsid w:val="00C73DCD"/>
    <w:rsid w:val="00C74DCB"/>
    <w:rsid w:val="00C80888"/>
    <w:rsid w:val="00C80FD4"/>
    <w:rsid w:val="00C87F35"/>
    <w:rsid w:val="00C9332E"/>
    <w:rsid w:val="00C93478"/>
    <w:rsid w:val="00C948F0"/>
    <w:rsid w:val="00C95B8F"/>
    <w:rsid w:val="00C96C83"/>
    <w:rsid w:val="00CA063D"/>
    <w:rsid w:val="00CA096E"/>
    <w:rsid w:val="00CA4132"/>
    <w:rsid w:val="00CA642E"/>
    <w:rsid w:val="00CB322C"/>
    <w:rsid w:val="00CB4557"/>
    <w:rsid w:val="00CB55D3"/>
    <w:rsid w:val="00CB7B00"/>
    <w:rsid w:val="00CC10C7"/>
    <w:rsid w:val="00CC22AD"/>
    <w:rsid w:val="00CC505B"/>
    <w:rsid w:val="00CC5219"/>
    <w:rsid w:val="00CC610B"/>
    <w:rsid w:val="00CC7A31"/>
    <w:rsid w:val="00CC7C38"/>
    <w:rsid w:val="00CD0335"/>
    <w:rsid w:val="00CD4136"/>
    <w:rsid w:val="00CD4183"/>
    <w:rsid w:val="00CD6FBB"/>
    <w:rsid w:val="00CE265D"/>
    <w:rsid w:val="00CF130C"/>
    <w:rsid w:val="00CF36CC"/>
    <w:rsid w:val="00CF58A5"/>
    <w:rsid w:val="00CF60A4"/>
    <w:rsid w:val="00D053CD"/>
    <w:rsid w:val="00D06A84"/>
    <w:rsid w:val="00D06BC2"/>
    <w:rsid w:val="00D071A7"/>
    <w:rsid w:val="00D0724E"/>
    <w:rsid w:val="00D13266"/>
    <w:rsid w:val="00D16953"/>
    <w:rsid w:val="00D16D91"/>
    <w:rsid w:val="00D17A8F"/>
    <w:rsid w:val="00D21F56"/>
    <w:rsid w:val="00D24BD7"/>
    <w:rsid w:val="00D27CD5"/>
    <w:rsid w:val="00D35092"/>
    <w:rsid w:val="00D37494"/>
    <w:rsid w:val="00D4102B"/>
    <w:rsid w:val="00D41D92"/>
    <w:rsid w:val="00D438BB"/>
    <w:rsid w:val="00D46011"/>
    <w:rsid w:val="00D47511"/>
    <w:rsid w:val="00D51241"/>
    <w:rsid w:val="00D51270"/>
    <w:rsid w:val="00D515C3"/>
    <w:rsid w:val="00D55D67"/>
    <w:rsid w:val="00D5717A"/>
    <w:rsid w:val="00D60836"/>
    <w:rsid w:val="00D6220C"/>
    <w:rsid w:val="00D705AD"/>
    <w:rsid w:val="00D70D1D"/>
    <w:rsid w:val="00D722DA"/>
    <w:rsid w:val="00D72BD0"/>
    <w:rsid w:val="00D752DA"/>
    <w:rsid w:val="00D76786"/>
    <w:rsid w:val="00D81DCC"/>
    <w:rsid w:val="00D8267B"/>
    <w:rsid w:val="00D82FF8"/>
    <w:rsid w:val="00D84BCD"/>
    <w:rsid w:val="00D85549"/>
    <w:rsid w:val="00D85E38"/>
    <w:rsid w:val="00D9014D"/>
    <w:rsid w:val="00D9273E"/>
    <w:rsid w:val="00D938F3"/>
    <w:rsid w:val="00D95AF5"/>
    <w:rsid w:val="00D96AD2"/>
    <w:rsid w:val="00D96F45"/>
    <w:rsid w:val="00D9762E"/>
    <w:rsid w:val="00DA0BC5"/>
    <w:rsid w:val="00DA5079"/>
    <w:rsid w:val="00DB107E"/>
    <w:rsid w:val="00DB4FD7"/>
    <w:rsid w:val="00DC19FE"/>
    <w:rsid w:val="00DC1FB8"/>
    <w:rsid w:val="00DC30D1"/>
    <w:rsid w:val="00DC399C"/>
    <w:rsid w:val="00DC4503"/>
    <w:rsid w:val="00DC5BFC"/>
    <w:rsid w:val="00DD0029"/>
    <w:rsid w:val="00DD26D6"/>
    <w:rsid w:val="00DD3D5A"/>
    <w:rsid w:val="00DD5177"/>
    <w:rsid w:val="00DD5403"/>
    <w:rsid w:val="00DE1882"/>
    <w:rsid w:val="00DE20DE"/>
    <w:rsid w:val="00DE54A8"/>
    <w:rsid w:val="00DE5739"/>
    <w:rsid w:val="00DE7069"/>
    <w:rsid w:val="00DF11B4"/>
    <w:rsid w:val="00E03CE3"/>
    <w:rsid w:val="00E05C85"/>
    <w:rsid w:val="00E1071B"/>
    <w:rsid w:val="00E12500"/>
    <w:rsid w:val="00E16D81"/>
    <w:rsid w:val="00E17027"/>
    <w:rsid w:val="00E20F20"/>
    <w:rsid w:val="00E21E25"/>
    <w:rsid w:val="00E25248"/>
    <w:rsid w:val="00E25C7C"/>
    <w:rsid w:val="00E2679B"/>
    <w:rsid w:val="00E30FCE"/>
    <w:rsid w:val="00E32494"/>
    <w:rsid w:val="00E3347E"/>
    <w:rsid w:val="00E334DD"/>
    <w:rsid w:val="00E352FF"/>
    <w:rsid w:val="00E402B0"/>
    <w:rsid w:val="00E40756"/>
    <w:rsid w:val="00E42353"/>
    <w:rsid w:val="00E44424"/>
    <w:rsid w:val="00E44601"/>
    <w:rsid w:val="00E44AAF"/>
    <w:rsid w:val="00E46D1D"/>
    <w:rsid w:val="00E46F08"/>
    <w:rsid w:val="00E472CD"/>
    <w:rsid w:val="00E53F00"/>
    <w:rsid w:val="00E544CB"/>
    <w:rsid w:val="00E56DBB"/>
    <w:rsid w:val="00E60947"/>
    <w:rsid w:val="00E63BA5"/>
    <w:rsid w:val="00E6424D"/>
    <w:rsid w:val="00E65BFC"/>
    <w:rsid w:val="00E66295"/>
    <w:rsid w:val="00E67044"/>
    <w:rsid w:val="00E70A38"/>
    <w:rsid w:val="00E72095"/>
    <w:rsid w:val="00E7287F"/>
    <w:rsid w:val="00E72959"/>
    <w:rsid w:val="00E744BC"/>
    <w:rsid w:val="00E819A0"/>
    <w:rsid w:val="00E82778"/>
    <w:rsid w:val="00E853DB"/>
    <w:rsid w:val="00E853FC"/>
    <w:rsid w:val="00E87DE9"/>
    <w:rsid w:val="00E90C8E"/>
    <w:rsid w:val="00E95D4A"/>
    <w:rsid w:val="00E97668"/>
    <w:rsid w:val="00E97969"/>
    <w:rsid w:val="00EA169D"/>
    <w:rsid w:val="00EA1B94"/>
    <w:rsid w:val="00EA2EDA"/>
    <w:rsid w:val="00EA3B33"/>
    <w:rsid w:val="00EA4459"/>
    <w:rsid w:val="00EA4569"/>
    <w:rsid w:val="00EA4A8A"/>
    <w:rsid w:val="00EA522F"/>
    <w:rsid w:val="00EB06BB"/>
    <w:rsid w:val="00EB0CAB"/>
    <w:rsid w:val="00EB11C2"/>
    <w:rsid w:val="00EB3286"/>
    <w:rsid w:val="00EB6865"/>
    <w:rsid w:val="00EC396F"/>
    <w:rsid w:val="00ED00D8"/>
    <w:rsid w:val="00ED211A"/>
    <w:rsid w:val="00ED3B50"/>
    <w:rsid w:val="00ED52FC"/>
    <w:rsid w:val="00EE39D1"/>
    <w:rsid w:val="00EE5E10"/>
    <w:rsid w:val="00EE5F2D"/>
    <w:rsid w:val="00EF1281"/>
    <w:rsid w:val="00EF2DAA"/>
    <w:rsid w:val="00EF3343"/>
    <w:rsid w:val="00EF5CD4"/>
    <w:rsid w:val="00EF6197"/>
    <w:rsid w:val="00F001B5"/>
    <w:rsid w:val="00F040C7"/>
    <w:rsid w:val="00F06FF8"/>
    <w:rsid w:val="00F0766A"/>
    <w:rsid w:val="00F07D3C"/>
    <w:rsid w:val="00F114F8"/>
    <w:rsid w:val="00F11F37"/>
    <w:rsid w:val="00F1338D"/>
    <w:rsid w:val="00F24D37"/>
    <w:rsid w:val="00F3057C"/>
    <w:rsid w:val="00F31414"/>
    <w:rsid w:val="00F3220C"/>
    <w:rsid w:val="00F33C54"/>
    <w:rsid w:val="00F341F9"/>
    <w:rsid w:val="00F353B6"/>
    <w:rsid w:val="00F35A8F"/>
    <w:rsid w:val="00F41677"/>
    <w:rsid w:val="00F433AB"/>
    <w:rsid w:val="00F438CF"/>
    <w:rsid w:val="00F4503E"/>
    <w:rsid w:val="00F45445"/>
    <w:rsid w:val="00F45517"/>
    <w:rsid w:val="00F4614E"/>
    <w:rsid w:val="00F5354A"/>
    <w:rsid w:val="00F54134"/>
    <w:rsid w:val="00F55DF6"/>
    <w:rsid w:val="00F6115C"/>
    <w:rsid w:val="00F6221D"/>
    <w:rsid w:val="00F6555D"/>
    <w:rsid w:val="00F7047C"/>
    <w:rsid w:val="00F7094E"/>
    <w:rsid w:val="00F71628"/>
    <w:rsid w:val="00F71E3E"/>
    <w:rsid w:val="00F71FA3"/>
    <w:rsid w:val="00F72AB8"/>
    <w:rsid w:val="00F72E22"/>
    <w:rsid w:val="00F77769"/>
    <w:rsid w:val="00F77C7F"/>
    <w:rsid w:val="00F83E33"/>
    <w:rsid w:val="00F863C3"/>
    <w:rsid w:val="00F93A8C"/>
    <w:rsid w:val="00FA04E1"/>
    <w:rsid w:val="00FA1133"/>
    <w:rsid w:val="00FA246D"/>
    <w:rsid w:val="00FA4965"/>
    <w:rsid w:val="00FB07CF"/>
    <w:rsid w:val="00FB3ED1"/>
    <w:rsid w:val="00FB6F1F"/>
    <w:rsid w:val="00FB7F33"/>
    <w:rsid w:val="00FC07AB"/>
    <w:rsid w:val="00FC25BF"/>
    <w:rsid w:val="00FD258E"/>
    <w:rsid w:val="00FD662D"/>
    <w:rsid w:val="00FE2D0E"/>
    <w:rsid w:val="00FE49D9"/>
    <w:rsid w:val="00FE7170"/>
    <w:rsid w:val="00FE7CD7"/>
    <w:rsid w:val="00FF15DD"/>
    <w:rsid w:val="00FF1A6B"/>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nycourts.gov/rules/comments/index.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ycourts.gov/LegacyPDFS/rules/comments/pdf/requestforpubliccomment-adrconfidentiality-09292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ycourts.gov/LegacyPDFS/rules/comments/pdf/RequestForPublicComment-MatrimonialActionFilings-032726r.pdf" TargetMode="External"/><Relationship Id="rId4" Type="http://schemas.openxmlformats.org/officeDocument/2006/relationships/webSettings" Target="webSettings.xml"/><Relationship Id="rId9" Type="http://schemas.openxmlformats.org/officeDocument/2006/relationships/hyperlink" Target="https://www.nycourts.gov/LegacyPDFS/rules/comments/pdf/RequestForPublicComment-AttorneyClientFeeDisputeThresholds-040226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6706</Words>
  <Characters>38230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2026-05-29T18:26:00Z</cp:lastPrinted>
  <dcterms:created xsi:type="dcterms:W3CDTF">2026-05-29T20:47:00Z</dcterms:created>
  <dcterms:modified xsi:type="dcterms:W3CDTF">2026-05-29T20:47:00Z</dcterms:modified>
</cp:coreProperties>
</file>