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36700257" w:rsidR="00963446" w:rsidRDefault="00E6791C"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5A6258">
        <w:rPr>
          <w:rFonts w:ascii="Stencil" w:hAnsi="Stencil" w:cs="Times New Roman"/>
          <w:b/>
        </w:rPr>
        <w:t>MARCH</w:t>
      </w:r>
      <w:r w:rsidR="00C83062">
        <w:rPr>
          <w:rFonts w:ascii="Stencil" w:hAnsi="Stencil" w:cs="Times New Roman"/>
          <w:b/>
        </w:rPr>
        <w:t xml:space="preserve"> </w:t>
      </w:r>
      <w:r w:rsidR="0025657B">
        <w:rPr>
          <w:rFonts w:ascii="Stencil" w:hAnsi="Stencil" w:cs="Times New Roman"/>
          <w:b/>
        </w:rPr>
        <w:t>2026</w:t>
      </w:r>
    </w:p>
    <w:p w14:paraId="09CCB385" w14:textId="23D9C2FB"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4A3CECEC" w14:textId="77777777" w:rsidR="00656C86" w:rsidRDefault="00963446" w:rsidP="0025657B">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County Family Court</w:t>
      </w:r>
    </w:p>
    <w:p w14:paraId="7DF0BFC1" w14:textId="77777777" w:rsidR="00786D22" w:rsidRDefault="00786D22" w:rsidP="00656C86">
      <w:pPr>
        <w:widowControl w:val="0"/>
        <w:spacing w:line="240" w:lineRule="auto"/>
        <w:contextualSpacing/>
        <w:jc w:val="both"/>
        <w:rPr>
          <w:rFonts w:ascii="Times New Roman" w:hAnsi="Times New Roman" w:cs="Times New Roman"/>
          <w:b/>
          <w:bCs/>
          <w:sz w:val="24"/>
          <w:szCs w:val="24"/>
          <w:u w:val="single"/>
        </w:rPr>
      </w:pPr>
    </w:p>
    <w:p w14:paraId="507C9C7A" w14:textId="48083547" w:rsidR="00656C86" w:rsidRPr="00656C86" w:rsidRDefault="00656C86" w:rsidP="00656C86">
      <w:pPr>
        <w:widowControl w:val="0"/>
        <w:spacing w:line="240" w:lineRule="auto"/>
        <w:contextualSpacing/>
        <w:jc w:val="both"/>
        <w:rPr>
          <w:rFonts w:ascii="Times New Roman" w:hAnsi="Times New Roman" w:cs="Times New Roman"/>
          <w:b/>
          <w:bCs/>
          <w:sz w:val="24"/>
          <w:szCs w:val="24"/>
        </w:rPr>
      </w:pPr>
      <w:r w:rsidRPr="00656C86">
        <w:rPr>
          <w:rFonts w:ascii="Times New Roman" w:hAnsi="Times New Roman" w:cs="Times New Roman"/>
          <w:b/>
          <w:bCs/>
          <w:sz w:val="24"/>
          <w:szCs w:val="24"/>
          <w:u w:val="single"/>
        </w:rPr>
        <w:t>COURT OF APPEALS NOTE:</w:t>
      </w:r>
      <w:r>
        <w:rPr>
          <w:rFonts w:ascii="Times New Roman" w:hAnsi="Times New Roman" w:cs="Times New Roman"/>
          <w:b/>
          <w:bCs/>
          <w:sz w:val="24"/>
          <w:szCs w:val="24"/>
        </w:rPr>
        <w:t xml:space="preserve"> </w:t>
      </w:r>
      <w:r w:rsidRPr="00656C86">
        <w:rPr>
          <w:rFonts w:ascii="Times New Roman" w:hAnsi="Times New Roman" w:cs="Times New Roman"/>
          <w:b/>
          <w:bCs/>
          <w:sz w:val="24"/>
          <w:szCs w:val="24"/>
        </w:rPr>
        <w:t>EVIDENCE – INSUFFICIENT FOUNDATION FOR VIDEOS</w:t>
      </w:r>
    </w:p>
    <w:p w14:paraId="755ACD7F" w14:textId="751FF498" w:rsidR="00656C86" w:rsidRDefault="00656C86" w:rsidP="00656C86">
      <w:pPr>
        <w:pStyle w:val="Heading2"/>
        <w:numPr>
          <w:ilvl w:val="0"/>
          <w:numId w:val="0"/>
        </w:numPr>
        <w:spacing w:line="240" w:lineRule="auto"/>
        <w:contextualSpacing/>
        <w:jc w:val="both"/>
        <w:rPr>
          <w:rFonts w:ascii="Times New Roman" w:hAnsi="Times New Roman" w:cs="Times New Roman"/>
        </w:rPr>
      </w:pPr>
      <w:r w:rsidRPr="00656C86">
        <w:rPr>
          <w:rFonts w:ascii="Times New Roman" w:hAnsi="Times New Roman" w:cs="Times New Roman"/>
          <w:b/>
          <w:bCs/>
        </w:rPr>
        <w:tab/>
      </w:r>
      <w:r w:rsidRPr="00656C86">
        <w:rPr>
          <w:rFonts w:ascii="Times New Roman" w:hAnsi="Times New Roman" w:cs="Times New Roman"/>
        </w:rPr>
        <w:t xml:space="preserve">In </w:t>
      </w:r>
      <w:r w:rsidRPr="00656C86">
        <w:rPr>
          <w:rFonts w:ascii="Times New Roman" w:hAnsi="Times New Roman" w:cs="Times New Roman"/>
          <w:b/>
          <w:bCs/>
          <w:i/>
          <w:iCs/>
        </w:rPr>
        <w:t>Matter of M.S. (M.H.),</w:t>
      </w:r>
      <w:r w:rsidRPr="00656C86">
        <w:rPr>
          <w:rFonts w:ascii="Times New Roman" w:hAnsi="Times New Roman" w:cs="Times New Roman"/>
        </w:rPr>
        <w:t xml:space="preserve"> 2026 Westlaw</w:t>
      </w:r>
      <w:r w:rsidR="00E055B5">
        <w:rPr>
          <w:rFonts w:ascii="Times New Roman" w:hAnsi="Times New Roman" w:cs="Times New Roman"/>
        </w:rPr>
        <w:t xml:space="preserve"> 436359</w:t>
      </w:r>
      <w:r w:rsidRPr="00656C86">
        <w:rPr>
          <w:rFonts w:ascii="Times New Roman" w:hAnsi="Times New Roman" w:cs="Times New Roman"/>
        </w:rPr>
        <w:t xml:space="preserve"> (Feb. 17, 2026), Erie County DSS filed petitions in February 2022 against the mother and her former live-in boyfriend, alleging that they abused her children, based upon 3 videos taken in May, June and July 2019 when her daughter was 14, showing the boyfriend to be engaged in sexual contact with the daughter. The videos were discovered in an FBI investigation, during which a search warrant was </w:t>
      </w:r>
      <w:proofErr w:type="gramStart"/>
      <w:r w:rsidRPr="00656C86">
        <w:rPr>
          <w:rFonts w:ascii="Times New Roman" w:hAnsi="Times New Roman" w:cs="Times New Roman"/>
        </w:rPr>
        <w:t>executed</w:t>
      </w:r>
      <w:proofErr w:type="gramEnd"/>
      <w:r w:rsidRPr="00656C86">
        <w:rPr>
          <w:rFonts w:ascii="Times New Roman" w:hAnsi="Times New Roman" w:cs="Times New Roman"/>
        </w:rPr>
        <w:t xml:space="preserve"> on B.W., who lived in Syracuse and told an agent that he had hacked into home security cameras later identified as being in the boyfriend’s home. Family Court admitted the videos, found the mother and boyfriend had committed abuse, and the Appellate Division affirmed (229 AD3d 1040 [4</w:t>
      </w:r>
      <w:r w:rsidRPr="00656C86">
        <w:rPr>
          <w:rFonts w:ascii="Times New Roman" w:hAnsi="Times New Roman" w:cs="Times New Roman"/>
          <w:vertAlign w:val="superscript"/>
        </w:rPr>
        <w:t>th</w:t>
      </w:r>
      <w:r w:rsidRPr="00656C86">
        <w:rPr>
          <w:rFonts w:ascii="Times New Roman" w:hAnsi="Times New Roman" w:cs="Times New Roman"/>
        </w:rPr>
        <w:t xml:space="preserve"> Dept. 2024]), holding that any uncertainty about the videos went to weight, not admissibility. The Court of Appeals granted leave to appeal, reversed (4-3) the Appellate Division, and dismissed the abuse petitions, holding “the foundation offered for the videos was insufficient, *** [and] Family Court erred in admitting the videos into evidence ***.”</w:t>
      </w:r>
    </w:p>
    <w:p w14:paraId="69A85F08" w14:textId="43CB9D35" w:rsidR="00C83062" w:rsidRDefault="0025657B" w:rsidP="00656C86">
      <w:pPr>
        <w:pStyle w:val="Heading2"/>
        <w:numPr>
          <w:ilvl w:val="0"/>
          <w:numId w:val="0"/>
        </w:numPr>
        <w:spacing w:line="240" w:lineRule="auto"/>
        <w:contextualSpacing/>
        <w:jc w:val="both"/>
        <w:rPr>
          <w:rFonts w:ascii="Verdana" w:hAnsi="Verdana" w:cs="Times New Roman"/>
          <w:b/>
          <w:bCs/>
        </w:rPr>
      </w:pPr>
      <w:r>
        <w:rPr>
          <w:rFonts w:ascii="Verdana" w:hAnsi="Verdana" w:cs="Times New Roman"/>
          <w:b/>
          <w:bCs/>
        </w:rPr>
        <w:t xml:space="preserve"> </w:t>
      </w:r>
    </w:p>
    <w:p w14:paraId="10B57372" w14:textId="08DE8232" w:rsidR="00727698" w:rsidRPr="0052053C" w:rsidRDefault="00727698" w:rsidP="00727698">
      <w:pPr>
        <w:pStyle w:val="Heading2"/>
        <w:numPr>
          <w:ilvl w:val="0"/>
          <w:numId w:val="0"/>
        </w:numPr>
      </w:pPr>
      <w:r>
        <w:rPr>
          <w:rFonts w:ascii="Times New Roman" w:hAnsi="Times New Roman" w:cs="Times New Roman"/>
          <w:b/>
          <w:bCs/>
        </w:rPr>
        <w:t>Agreements</w:t>
      </w:r>
      <w:r w:rsidRPr="00786D22">
        <w:rPr>
          <w:rFonts w:ascii="Times New Roman" w:hAnsi="Times New Roman" w:cs="Times New Roman"/>
          <w:b/>
          <w:bCs/>
        </w:rPr>
        <w:t xml:space="preserve"> - Maintenance – DRL 248</w:t>
      </w:r>
      <w:r w:rsidR="00700D68">
        <w:rPr>
          <w:rFonts w:ascii="Times New Roman" w:hAnsi="Times New Roman" w:cs="Times New Roman"/>
          <w:b/>
          <w:bCs/>
        </w:rPr>
        <w:t>, Contempt Denied, Counsel Fees Granted</w:t>
      </w:r>
    </w:p>
    <w:p w14:paraId="26D7C630" w14:textId="30C07781" w:rsidR="00727698" w:rsidRDefault="00727698" w:rsidP="0072769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786D22">
        <w:rPr>
          <w:rFonts w:ascii="Times New Roman" w:hAnsi="Times New Roman" w:cs="Times New Roman"/>
          <w:b/>
          <w:bCs/>
          <w:i/>
          <w:iCs/>
        </w:rPr>
        <w:t>L</w:t>
      </w:r>
      <w:r w:rsidR="00700D68">
        <w:rPr>
          <w:rFonts w:ascii="Times New Roman" w:hAnsi="Times New Roman" w:cs="Times New Roman"/>
          <w:b/>
          <w:bCs/>
          <w:i/>
          <w:iCs/>
        </w:rPr>
        <w:t>l</w:t>
      </w:r>
      <w:r w:rsidRPr="00786D22">
        <w:rPr>
          <w:rFonts w:ascii="Times New Roman" w:hAnsi="Times New Roman" w:cs="Times New Roman"/>
          <w:b/>
          <w:bCs/>
          <w:i/>
          <w:iCs/>
        </w:rPr>
        <w:t>era v. L</w:t>
      </w:r>
      <w:r w:rsidR="00700D68">
        <w:rPr>
          <w:rFonts w:ascii="Times New Roman" w:hAnsi="Times New Roman" w:cs="Times New Roman"/>
          <w:b/>
          <w:bCs/>
          <w:i/>
          <w:iCs/>
        </w:rPr>
        <w:t>l</w:t>
      </w:r>
      <w:r w:rsidRPr="00786D22">
        <w:rPr>
          <w:rFonts w:ascii="Times New Roman" w:hAnsi="Times New Roman" w:cs="Times New Roman"/>
          <w:b/>
          <w:bCs/>
          <w:i/>
          <w:iCs/>
        </w:rPr>
        <w:t>era</w:t>
      </w:r>
      <w:r>
        <w:rPr>
          <w:rFonts w:ascii="Times New Roman" w:hAnsi="Times New Roman" w:cs="Times New Roman"/>
        </w:rPr>
        <w:t>, 2026 Westlaw</w:t>
      </w:r>
      <w:r w:rsidR="00700D68">
        <w:rPr>
          <w:rFonts w:ascii="Times New Roman" w:hAnsi="Times New Roman" w:cs="Times New Roman"/>
        </w:rPr>
        <w:t xml:space="preserve"> 530478 </w:t>
      </w:r>
      <w:r>
        <w:rPr>
          <w:rFonts w:ascii="Times New Roman" w:hAnsi="Times New Roman" w:cs="Times New Roman"/>
        </w:rPr>
        <w:t>(3d Dept. Feb. 26, 2026), both parties appealed from a January 2025 Supreme Court order which denied the former husband’s (husband) August 2024 motion to terminate maintenance (an April 2023 motion therefor was withdrawn)</w:t>
      </w:r>
      <w:r w:rsidR="00700D68">
        <w:rPr>
          <w:rFonts w:ascii="Times New Roman" w:hAnsi="Times New Roman" w:cs="Times New Roman"/>
        </w:rPr>
        <w:t>,</w:t>
      </w:r>
      <w:r>
        <w:rPr>
          <w:rFonts w:ascii="Times New Roman" w:hAnsi="Times New Roman" w:cs="Times New Roman"/>
        </w:rPr>
        <w:t xml:space="preserve"> granted counsel fees to the wife, </w:t>
      </w:r>
      <w:r w:rsidR="00700D68">
        <w:rPr>
          <w:rFonts w:ascii="Times New Roman" w:hAnsi="Times New Roman" w:cs="Times New Roman"/>
        </w:rPr>
        <w:t xml:space="preserve">and </w:t>
      </w:r>
      <w:r>
        <w:rPr>
          <w:rFonts w:ascii="Times New Roman" w:hAnsi="Times New Roman" w:cs="Times New Roman"/>
        </w:rPr>
        <w:t>denied the former wife’s (wife) motion to hold the husband in contempt.  The parties’ December 2022 written agreement was incorporated into a February 2023 judgment of divorce and provided maintenance would terminate upon the wife’s “cohabitation as defined in Domestic Relations Law [§] 248.” The agreement also required the husband to pay the wife additional maintenance, defined as shares of his net bonuses. The wife moved into her boyfriend’s residence a few days after signing the agreement. The Third Department affirmed, holding that any ambiguity in the agreement, which caused the husband to argue that only the cohabitation provision of DRL 248 applied, and that the “holding out” requirement was not intended, was resolved against him upon consideration of his affidavit which “indicated that the husband shared the wife’s understanding of the cohabitation provision as incorporating both conditions in” DRL 248. The Third Department affirmed Supreme Court’s denial of the wife’s contempt motion, concluding: “In light of the ambiguity of the cohabitation provision – which is now resolved – along with the wife’s concession to habitually living with her boyfriend, we cannot say that there was an unequivocal mandate to make maintenance payments until both of [DRL 248’s] conditions were met.” The Court upheld the counsel fee award, holding that “the husband’s shifting interpretations of the cohabitation provisions, the wife’s vindication of her right to maintenance payments and the disparity in the parties’ financial circumstances *** all militate in favor of a discretionary award of counsel fees pursuant to” DRL 237(b).</w:t>
      </w:r>
    </w:p>
    <w:p w14:paraId="70E7BDFB" w14:textId="77777777" w:rsidR="00727698" w:rsidRDefault="00727698" w:rsidP="00727698">
      <w:pPr>
        <w:pStyle w:val="Heading2"/>
        <w:numPr>
          <w:ilvl w:val="0"/>
          <w:numId w:val="0"/>
        </w:numPr>
        <w:spacing w:line="240" w:lineRule="auto"/>
        <w:jc w:val="both"/>
        <w:rPr>
          <w:rFonts w:ascii="Times New Roman" w:hAnsi="Times New Roman" w:cs="Times New Roman"/>
        </w:rPr>
      </w:pPr>
    </w:p>
    <w:p w14:paraId="40437710" w14:textId="77777777" w:rsidR="00786D22" w:rsidRDefault="00786D22" w:rsidP="00727698">
      <w:pPr>
        <w:pStyle w:val="Heading2"/>
        <w:numPr>
          <w:ilvl w:val="0"/>
          <w:numId w:val="0"/>
        </w:numPr>
        <w:spacing w:line="240" w:lineRule="auto"/>
        <w:jc w:val="both"/>
        <w:rPr>
          <w:rFonts w:ascii="Times New Roman" w:hAnsi="Times New Roman" w:cs="Times New Roman"/>
          <w:b/>
          <w:bCs/>
        </w:rPr>
      </w:pPr>
    </w:p>
    <w:p w14:paraId="4E4FC7CB" w14:textId="773B7D32" w:rsidR="005A6258" w:rsidRDefault="005A6258" w:rsidP="00727698">
      <w:pPr>
        <w:pStyle w:val="Heading2"/>
        <w:numPr>
          <w:ilvl w:val="0"/>
          <w:numId w:val="0"/>
        </w:numPr>
        <w:spacing w:line="240" w:lineRule="auto"/>
        <w:jc w:val="both"/>
        <w:rPr>
          <w:rFonts w:ascii="Times New Roman" w:hAnsi="Times New Roman" w:cs="Times New Roman"/>
          <w:b/>
          <w:bCs/>
        </w:rPr>
      </w:pPr>
      <w:r w:rsidRPr="005A6258">
        <w:rPr>
          <w:rFonts w:ascii="Times New Roman" w:hAnsi="Times New Roman" w:cs="Times New Roman"/>
          <w:b/>
          <w:bCs/>
        </w:rPr>
        <w:lastRenderedPageBreak/>
        <w:t>Child Support - Arbitration Award to Age 24 – Confirmed</w:t>
      </w:r>
    </w:p>
    <w:p w14:paraId="3F7433D9" w14:textId="77777777" w:rsidR="00727698" w:rsidRPr="005A6258" w:rsidRDefault="00727698" w:rsidP="00727698">
      <w:pPr>
        <w:pStyle w:val="Heading2"/>
        <w:numPr>
          <w:ilvl w:val="0"/>
          <w:numId w:val="0"/>
        </w:numPr>
        <w:spacing w:line="240" w:lineRule="auto"/>
        <w:jc w:val="both"/>
        <w:rPr>
          <w:rFonts w:ascii="Times New Roman" w:hAnsi="Times New Roman" w:cs="Times New Roman"/>
          <w:b/>
          <w:bCs/>
        </w:rPr>
      </w:pPr>
    </w:p>
    <w:p w14:paraId="3017DB02" w14:textId="76F029CB" w:rsidR="005A6258" w:rsidRDefault="005A6258" w:rsidP="005A6258">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proofErr w:type="spellStart"/>
      <w:r w:rsidRPr="005A6258">
        <w:rPr>
          <w:rFonts w:ascii="Times New Roman" w:hAnsi="Times New Roman" w:cs="Times New Roman"/>
          <w:b/>
          <w:bCs/>
          <w:i/>
          <w:iCs/>
        </w:rPr>
        <w:t>Kairey</w:t>
      </w:r>
      <w:proofErr w:type="spellEnd"/>
      <w:r w:rsidRPr="005A6258">
        <w:rPr>
          <w:rFonts w:ascii="Times New Roman" w:hAnsi="Times New Roman" w:cs="Times New Roman"/>
          <w:b/>
          <w:bCs/>
          <w:i/>
          <w:iCs/>
        </w:rPr>
        <w:t xml:space="preserve"> v. Hirsch</w:t>
      </w:r>
      <w:r>
        <w:rPr>
          <w:rFonts w:ascii="Times New Roman" w:hAnsi="Times New Roman" w:cs="Times New Roman"/>
        </w:rPr>
        <w:t xml:space="preserve">, </w:t>
      </w:r>
      <w:r w:rsidR="00C929EF">
        <w:rPr>
          <w:rFonts w:ascii="Times New Roman" w:hAnsi="Times New Roman" w:cs="Times New Roman"/>
        </w:rPr>
        <w:t xml:space="preserve">247 NYS3d 752 </w:t>
      </w:r>
      <w:r>
        <w:rPr>
          <w:rFonts w:ascii="Times New Roman" w:hAnsi="Times New Roman" w:cs="Times New Roman"/>
        </w:rPr>
        <w:t xml:space="preserve">(2d Dept. Feb. 11, 2026), the wife appealed from a July 2023 Judgment of Divorce which, upon a December 2020 Order of the same Court, denied so much of her motion pursuant to CPLR 7510 to confirm an arbitration award directing the husband to pay child support until the child’s age 24.  The parties were married in November 2013 and agreed in November 2017 to submit to binding arbitration before a Bet Din on issues including child support. The Bet Din issued an award in May 2018, as amended in February 2019 which, among other things, determined that the husband was to pay child support until the child’s age 24. The wife commenced an action for divorce in June 2018. The Judgment of Divorce modified the arbitration award and directed that child support </w:t>
      </w:r>
      <w:proofErr w:type="gramStart"/>
      <w:r>
        <w:rPr>
          <w:rFonts w:ascii="Times New Roman" w:hAnsi="Times New Roman" w:cs="Times New Roman"/>
        </w:rPr>
        <w:t>terminate</w:t>
      </w:r>
      <w:proofErr w:type="gramEnd"/>
      <w:r>
        <w:rPr>
          <w:rFonts w:ascii="Times New Roman" w:hAnsi="Times New Roman" w:cs="Times New Roman"/>
        </w:rPr>
        <w:t xml:space="preserve"> upon the child’s age 21. The Second Department reversed, </w:t>
      </w:r>
      <w:proofErr w:type="gramStart"/>
      <w:r>
        <w:rPr>
          <w:rFonts w:ascii="Times New Roman" w:hAnsi="Times New Roman" w:cs="Times New Roman"/>
        </w:rPr>
        <w:t>on</w:t>
      </w:r>
      <w:proofErr w:type="gramEnd"/>
      <w:r>
        <w:rPr>
          <w:rFonts w:ascii="Times New Roman" w:hAnsi="Times New Roman" w:cs="Times New Roman"/>
        </w:rPr>
        <w:t xml:space="preserve"> the law, granted the wife’s motion to confirm the arbitration award, and remitted to Supreme Court for entry of an Amended Judgment. The Appellate Division held: “Outside of the narrowly circumscribed exceptions of CPLR 7511, courts lack authority to review arbitral decisions, even where an arbitrator has made an error of law or fact (internal quotation marks and citation omitted).” The Court noted further that “[a]n arbitration award concerning child support may be vacated on public policy grounds if it fails to comply with the *** CSSA (citations omitted) and is not in the best interests of the child (citations omitted).” The Second Department concluded that “Supreme Court erred in modifying the arbitration award, as the *** [same] is not incompatible with the objectives of the CSSA, and there is no evidence in the record that the arbitration award is not in the best interest of the child (citation omitted).”</w:t>
      </w:r>
    </w:p>
    <w:p w14:paraId="23065ABE" w14:textId="77777777" w:rsidR="005A6258" w:rsidRDefault="005A6258" w:rsidP="005A6258">
      <w:pPr>
        <w:pStyle w:val="Heading1"/>
        <w:numPr>
          <w:ilvl w:val="0"/>
          <w:numId w:val="0"/>
        </w:numPr>
        <w:spacing w:line="240" w:lineRule="auto"/>
        <w:contextualSpacing/>
        <w:jc w:val="both"/>
        <w:rPr>
          <w:rFonts w:ascii="Times New Roman" w:hAnsi="Times New Roman" w:cs="Times New Roman"/>
        </w:rPr>
      </w:pPr>
    </w:p>
    <w:p w14:paraId="2764A0C7" w14:textId="77777777" w:rsidR="00727698" w:rsidRDefault="00727698" w:rsidP="00727698">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Child Support </w:t>
      </w:r>
      <w:r w:rsidRPr="00727698">
        <w:rPr>
          <w:rFonts w:ascii="Times New Roman" w:hAnsi="Times New Roman" w:cs="Times New Roman"/>
          <w:b/>
          <w:bCs/>
        </w:rPr>
        <w:t>– CSSA – Imputed Income – Tax Return; Failure to Provide Disclosure; Retirement Claim Rejected</w:t>
      </w:r>
    </w:p>
    <w:p w14:paraId="7C3BFC6D" w14:textId="77777777" w:rsidR="00727698" w:rsidRDefault="00727698" w:rsidP="00727698">
      <w:pPr>
        <w:pStyle w:val="Heading2"/>
        <w:numPr>
          <w:ilvl w:val="0"/>
          <w:numId w:val="0"/>
        </w:numPr>
        <w:spacing w:line="240" w:lineRule="auto"/>
        <w:jc w:val="both"/>
        <w:rPr>
          <w:rFonts w:ascii="Times New Roman" w:hAnsi="Times New Roman" w:cs="Times New Roman"/>
        </w:rPr>
      </w:pPr>
    </w:p>
    <w:p w14:paraId="29319471" w14:textId="68AC1138" w:rsidR="00727698" w:rsidRDefault="00727698" w:rsidP="00727698">
      <w:pPr>
        <w:pStyle w:val="Heading2"/>
        <w:numPr>
          <w:ilvl w:val="0"/>
          <w:numId w:val="0"/>
        </w:numPr>
        <w:tabs>
          <w:tab w:val="clear" w:pos="720"/>
          <w:tab w:val="left" w:pos="630"/>
        </w:tabs>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727698">
        <w:rPr>
          <w:rFonts w:ascii="Times New Roman" w:hAnsi="Times New Roman" w:cs="Times New Roman"/>
          <w:b/>
          <w:bCs/>
          <w:i/>
          <w:iCs/>
        </w:rPr>
        <w:t>Matter of Stanley v. Lomax</w:t>
      </w:r>
      <w:r>
        <w:rPr>
          <w:rFonts w:ascii="Times New Roman" w:hAnsi="Times New Roman" w:cs="Times New Roman"/>
        </w:rPr>
        <w:t>, 2026 Westlaw</w:t>
      </w:r>
      <w:r w:rsidR="00E055B5">
        <w:rPr>
          <w:rFonts w:ascii="Times New Roman" w:hAnsi="Times New Roman" w:cs="Times New Roman"/>
        </w:rPr>
        <w:t xml:space="preserve"> 452273</w:t>
      </w:r>
      <w:r>
        <w:rPr>
          <w:rFonts w:ascii="Times New Roman" w:hAnsi="Times New Roman" w:cs="Times New Roman"/>
        </w:rPr>
        <w:t xml:space="preserve"> (2d Dept. Feb. 18, 2026), the father appealed from a March 2025 Family Court order, denying his objections to an October 2024 Support Magistrate order which, after a hearing upon the mother’s June 2023 petition, directed him based upon imputed income, to pay the mother $2,028 monthly toward the support of the parties’ 2 children. The Second Department affirmed, holding that the amount imputed as income was properly “derived from the father’s [2022] federal tax return transcript” while noting that he “failed to provide requested financial documentation to Family Court and merely claimed that he had retired in May 2023 without corroboration.”</w:t>
      </w:r>
    </w:p>
    <w:p w14:paraId="351F80F5" w14:textId="77777777" w:rsidR="00727698" w:rsidRDefault="00727698" w:rsidP="005A6258">
      <w:pPr>
        <w:pStyle w:val="Heading2"/>
        <w:numPr>
          <w:ilvl w:val="0"/>
          <w:numId w:val="0"/>
        </w:numPr>
        <w:tabs>
          <w:tab w:val="clear" w:pos="720"/>
          <w:tab w:val="left" w:pos="630"/>
        </w:tabs>
        <w:spacing w:line="240" w:lineRule="auto"/>
        <w:contextualSpacing/>
        <w:jc w:val="both"/>
        <w:rPr>
          <w:rFonts w:ascii="Times New Roman" w:hAnsi="Times New Roman" w:cs="Times New Roman"/>
          <w:b/>
          <w:bCs/>
        </w:rPr>
      </w:pPr>
    </w:p>
    <w:p w14:paraId="51D5EE0A" w14:textId="7E023105" w:rsidR="005A6258" w:rsidRDefault="005A6258" w:rsidP="005A6258">
      <w:pPr>
        <w:pStyle w:val="Heading2"/>
        <w:numPr>
          <w:ilvl w:val="0"/>
          <w:numId w:val="0"/>
        </w:numPr>
        <w:tabs>
          <w:tab w:val="clear" w:pos="720"/>
          <w:tab w:val="left" w:pos="630"/>
        </w:tabs>
        <w:spacing w:line="240" w:lineRule="auto"/>
        <w:contextualSpacing/>
        <w:jc w:val="both"/>
        <w:rPr>
          <w:rFonts w:ascii="Times New Roman" w:hAnsi="Times New Roman" w:cs="Times New Roman"/>
          <w:b/>
          <w:bCs/>
        </w:rPr>
      </w:pPr>
      <w:r w:rsidRPr="005A6258">
        <w:rPr>
          <w:rFonts w:ascii="Times New Roman" w:hAnsi="Times New Roman" w:cs="Times New Roman"/>
          <w:b/>
          <w:bCs/>
        </w:rPr>
        <w:t xml:space="preserve">Child Support – UIFSA Registration Vacatur Denied – Personal Jurisdiction </w:t>
      </w:r>
      <w:proofErr w:type="gramStart"/>
      <w:r w:rsidRPr="005A6258">
        <w:rPr>
          <w:rFonts w:ascii="Times New Roman" w:hAnsi="Times New Roman" w:cs="Times New Roman"/>
          <w:b/>
          <w:bCs/>
        </w:rPr>
        <w:t>Defense;</w:t>
      </w:r>
      <w:proofErr w:type="gramEnd"/>
      <w:r w:rsidRPr="005A6258">
        <w:rPr>
          <w:rFonts w:ascii="Times New Roman" w:hAnsi="Times New Roman" w:cs="Times New Roman"/>
          <w:b/>
          <w:bCs/>
        </w:rPr>
        <w:t xml:space="preserve"> Law of the Case</w:t>
      </w:r>
    </w:p>
    <w:p w14:paraId="1AE7CF33" w14:textId="77777777" w:rsidR="005A6258" w:rsidRPr="005A6258" w:rsidRDefault="005A6258" w:rsidP="005A6258">
      <w:pPr>
        <w:pStyle w:val="Heading2"/>
        <w:numPr>
          <w:ilvl w:val="0"/>
          <w:numId w:val="0"/>
        </w:numPr>
        <w:tabs>
          <w:tab w:val="clear" w:pos="720"/>
          <w:tab w:val="left" w:pos="630"/>
        </w:tabs>
        <w:spacing w:line="240" w:lineRule="auto"/>
        <w:contextualSpacing/>
        <w:jc w:val="both"/>
        <w:rPr>
          <w:rFonts w:ascii="Times New Roman" w:hAnsi="Times New Roman" w:cs="Times New Roman"/>
          <w:b/>
          <w:bCs/>
        </w:rPr>
      </w:pPr>
    </w:p>
    <w:p w14:paraId="25CF2C21" w14:textId="77777777" w:rsidR="005A6258" w:rsidRDefault="005A6258" w:rsidP="005A6258">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5A6258">
        <w:rPr>
          <w:rFonts w:ascii="Times New Roman" w:hAnsi="Times New Roman" w:cs="Times New Roman"/>
          <w:b/>
          <w:bCs/>
          <w:i/>
          <w:iCs/>
        </w:rPr>
        <w:t>Matter of Singh v. Harry</w:t>
      </w:r>
      <w:r>
        <w:rPr>
          <w:rFonts w:ascii="Times New Roman" w:hAnsi="Times New Roman" w:cs="Times New Roman"/>
        </w:rPr>
        <w:t>, 2026 Westlaw 376696 (2d Dept. Feb. 11, 2026), the father appealed from a June 2024 Family Court Order denying his objections to an April 2024 Support Magistrate Order which, after a hearing, denied his motion to vacate the August 2022 registration of a final July 2007 Canadian Order directing him to pay child support to the custodial maternal grandmother. The Second Department affirmed, noting that the father’s personal jurisdiction objection to a June 2017 registration of an August 2006 temporary order of the same Canadian Court was dismissed by the Support Magistrate, upheld on objections by Family Court and affirmed. (</w:t>
      </w:r>
      <w:r w:rsidRPr="00C7674F">
        <w:rPr>
          <w:rFonts w:ascii="Times New Roman" w:hAnsi="Times New Roman" w:cs="Times New Roman"/>
          <w:u w:val="single"/>
        </w:rPr>
        <w:t>Matter of Harry v. Singh</w:t>
      </w:r>
      <w:r>
        <w:rPr>
          <w:rFonts w:ascii="Times New Roman" w:hAnsi="Times New Roman" w:cs="Times New Roman"/>
        </w:rPr>
        <w:t xml:space="preserve">, 192 AD3d 1106 [2d Dept. 2021]). The Appellate Division noted that its aforesaid 2021 determination is “the law of the case [and] forecloses re-examination </w:t>
      </w:r>
      <w:r>
        <w:rPr>
          <w:rFonts w:ascii="Times New Roman" w:hAnsi="Times New Roman" w:cs="Times New Roman"/>
        </w:rPr>
        <w:lastRenderedPageBreak/>
        <w:t>of that issue (citations omitted).” As to the UIFSA registration at issue on this appeal, the Court held that where, as is here the case, the father did not establish any of the defenses enumerated in FCA 580-607(a), the trial court “is required by statute to confirm the registered foreign support order,” citing FCA 580-607(c).</w:t>
      </w:r>
    </w:p>
    <w:p w14:paraId="5E600DD2" w14:textId="77777777" w:rsidR="00656C86" w:rsidRDefault="00656C86" w:rsidP="005A6258">
      <w:pPr>
        <w:pStyle w:val="Heading1"/>
        <w:numPr>
          <w:ilvl w:val="0"/>
          <w:numId w:val="0"/>
        </w:numPr>
        <w:spacing w:line="240" w:lineRule="auto"/>
        <w:contextualSpacing/>
        <w:jc w:val="both"/>
        <w:rPr>
          <w:rFonts w:ascii="Times New Roman" w:hAnsi="Times New Roman" w:cs="Times New Roman"/>
        </w:rPr>
      </w:pPr>
    </w:p>
    <w:p w14:paraId="4E79A7D1" w14:textId="033CDDD3" w:rsidR="00656C86" w:rsidRDefault="00656C86" w:rsidP="00656C86">
      <w:pPr>
        <w:pStyle w:val="Heading2"/>
        <w:numPr>
          <w:ilvl w:val="0"/>
          <w:numId w:val="0"/>
        </w:numPr>
        <w:spacing w:line="240" w:lineRule="auto"/>
        <w:jc w:val="both"/>
        <w:rPr>
          <w:rFonts w:ascii="Times New Roman" w:hAnsi="Times New Roman" w:cs="Times New Roman"/>
          <w:b/>
          <w:bCs/>
        </w:rPr>
      </w:pPr>
      <w:r w:rsidRPr="00656C86">
        <w:rPr>
          <w:rFonts w:ascii="Times New Roman" w:hAnsi="Times New Roman" w:cs="Times New Roman"/>
          <w:b/>
          <w:bCs/>
        </w:rPr>
        <w:t>Counsel Fees - Enforcement – Vacated – Far Exceeding Amount in Controversy; Enforcement – Add-on Expenses</w:t>
      </w:r>
    </w:p>
    <w:p w14:paraId="680C9677" w14:textId="77777777" w:rsidR="00656C86" w:rsidRPr="00656C86" w:rsidRDefault="00656C86" w:rsidP="00656C86">
      <w:pPr>
        <w:pStyle w:val="Heading2"/>
        <w:numPr>
          <w:ilvl w:val="0"/>
          <w:numId w:val="0"/>
        </w:numPr>
        <w:spacing w:line="240" w:lineRule="auto"/>
        <w:jc w:val="both"/>
        <w:rPr>
          <w:rFonts w:ascii="Times New Roman" w:hAnsi="Times New Roman" w:cs="Times New Roman"/>
          <w:b/>
          <w:bCs/>
        </w:rPr>
      </w:pPr>
    </w:p>
    <w:p w14:paraId="47EFB968" w14:textId="73A5325E" w:rsidR="00656C86" w:rsidRDefault="00656C86" w:rsidP="00656C86">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56C86">
        <w:rPr>
          <w:rFonts w:ascii="Times New Roman" w:hAnsi="Times New Roman" w:cs="Times New Roman"/>
          <w:b/>
          <w:bCs/>
          <w:i/>
          <w:iCs/>
        </w:rPr>
        <w:t>O’Hagan v. Robertson,</w:t>
      </w:r>
      <w:r>
        <w:rPr>
          <w:rFonts w:ascii="Times New Roman" w:hAnsi="Times New Roman" w:cs="Times New Roman"/>
        </w:rPr>
        <w:t xml:space="preserve"> 2026 Westlaw</w:t>
      </w:r>
      <w:r w:rsidR="00E055B5">
        <w:rPr>
          <w:rFonts w:ascii="Times New Roman" w:hAnsi="Times New Roman" w:cs="Times New Roman"/>
        </w:rPr>
        <w:t xml:space="preserve"> 437670</w:t>
      </w:r>
      <w:r>
        <w:rPr>
          <w:rFonts w:ascii="Times New Roman" w:hAnsi="Times New Roman" w:cs="Times New Roman"/>
        </w:rPr>
        <w:t xml:space="preserve"> (1</w:t>
      </w:r>
      <w:r w:rsidRPr="006638B1">
        <w:rPr>
          <w:rFonts w:ascii="Times New Roman" w:hAnsi="Times New Roman" w:cs="Times New Roman"/>
          <w:vertAlign w:val="superscript"/>
        </w:rPr>
        <w:t>st</w:t>
      </w:r>
      <w:r>
        <w:rPr>
          <w:rFonts w:ascii="Times New Roman" w:hAnsi="Times New Roman" w:cs="Times New Roman"/>
        </w:rPr>
        <w:t xml:space="preserve"> Dept. Feb. 17, 2026), the wife appealed from a November 2024 Supreme Court order, which granted the husband’s motion to enforce $25,000 in add-on expenses for tutoring and summer programs, to be paid by the wife pursuant to a 2022 so-ordered settlement agreement, and directed her to pay him counsel fees of $35,000. The First Department modified, </w:t>
      </w:r>
      <w:proofErr w:type="gramStart"/>
      <w:r>
        <w:rPr>
          <w:rFonts w:ascii="Times New Roman" w:hAnsi="Times New Roman" w:cs="Times New Roman"/>
        </w:rPr>
        <w:t>on</w:t>
      </w:r>
      <w:proofErr w:type="gramEnd"/>
      <w:r>
        <w:rPr>
          <w:rFonts w:ascii="Times New Roman" w:hAnsi="Times New Roman" w:cs="Times New Roman"/>
        </w:rPr>
        <w:t xml:space="preserve"> the law, vacated the counsel fee award and remanded for further proceedings upon the issue of reasonable fees, and otherwise affirmed. The Appellate Division held that the agreement clearly “required the wife to pay 100% of certain add-on expenses without any language conditioning her obligation on her agreement to specific programs, provided that the expenses fell within</w:t>
      </w:r>
      <w:r w:rsidR="00C929EF">
        <w:rPr>
          <w:rFonts w:ascii="Times New Roman" w:hAnsi="Times New Roman" w:cs="Times New Roman"/>
        </w:rPr>
        <w:t xml:space="preserve"> </w:t>
      </w:r>
      <w:r>
        <w:rPr>
          <w:rFonts w:ascii="Times New Roman" w:hAnsi="Times New Roman" w:cs="Times New Roman"/>
        </w:rPr>
        <w:t>the listed categories.” The Court concluded upon the issue of counsel fees: the “amount far exceeded the amount in controversy, and the award included billing entries for work unrelated to the motion”; the agreement permits recovery of fees “only where a party incurs fees for bringing a motion where a proper notice of default is provided, and the husband failed to provide the wife with such a notice”; and the husband “does not dispute that the matter involved straightforward legal issues and a limited amount in controversy, and he does not give a satisfactory explanation as to why the analysis of discrete issues of default required more than 22 hours to prepare.”</w:t>
      </w:r>
    </w:p>
    <w:p w14:paraId="07A3BE77" w14:textId="77777777" w:rsidR="005A6258" w:rsidRDefault="005A6258" w:rsidP="005A6258">
      <w:pPr>
        <w:pStyle w:val="Heading1"/>
        <w:numPr>
          <w:ilvl w:val="0"/>
          <w:numId w:val="0"/>
        </w:numPr>
        <w:spacing w:line="240" w:lineRule="auto"/>
        <w:contextualSpacing/>
        <w:jc w:val="both"/>
        <w:rPr>
          <w:rFonts w:ascii="Times New Roman" w:hAnsi="Times New Roman" w:cs="Times New Roman"/>
        </w:rPr>
      </w:pPr>
    </w:p>
    <w:p w14:paraId="37B70E46" w14:textId="77777777" w:rsidR="005A6258" w:rsidRPr="005A6258" w:rsidRDefault="005A6258" w:rsidP="005A6258">
      <w:pPr>
        <w:pStyle w:val="Heading2"/>
        <w:numPr>
          <w:ilvl w:val="0"/>
          <w:numId w:val="0"/>
        </w:numPr>
        <w:jc w:val="both"/>
        <w:rPr>
          <w:b/>
          <w:bCs/>
        </w:rPr>
      </w:pPr>
      <w:r w:rsidRPr="005A6258">
        <w:rPr>
          <w:rFonts w:ascii="Times New Roman" w:hAnsi="Times New Roman" w:cs="Times New Roman"/>
          <w:b/>
          <w:bCs/>
        </w:rPr>
        <w:t>Custody - Modification – Dismissal Without Hearing Reversed</w:t>
      </w:r>
    </w:p>
    <w:p w14:paraId="232BEEDA" w14:textId="77777777" w:rsidR="005A6258" w:rsidRDefault="005A6258" w:rsidP="005A6258">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5A6258">
        <w:rPr>
          <w:rFonts w:ascii="Times New Roman" w:hAnsi="Times New Roman" w:cs="Times New Roman"/>
          <w:b/>
          <w:bCs/>
          <w:i/>
          <w:iCs/>
        </w:rPr>
        <w:t xml:space="preserve">Matter of </w:t>
      </w:r>
      <w:proofErr w:type="spellStart"/>
      <w:r w:rsidRPr="005A6258">
        <w:rPr>
          <w:rFonts w:ascii="Times New Roman" w:hAnsi="Times New Roman" w:cs="Times New Roman"/>
          <w:b/>
          <w:bCs/>
          <w:i/>
          <w:iCs/>
        </w:rPr>
        <w:t>Farco</w:t>
      </w:r>
      <w:proofErr w:type="spellEnd"/>
      <w:r w:rsidRPr="005A6258">
        <w:rPr>
          <w:rFonts w:ascii="Times New Roman" w:hAnsi="Times New Roman" w:cs="Times New Roman"/>
          <w:b/>
          <w:bCs/>
          <w:i/>
          <w:iCs/>
        </w:rPr>
        <w:t xml:space="preserve"> v. </w:t>
      </w:r>
      <w:proofErr w:type="spellStart"/>
      <w:r w:rsidRPr="005A6258">
        <w:rPr>
          <w:rFonts w:ascii="Times New Roman" w:hAnsi="Times New Roman" w:cs="Times New Roman"/>
          <w:b/>
          <w:bCs/>
          <w:i/>
          <w:iCs/>
        </w:rPr>
        <w:t>Farco</w:t>
      </w:r>
      <w:proofErr w:type="spellEnd"/>
      <w:r>
        <w:rPr>
          <w:rFonts w:ascii="Times New Roman" w:hAnsi="Times New Roman" w:cs="Times New Roman"/>
        </w:rPr>
        <w:t>, 2026 Westlaw 376854 (2d Dept. Feb. 11, 2026), the father  (pro se) appealed from October 2024 Family Court orders which prohibited him from filing any additional custody petitions without the Court’s prior written permission and which, without a hearing, dismissed his September 2024 petition to modify a December 2021 consent order (primary to father) so as to award him sole custody. The mother at the same time petitioned to modify the December 2021 order, seeking an increase in her time and decision-making authority. The Second Department deemed the father’s notice of appeal from the petition prohibition order to be a motion for leave to appeal, granted the same, and reversed, on the law and in the exercise of discretion, holding that “there is no basis in the record to demonstrate that the father filed frivolous motions or petitions or filed motions or petitions out of ill will or spite (citations omitted).” The Appellate Division reversed the order of dismissal on the law, reinstated the father’s petition and remitted to Family Court for a hearing, determining that: the father’s allegations “were supported by the requisite threshold evidentiary showing, [and] demonstrated factual issues so as to require a hearing on *** best interests”; showed “that since the 2021 order ***, the mother’s mental health had deteriorated such that the existing custody arrangement may no longer be in the child’s best interests *** and the mother had willfully forfeited scheduled parental access ***”; and “[b]</w:t>
      </w:r>
      <w:proofErr w:type="spellStart"/>
      <w:r>
        <w:rPr>
          <w:rFonts w:ascii="Times New Roman" w:hAnsi="Times New Roman" w:cs="Times New Roman"/>
        </w:rPr>
        <w:t>ecause</w:t>
      </w:r>
      <w:proofErr w:type="spellEnd"/>
      <w:r>
        <w:rPr>
          <w:rFonts w:ascii="Times New Roman" w:hAnsi="Times New Roman" w:cs="Times New Roman"/>
        </w:rPr>
        <w:t xml:space="preserve"> facts material to the best interests analysis *** remain in dispute, a hearing is required (citations omitted).”</w:t>
      </w:r>
    </w:p>
    <w:p w14:paraId="5587539F" w14:textId="77777777" w:rsidR="005A6258" w:rsidRDefault="005A6258" w:rsidP="005A6258">
      <w:pPr>
        <w:pStyle w:val="Heading1"/>
        <w:numPr>
          <w:ilvl w:val="0"/>
          <w:numId w:val="0"/>
        </w:numPr>
        <w:spacing w:line="240" w:lineRule="auto"/>
        <w:contextualSpacing/>
        <w:jc w:val="both"/>
        <w:rPr>
          <w:rFonts w:ascii="Times New Roman" w:hAnsi="Times New Roman" w:cs="Times New Roman"/>
        </w:rPr>
      </w:pPr>
    </w:p>
    <w:p w14:paraId="07016F1F" w14:textId="77777777" w:rsidR="005A6258" w:rsidRPr="00E0408D" w:rsidRDefault="005A6258" w:rsidP="00E0408D">
      <w:pPr>
        <w:pStyle w:val="Heading2"/>
        <w:numPr>
          <w:ilvl w:val="0"/>
          <w:numId w:val="0"/>
        </w:numPr>
        <w:jc w:val="both"/>
        <w:rPr>
          <w:b/>
          <w:bCs/>
        </w:rPr>
      </w:pPr>
      <w:r w:rsidRPr="00E0408D">
        <w:rPr>
          <w:rFonts w:ascii="Times New Roman" w:hAnsi="Times New Roman" w:cs="Times New Roman"/>
          <w:b/>
          <w:bCs/>
        </w:rPr>
        <w:lastRenderedPageBreak/>
        <w:t>Custody – Modification - Primary to Father – Children Late to School with Mother</w:t>
      </w:r>
    </w:p>
    <w:p w14:paraId="62A20A55" w14:textId="359B04A5" w:rsidR="00E0408D" w:rsidRDefault="005A6258" w:rsidP="005A6258">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0408D">
        <w:rPr>
          <w:rFonts w:ascii="Times New Roman" w:hAnsi="Times New Roman" w:cs="Times New Roman"/>
          <w:b/>
          <w:bCs/>
          <w:i/>
          <w:iCs/>
        </w:rPr>
        <w:t>Matter of Hernandez v. McGowan</w:t>
      </w:r>
      <w:r>
        <w:rPr>
          <w:rFonts w:ascii="Times New Roman" w:hAnsi="Times New Roman" w:cs="Times New Roman"/>
        </w:rPr>
        <w:t>, 2026 Westlaw 379621 (4</w:t>
      </w:r>
      <w:r w:rsidRPr="00F274CD">
        <w:rPr>
          <w:rFonts w:ascii="Times New Roman" w:hAnsi="Times New Roman" w:cs="Times New Roman"/>
          <w:vertAlign w:val="superscript"/>
        </w:rPr>
        <w:t>th</w:t>
      </w:r>
      <w:r>
        <w:rPr>
          <w:rFonts w:ascii="Times New Roman" w:hAnsi="Times New Roman" w:cs="Times New Roman"/>
        </w:rPr>
        <w:t xml:space="preserve"> Dept. Feb. 11, 2026), the mother appealed from a September 2024 Family Court order</w:t>
      </w:r>
      <w:r w:rsidR="00C929EF">
        <w:rPr>
          <w:rFonts w:ascii="Times New Roman" w:hAnsi="Times New Roman" w:cs="Times New Roman"/>
        </w:rPr>
        <w:t>,</w:t>
      </w:r>
      <w:r>
        <w:rPr>
          <w:rFonts w:ascii="Times New Roman" w:hAnsi="Times New Roman" w:cs="Times New Roman"/>
        </w:rPr>
        <w:t xml:space="preserve"> which modified a prior order by granting the father “primary physical residency of the subject child for educational purposes and *** residency of the child on school nights during the school year.” The Fourth Department affirmed, noting that there is no dispute over changed circumstances, given that both parties filed for modification, and holding that “the mother repeatedly failed to ensure that the child arrived at school on time, despite the fact that, at the time, the mother did not work in the mornings on many of the days that the child was late.</w:t>
      </w:r>
      <w:r w:rsidR="00E0408D">
        <w:rPr>
          <w:rFonts w:ascii="Times New Roman" w:hAnsi="Times New Roman" w:cs="Times New Roman"/>
        </w:rPr>
        <w:t xml:space="preserve">” </w:t>
      </w:r>
      <w:bookmarkStart w:id="0" w:name="_Hlk222125590"/>
      <w:r w:rsidR="00E0408D">
        <w:rPr>
          <w:rFonts w:ascii="Times New Roman" w:hAnsi="Times New Roman" w:cs="Times New Roman"/>
        </w:rPr>
        <w:t>The Appellate Division concluded that “it is in the child’s best interests to modify the custody arrangements so that the child could remain in the school district in which the father lived and to provide the mother with reduced parenting time during the school year and increased parenting time when school was not in session (internal quotation marks, brackets and citation omitted).”</w:t>
      </w:r>
      <w:bookmarkEnd w:id="0"/>
    </w:p>
    <w:p w14:paraId="39FB1682" w14:textId="77777777" w:rsidR="00E0408D" w:rsidRDefault="00E0408D" w:rsidP="005A6258">
      <w:pPr>
        <w:pStyle w:val="Heading1"/>
        <w:numPr>
          <w:ilvl w:val="0"/>
          <w:numId w:val="0"/>
        </w:numPr>
        <w:spacing w:line="240" w:lineRule="auto"/>
        <w:contextualSpacing/>
        <w:jc w:val="both"/>
        <w:rPr>
          <w:rFonts w:ascii="Times New Roman" w:hAnsi="Times New Roman" w:cs="Times New Roman"/>
        </w:rPr>
      </w:pPr>
    </w:p>
    <w:p w14:paraId="0FC07C84" w14:textId="32585286" w:rsidR="00E0408D" w:rsidRPr="00E0408D" w:rsidRDefault="00E0408D" w:rsidP="005A6258">
      <w:pPr>
        <w:pStyle w:val="Heading1"/>
        <w:numPr>
          <w:ilvl w:val="0"/>
          <w:numId w:val="0"/>
        </w:numPr>
        <w:spacing w:line="240" w:lineRule="auto"/>
        <w:contextualSpacing/>
        <w:jc w:val="both"/>
        <w:rPr>
          <w:rFonts w:ascii="Times New Roman" w:hAnsi="Times New Roman" w:cs="Times New Roman"/>
          <w:b/>
          <w:bCs/>
        </w:rPr>
      </w:pPr>
      <w:r w:rsidRPr="00E0408D">
        <w:rPr>
          <w:rFonts w:ascii="Times New Roman" w:hAnsi="Times New Roman" w:cs="Times New Roman"/>
          <w:b/>
          <w:bCs/>
        </w:rPr>
        <w:t>Custody – Relocation (FL) – Denied</w:t>
      </w:r>
    </w:p>
    <w:p w14:paraId="41AA26BD" w14:textId="77777777" w:rsidR="00E0408D" w:rsidRDefault="00E0408D" w:rsidP="005A6258">
      <w:pPr>
        <w:pStyle w:val="Heading1"/>
        <w:numPr>
          <w:ilvl w:val="0"/>
          <w:numId w:val="0"/>
        </w:numPr>
        <w:spacing w:line="240" w:lineRule="auto"/>
        <w:contextualSpacing/>
        <w:jc w:val="both"/>
        <w:rPr>
          <w:rFonts w:ascii="Times New Roman" w:hAnsi="Times New Roman" w:cs="Times New Roman"/>
        </w:rPr>
      </w:pPr>
    </w:p>
    <w:p w14:paraId="19A5104F" w14:textId="2F7903B3" w:rsidR="00E0408D" w:rsidRDefault="00E0408D" w:rsidP="005A6258">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0408D">
        <w:rPr>
          <w:rFonts w:ascii="Times New Roman" w:hAnsi="Times New Roman" w:cs="Times New Roman"/>
          <w:b/>
          <w:bCs/>
          <w:i/>
          <w:iCs/>
        </w:rPr>
        <w:t xml:space="preserve">Matter of Villani v. </w:t>
      </w:r>
      <w:proofErr w:type="spellStart"/>
      <w:r w:rsidRPr="00E0408D">
        <w:rPr>
          <w:rFonts w:ascii="Times New Roman" w:hAnsi="Times New Roman" w:cs="Times New Roman"/>
          <w:b/>
          <w:bCs/>
          <w:i/>
          <w:iCs/>
        </w:rPr>
        <w:t>Wendig</w:t>
      </w:r>
      <w:proofErr w:type="spellEnd"/>
      <w:r>
        <w:rPr>
          <w:rFonts w:ascii="Times New Roman" w:hAnsi="Times New Roman" w:cs="Times New Roman"/>
        </w:rPr>
        <w:t>, 2026 Westlaw 380085 (4</w:t>
      </w:r>
      <w:r w:rsidRPr="00CD1CFD">
        <w:rPr>
          <w:rFonts w:ascii="Times New Roman" w:hAnsi="Times New Roman" w:cs="Times New Roman"/>
          <w:vertAlign w:val="superscript"/>
        </w:rPr>
        <w:t>th</w:t>
      </w:r>
      <w:r>
        <w:rPr>
          <w:rFonts w:ascii="Times New Roman" w:hAnsi="Times New Roman" w:cs="Times New Roman"/>
        </w:rPr>
        <w:t xml:space="preserve"> Dept. Feb. 11, 2026), the mother appealed from a January 2025 Family Court order which, after a hearing, denied her petition to relocate to Florida with her fiancé and the parties’ daughter. The Fourth Department affirmed, holding that the mother “failed to establish that the child’s life would be enhanced economically, emotionally and educationally by the proposed relocation (internal quotation marks and citations omitted),” and finding that “the child has lived in New York her whole life,</w:t>
      </w:r>
      <w:r w:rsidR="00C929EF">
        <w:rPr>
          <w:rFonts w:ascii="Times New Roman" w:hAnsi="Times New Roman" w:cs="Times New Roman"/>
        </w:rPr>
        <w:t xml:space="preserve"> </w:t>
      </w:r>
      <w:r>
        <w:rPr>
          <w:rFonts w:ascii="Times New Roman" w:hAnsi="Times New Roman" w:cs="Times New Roman"/>
        </w:rPr>
        <w:t>*** and engaged in activities that were not available in Florida.” The Appellate Division noted: the father “owns his own business and home, whereas the mother does not own her own home and has not worked since 2018, when she separated from the father”; any emotional enrichment “would come at the expense of her relationship with the father”; “allowing the mother to relocate the child to Florida would also separate her from her sibling – who lives with the father in New York”; the mother “failed to offer any proof from which the court reasonably could conclude that the Florida school system was a significant improvement over the school system in New York (internal quotations marks, brackets and citations omitted)”; and the mother’s “need for a fresh start, standing alone is insufficient to warrant relocation.”</w:t>
      </w:r>
    </w:p>
    <w:p w14:paraId="5A949634" w14:textId="77777777" w:rsidR="00E0408D" w:rsidRDefault="00E0408D" w:rsidP="005A6258">
      <w:pPr>
        <w:pStyle w:val="Heading1"/>
        <w:numPr>
          <w:ilvl w:val="0"/>
          <w:numId w:val="0"/>
        </w:numPr>
        <w:spacing w:line="240" w:lineRule="auto"/>
        <w:contextualSpacing/>
        <w:jc w:val="both"/>
        <w:rPr>
          <w:rFonts w:ascii="Times New Roman" w:hAnsi="Times New Roman" w:cs="Times New Roman"/>
        </w:rPr>
      </w:pPr>
    </w:p>
    <w:p w14:paraId="41B52013" w14:textId="736B339E" w:rsidR="00E0408D" w:rsidRPr="00E0408D" w:rsidRDefault="00E0408D" w:rsidP="005A6258">
      <w:pPr>
        <w:pStyle w:val="Heading1"/>
        <w:numPr>
          <w:ilvl w:val="0"/>
          <w:numId w:val="0"/>
        </w:numPr>
        <w:spacing w:line="240" w:lineRule="auto"/>
        <w:contextualSpacing/>
        <w:jc w:val="both"/>
        <w:rPr>
          <w:rFonts w:ascii="Times New Roman" w:hAnsi="Times New Roman" w:cs="Times New Roman"/>
          <w:b/>
          <w:bCs/>
        </w:rPr>
      </w:pPr>
      <w:r w:rsidRPr="00E0408D">
        <w:rPr>
          <w:rFonts w:ascii="Times New Roman" w:hAnsi="Times New Roman" w:cs="Times New Roman"/>
          <w:b/>
          <w:bCs/>
        </w:rPr>
        <w:t xml:space="preserve">Custody – Third Party (Grandmother) </w:t>
      </w:r>
      <w:r>
        <w:rPr>
          <w:rFonts w:ascii="Times New Roman" w:hAnsi="Times New Roman" w:cs="Times New Roman"/>
          <w:b/>
          <w:bCs/>
        </w:rPr>
        <w:t>– Standing Dismissal Reversed</w:t>
      </w:r>
    </w:p>
    <w:p w14:paraId="6F031F60" w14:textId="77777777" w:rsidR="00E0408D" w:rsidRDefault="00E0408D" w:rsidP="005A6258">
      <w:pPr>
        <w:pStyle w:val="Heading1"/>
        <w:numPr>
          <w:ilvl w:val="0"/>
          <w:numId w:val="0"/>
        </w:numPr>
        <w:spacing w:line="240" w:lineRule="auto"/>
        <w:contextualSpacing/>
        <w:jc w:val="both"/>
        <w:rPr>
          <w:rFonts w:ascii="Times New Roman" w:hAnsi="Times New Roman" w:cs="Times New Roman"/>
        </w:rPr>
      </w:pPr>
    </w:p>
    <w:p w14:paraId="1AE0580D" w14:textId="2C62FB12" w:rsidR="00E0408D" w:rsidRDefault="00E0408D" w:rsidP="005A6258">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0408D">
        <w:rPr>
          <w:rFonts w:ascii="Times New Roman" w:hAnsi="Times New Roman" w:cs="Times New Roman"/>
          <w:b/>
          <w:bCs/>
          <w:i/>
          <w:iCs/>
        </w:rPr>
        <w:t>Matter of Craig v. Thomas</w:t>
      </w:r>
      <w:r>
        <w:rPr>
          <w:rFonts w:ascii="Times New Roman" w:hAnsi="Times New Roman" w:cs="Times New Roman"/>
        </w:rPr>
        <w:t>, 2026 Westlaw 380257 (4</w:t>
      </w:r>
      <w:r w:rsidRPr="00A317C2">
        <w:rPr>
          <w:rFonts w:ascii="Times New Roman" w:hAnsi="Times New Roman" w:cs="Times New Roman"/>
          <w:vertAlign w:val="superscript"/>
        </w:rPr>
        <w:t>th</w:t>
      </w:r>
      <w:r>
        <w:rPr>
          <w:rFonts w:ascii="Times New Roman" w:hAnsi="Times New Roman" w:cs="Times New Roman"/>
        </w:rPr>
        <w:t xml:space="preserve"> Dept. Feb. 11, 2026), the maternal grandmother and father filed petitions in September 2023, seeking custody of the father’s twin girls following the death of the mother. The grandmother appealed from September 2024 Family Court order, which, after a hearing, dismissed her petition for failure to establish extraordinary circumstances and granted custody to the father. The Fourth Department reversed, on the law, reinstated the grandmother’s petition and remitted for further proceedings, holding that the grandmother met her burden of establishing extraordinary circumstances and finding: the father was arrested and incarcerated until 2022, and the children resided with the mother in the grandmother’s home until October 2021 when the grandmother moved out; the father “never saw the children while he was incarcerated, rarely spoke with them, and never sent them cards, letters or gifts”; “[w]hen the father was released from incarceration, the mother asked him to take custody </w:t>
      </w:r>
      <w:r>
        <w:rPr>
          <w:rFonts w:ascii="Times New Roman" w:hAnsi="Times New Roman" w:cs="Times New Roman"/>
        </w:rPr>
        <w:lastRenderedPageBreak/>
        <w:t>of the children, which he did starting in July or August 2022”; the mother died less than a year later, and the children lived with the grandmother during the summer of 2023; and from September 2023 when the petitions were filed and the court granted the grandmother temporary custody with visitation to the father, “until the conclusion of the hearing in July 2024, the father did not visit with the children and rarely communicated with them.”</w:t>
      </w:r>
    </w:p>
    <w:p w14:paraId="1F562AA1" w14:textId="77777777" w:rsidR="00F4263C" w:rsidRDefault="00F4263C" w:rsidP="005A6258">
      <w:pPr>
        <w:pStyle w:val="Heading1"/>
        <w:numPr>
          <w:ilvl w:val="0"/>
          <w:numId w:val="0"/>
        </w:numPr>
        <w:spacing w:line="240" w:lineRule="auto"/>
        <w:contextualSpacing/>
        <w:jc w:val="both"/>
        <w:rPr>
          <w:rFonts w:ascii="Times New Roman" w:hAnsi="Times New Roman" w:cs="Times New Roman"/>
        </w:rPr>
      </w:pPr>
    </w:p>
    <w:p w14:paraId="3C3BE7CF" w14:textId="77777777" w:rsidR="00F4263C" w:rsidRDefault="00F4263C" w:rsidP="00F4263C">
      <w:pPr>
        <w:pStyle w:val="Heading2"/>
        <w:numPr>
          <w:ilvl w:val="0"/>
          <w:numId w:val="0"/>
        </w:numPr>
        <w:spacing w:line="240" w:lineRule="auto"/>
        <w:jc w:val="both"/>
        <w:rPr>
          <w:rFonts w:ascii="Times New Roman" w:hAnsi="Times New Roman" w:cs="Times New Roman"/>
          <w:b/>
          <w:bCs/>
        </w:rPr>
      </w:pPr>
      <w:r w:rsidRPr="00F4263C">
        <w:rPr>
          <w:rFonts w:ascii="Times New Roman" w:hAnsi="Times New Roman" w:cs="Times New Roman"/>
          <w:b/>
          <w:bCs/>
        </w:rPr>
        <w:t>Custody - UCCJEA - Modification – Exchange Location – Granted, Jurisdiction Retained; Visitation Enforcement Denied – No Unequivocal Mandate</w:t>
      </w:r>
    </w:p>
    <w:p w14:paraId="5A460A73" w14:textId="77777777" w:rsidR="00F4263C" w:rsidRPr="00F4263C" w:rsidRDefault="00F4263C" w:rsidP="00F4263C">
      <w:pPr>
        <w:pStyle w:val="Heading2"/>
        <w:numPr>
          <w:ilvl w:val="0"/>
          <w:numId w:val="0"/>
        </w:numPr>
        <w:spacing w:line="240" w:lineRule="auto"/>
        <w:jc w:val="both"/>
        <w:rPr>
          <w:rFonts w:ascii="Times New Roman" w:hAnsi="Times New Roman" w:cs="Times New Roman"/>
          <w:b/>
          <w:bCs/>
        </w:rPr>
      </w:pPr>
    </w:p>
    <w:p w14:paraId="7FC39169" w14:textId="19E3CE3B" w:rsidR="00F4263C" w:rsidRDefault="00F4263C" w:rsidP="00F4263C">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F4263C">
        <w:rPr>
          <w:rFonts w:ascii="Times New Roman" w:hAnsi="Times New Roman" w:cs="Times New Roman"/>
          <w:b/>
          <w:bCs/>
          <w:i/>
          <w:iCs/>
        </w:rPr>
        <w:t>Matter of D.B. v. S.P.,</w:t>
      </w:r>
      <w:r>
        <w:rPr>
          <w:rFonts w:ascii="Times New Roman" w:hAnsi="Times New Roman" w:cs="Times New Roman"/>
        </w:rPr>
        <w:t xml:space="preserve"> </w:t>
      </w:r>
      <w:r w:rsidR="00E055B5">
        <w:rPr>
          <w:rFonts w:ascii="Times New Roman" w:hAnsi="Times New Roman" w:cs="Times New Roman"/>
        </w:rPr>
        <w:t xml:space="preserve">2026 Westlaw 467522 </w:t>
      </w:r>
      <w:r>
        <w:rPr>
          <w:rFonts w:ascii="Times New Roman" w:hAnsi="Times New Roman" w:cs="Times New Roman"/>
        </w:rPr>
        <w:t>(1</w:t>
      </w:r>
      <w:r w:rsidRPr="004B4BB4">
        <w:rPr>
          <w:rFonts w:ascii="Times New Roman" w:hAnsi="Times New Roman" w:cs="Times New Roman"/>
          <w:vertAlign w:val="superscript"/>
        </w:rPr>
        <w:t>st</w:t>
      </w:r>
      <w:r>
        <w:rPr>
          <w:rFonts w:ascii="Times New Roman" w:hAnsi="Times New Roman" w:cs="Times New Roman"/>
        </w:rPr>
        <w:t xml:space="preserve"> Dept. Feb. 19, 2026), the mother appealed from a February 2025 Family Court order, which retained jurisdiction over the father’s petitions to enforce and modify a September 2022 custody order, granted modification to the extent of designating a new exchange location, and denied the father’s enforcement petition with prejudice. The First Department affirmed, holding that “Family Court properly retained jurisdiction over the father’s modification and enforcement petitions because the child moved to Connecticut only a year before the petition was filed, and he continued to have a significant connection to New York, including monthly visits with the father and the paternal grandmother in the Bronx,” citing DRL 76-a(1)(a). The Appellate Division determined that Family Court “properly exercised jurisdiction over the petitions at issue but declined to exercise continuing exclusive jurisdiction over the matter,” holding that the mother’s move to Connecticut was a change of circumstances, and concluding that “the court’s directive that visitation exchanges would begin in Norwalk, Connecticut and end at the paternal grandmother’s home in the Bronx is in the child’s best interests (citations omitted).” The First Department noted: the parents’ “arguments opposing the order reflect that their primary concern is their own convenience rather than what is in the child’s best interests”; and the father’s argument “that the court failed to adequately consider the mother’s intransigence and noncompliance with its orders is also unavailing, as the court’s primary concern is the child’s best interests, and its role is not to punish one parent or the other for poor behavior.” Upon the issue of enforcement, the underlying order stated that the father “may have” certain visitation upon 2 weeks’ notice to the mother in writing, which was permissive and not an unequivocal mandate upon which a willful violation could be premised.</w:t>
      </w:r>
    </w:p>
    <w:p w14:paraId="096E5DDE" w14:textId="77777777" w:rsidR="00656C86" w:rsidRDefault="00656C86" w:rsidP="005A6258">
      <w:pPr>
        <w:pStyle w:val="Heading1"/>
        <w:numPr>
          <w:ilvl w:val="0"/>
          <w:numId w:val="0"/>
        </w:numPr>
        <w:spacing w:line="240" w:lineRule="auto"/>
        <w:contextualSpacing/>
        <w:jc w:val="both"/>
        <w:rPr>
          <w:rFonts w:ascii="Times New Roman" w:hAnsi="Times New Roman" w:cs="Times New Roman"/>
        </w:rPr>
      </w:pPr>
    </w:p>
    <w:p w14:paraId="6CD291C1" w14:textId="77777777" w:rsidR="00656C86" w:rsidRPr="00656C86" w:rsidRDefault="00656C86" w:rsidP="00656C86">
      <w:pPr>
        <w:pStyle w:val="Heading2"/>
        <w:numPr>
          <w:ilvl w:val="0"/>
          <w:numId w:val="0"/>
        </w:numPr>
        <w:jc w:val="both"/>
        <w:rPr>
          <w:b/>
          <w:bCs/>
        </w:rPr>
      </w:pPr>
      <w:r w:rsidRPr="00656C86">
        <w:rPr>
          <w:rFonts w:ascii="Times New Roman" w:hAnsi="Times New Roman" w:cs="Times New Roman"/>
          <w:b/>
          <w:bCs/>
        </w:rPr>
        <w:t>Enforcement - Education Expenses – Collateral Attack Rejected; Willfulness Found</w:t>
      </w:r>
    </w:p>
    <w:p w14:paraId="11D68675" w14:textId="7A3897CD" w:rsidR="00656C86" w:rsidRDefault="00656C86" w:rsidP="00656C86">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56C86">
        <w:rPr>
          <w:rFonts w:ascii="Times New Roman" w:hAnsi="Times New Roman" w:cs="Times New Roman"/>
          <w:b/>
          <w:bCs/>
          <w:i/>
          <w:iCs/>
        </w:rPr>
        <w:t>Matter of N.G. v. J.C.E.,</w:t>
      </w:r>
      <w:r>
        <w:rPr>
          <w:rFonts w:ascii="Times New Roman" w:hAnsi="Times New Roman" w:cs="Times New Roman"/>
        </w:rPr>
        <w:t xml:space="preserve"> 2026 Westlaw</w:t>
      </w:r>
      <w:r w:rsidR="00E055B5">
        <w:rPr>
          <w:rFonts w:ascii="Times New Roman" w:hAnsi="Times New Roman" w:cs="Times New Roman"/>
        </w:rPr>
        <w:t xml:space="preserve"> 437656 </w:t>
      </w:r>
      <w:r>
        <w:rPr>
          <w:rFonts w:ascii="Times New Roman" w:hAnsi="Times New Roman" w:cs="Times New Roman"/>
        </w:rPr>
        <w:t>(1</w:t>
      </w:r>
      <w:r w:rsidRPr="003A6D89">
        <w:rPr>
          <w:rFonts w:ascii="Times New Roman" w:hAnsi="Times New Roman" w:cs="Times New Roman"/>
          <w:vertAlign w:val="superscript"/>
        </w:rPr>
        <w:t>st</w:t>
      </w:r>
      <w:r>
        <w:rPr>
          <w:rFonts w:ascii="Times New Roman" w:hAnsi="Times New Roman" w:cs="Times New Roman"/>
        </w:rPr>
        <w:t xml:space="preserve"> Dept. Feb. 17, 2026), the father appealed from a February 2025 Family Court order, denying his objections to December 2024 and January 2025 Support Magistrate orders which determined he willfully failed to comply with his obligation to 60% of the children’s educational expenses. The First Department affirmed, holding that Family Court “correctly denied the father’s objections and rejected his attempts to collaterally attack a judgment of divorce [and incorporated stipulation] rendered by Supreme Court years earlier.”  The Appellate Division concluded: “Any challenge to the enforceability of the judgment of divorce based on the provisions of the Child Support Standards Act should have been timely brought in Supreme Court” and “the father’s objections do not otherwise dispute the Support Magistrate’s findings with respect to the educational expenses he owes ***.”</w:t>
      </w:r>
    </w:p>
    <w:p w14:paraId="65054B15" w14:textId="77777777" w:rsidR="00F4263C" w:rsidRDefault="00F4263C" w:rsidP="00656C86">
      <w:pPr>
        <w:pStyle w:val="Heading1"/>
        <w:numPr>
          <w:ilvl w:val="0"/>
          <w:numId w:val="0"/>
        </w:numPr>
        <w:spacing w:line="240" w:lineRule="auto"/>
        <w:contextualSpacing/>
        <w:jc w:val="both"/>
        <w:rPr>
          <w:rFonts w:ascii="Times New Roman" w:hAnsi="Times New Roman" w:cs="Times New Roman"/>
        </w:rPr>
      </w:pPr>
    </w:p>
    <w:p w14:paraId="4F960881" w14:textId="77777777" w:rsidR="00786D22" w:rsidRDefault="00786D22" w:rsidP="00F4263C">
      <w:pPr>
        <w:pStyle w:val="Heading2"/>
        <w:numPr>
          <w:ilvl w:val="0"/>
          <w:numId w:val="0"/>
        </w:numPr>
        <w:spacing w:line="240" w:lineRule="auto"/>
        <w:jc w:val="both"/>
        <w:rPr>
          <w:rFonts w:ascii="Times New Roman" w:hAnsi="Times New Roman" w:cs="Times New Roman"/>
          <w:b/>
          <w:bCs/>
        </w:rPr>
      </w:pPr>
    </w:p>
    <w:p w14:paraId="23B244FE" w14:textId="17F93C96" w:rsidR="00F4263C" w:rsidRDefault="00F4263C" w:rsidP="00F4263C">
      <w:pPr>
        <w:pStyle w:val="Heading2"/>
        <w:numPr>
          <w:ilvl w:val="0"/>
          <w:numId w:val="0"/>
        </w:numPr>
        <w:spacing w:line="240" w:lineRule="auto"/>
        <w:jc w:val="both"/>
        <w:rPr>
          <w:rFonts w:ascii="Times New Roman" w:hAnsi="Times New Roman" w:cs="Times New Roman"/>
          <w:b/>
          <w:bCs/>
        </w:rPr>
      </w:pPr>
      <w:r w:rsidRPr="00F4263C">
        <w:rPr>
          <w:rFonts w:ascii="Times New Roman" w:hAnsi="Times New Roman" w:cs="Times New Roman"/>
          <w:b/>
          <w:bCs/>
        </w:rPr>
        <w:lastRenderedPageBreak/>
        <w:t>Equitable Distribution - Debt – Not Marital</w:t>
      </w:r>
      <w:r>
        <w:rPr>
          <w:rFonts w:ascii="Times New Roman" w:hAnsi="Times New Roman" w:cs="Times New Roman"/>
          <w:b/>
          <w:bCs/>
        </w:rPr>
        <w:t>; Maintenance – Durational – Affirmed, Imputed Income</w:t>
      </w:r>
    </w:p>
    <w:p w14:paraId="2DF0ABF7" w14:textId="77777777" w:rsidR="00F4263C" w:rsidRPr="00F4263C" w:rsidRDefault="00F4263C" w:rsidP="00F4263C">
      <w:pPr>
        <w:pStyle w:val="Heading2"/>
        <w:numPr>
          <w:ilvl w:val="0"/>
          <w:numId w:val="0"/>
        </w:numPr>
        <w:spacing w:line="240" w:lineRule="auto"/>
        <w:jc w:val="both"/>
        <w:rPr>
          <w:rFonts w:ascii="Times New Roman" w:hAnsi="Times New Roman" w:cs="Times New Roman"/>
          <w:b/>
          <w:bCs/>
        </w:rPr>
      </w:pPr>
    </w:p>
    <w:p w14:paraId="0237A644" w14:textId="55319E13" w:rsidR="00F4263C" w:rsidRDefault="00F4263C" w:rsidP="00F4263C">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F4263C">
        <w:rPr>
          <w:rFonts w:ascii="Times New Roman" w:hAnsi="Times New Roman" w:cs="Times New Roman"/>
          <w:b/>
          <w:bCs/>
          <w:i/>
          <w:iCs/>
        </w:rPr>
        <w:t>Shah v. Shah</w:t>
      </w:r>
      <w:r>
        <w:rPr>
          <w:rFonts w:ascii="Times New Roman" w:hAnsi="Times New Roman" w:cs="Times New Roman"/>
        </w:rPr>
        <w:t>, 2026 Westlaw</w:t>
      </w:r>
      <w:r w:rsidR="00D51E40">
        <w:rPr>
          <w:rFonts w:ascii="Times New Roman" w:hAnsi="Times New Roman" w:cs="Times New Roman"/>
        </w:rPr>
        <w:t xml:space="preserve"> 452321</w:t>
      </w:r>
      <w:r>
        <w:rPr>
          <w:rFonts w:ascii="Times New Roman" w:hAnsi="Times New Roman" w:cs="Times New Roman"/>
        </w:rPr>
        <w:t xml:space="preserve"> (2d Dept. Feb. 18, 2026), the parties were married in November 2002 and have 4 children. The husband appealed from a September 2022 Supreme Court judgment which, following trial of the wife’s January 2019 divorce action and upon a November 2021 decision, awarded her maintenance of $452.13 per month for 3 years and failed to award him credit for loans allegedly made to him during the marriage. The Second Department affirmed, holding that Supreme Court properly imputed income to the wife of only $32,500, notwithstanding that he had consented to imputation of that sum for child support purposes only, and concluded that the amount and duration of maintenance were a provident exercise of discretion. The Appellate Division concluded that Supreme Court “properly found that the defendant failed to provide sufficient evidence demonstrating that the subject loans constituted marital debt (citations omitted).”</w:t>
      </w:r>
    </w:p>
    <w:p w14:paraId="524F6409" w14:textId="77777777" w:rsidR="00F4263C" w:rsidRDefault="00F4263C" w:rsidP="00F4263C">
      <w:pPr>
        <w:pStyle w:val="Heading1"/>
        <w:numPr>
          <w:ilvl w:val="0"/>
          <w:numId w:val="0"/>
        </w:numPr>
        <w:spacing w:line="240" w:lineRule="auto"/>
        <w:contextualSpacing/>
        <w:jc w:val="both"/>
        <w:rPr>
          <w:rFonts w:ascii="Times New Roman" w:hAnsi="Times New Roman" w:cs="Times New Roman"/>
        </w:rPr>
      </w:pPr>
    </w:p>
    <w:p w14:paraId="247C1137" w14:textId="77777777" w:rsidR="00F4263C" w:rsidRDefault="00F4263C" w:rsidP="00F4263C">
      <w:pPr>
        <w:pStyle w:val="Heading1"/>
        <w:numPr>
          <w:ilvl w:val="0"/>
          <w:numId w:val="0"/>
        </w:numPr>
        <w:spacing w:line="240" w:lineRule="auto"/>
        <w:contextualSpacing/>
        <w:jc w:val="both"/>
        <w:rPr>
          <w:rFonts w:ascii="Times New Roman" w:hAnsi="Times New Roman" w:cs="Times New Roman"/>
        </w:rPr>
      </w:pPr>
      <w:r w:rsidRPr="00F4263C">
        <w:rPr>
          <w:rFonts w:ascii="Times New Roman" w:hAnsi="Times New Roman" w:cs="Times New Roman"/>
          <w:b/>
          <w:bCs/>
        </w:rPr>
        <w:t xml:space="preserve">Equitable Distribution – Separate Property Credit – Marital Residence; Maintenance </w:t>
      </w:r>
      <w:r>
        <w:rPr>
          <w:rFonts w:ascii="Times New Roman" w:hAnsi="Times New Roman" w:cs="Times New Roman"/>
          <w:b/>
          <w:bCs/>
        </w:rPr>
        <w:t>–</w:t>
      </w:r>
      <w:r w:rsidRPr="00F4263C">
        <w:rPr>
          <w:rFonts w:ascii="Times New Roman" w:hAnsi="Times New Roman" w:cs="Times New Roman"/>
          <w:b/>
          <w:bCs/>
        </w:rPr>
        <w:t xml:space="preserve"> Durational</w:t>
      </w:r>
      <w:r w:rsidRPr="00F4263C">
        <w:rPr>
          <w:rFonts w:ascii="Times New Roman" w:hAnsi="Times New Roman" w:cs="Times New Roman"/>
        </w:rPr>
        <w:t xml:space="preserve"> </w:t>
      </w:r>
    </w:p>
    <w:p w14:paraId="7E3C14B8" w14:textId="77777777" w:rsidR="00F4263C" w:rsidRDefault="00F4263C" w:rsidP="00F4263C">
      <w:pPr>
        <w:pStyle w:val="Heading1"/>
        <w:numPr>
          <w:ilvl w:val="0"/>
          <w:numId w:val="0"/>
        </w:numPr>
        <w:spacing w:line="240" w:lineRule="auto"/>
        <w:contextualSpacing/>
        <w:jc w:val="both"/>
        <w:rPr>
          <w:rFonts w:ascii="Times New Roman" w:hAnsi="Times New Roman" w:cs="Times New Roman"/>
        </w:rPr>
      </w:pPr>
    </w:p>
    <w:p w14:paraId="66E06D38" w14:textId="0A07D797" w:rsidR="00F4263C" w:rsidRDefault="00F4263C" w:rsidP="00F4263C">
      <w:pPr>
        <w:pStyle w:val="Heading1"/>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F4263C">
        <w:rPr>
          <w:rFonts w:ascii="Times New Roman" w:hAnsi="Times New Roman" w:cs="Times New Roman"/>
          <w:b/>
          <w:bCs/>
          <w:i/>
          <w:iCs/>
        </w:rPr>
        <w:t>Vilca v. Kim</w:t>
      </w:r>
      <w:r>
        <w:rPr>
          <w:rFonts w:ascii="Times New Roman" w:hAnsi="Times New Roman" w:cs="Times New Roman"/>
        </w:rPr>
        <w:t>, 2026 Westlaw</w:t>
      </w:r>
      <w:r w:rsidR="00D51E40">
        <w:rPr>
          <w:rFonts w:ascii="Times New Roman" w:hAnsi="Times New Roman" w:cs="Times New Roman"/>
        </w:rPr>
        <w:t xml:space="preserve"> 516826</w:t>
      </w:r>
      <w:r>
        <w:rPr>
          <w:rFonts w:ascii="Times New Roman" w:hAnsi="Times New Roman" w:cs="Times New Roman"/>
        </w:rPr>
        <w:t xml:space="preserve"> (2d Dept. Feb. 25, 2026), the parties were married in June 2011. The wife appealed from a July 2023 Supreme Court amended judgment, which upon an August 2018 Referee decision rendered following trial of the husband’s May 2016 divorce action, awarded the husband a separate property credit of $226,557 toward the September 2011 purchase of the marital residence, and awarded her maintenance of only $2,400 per month for a period of only one year. The Second Department affirmed, noting: the husband’s trial testimony that “he contributed approximately $277,000 toward the down payment and related closing costs and that the majority of these funds were saved from his premarital earnings, which had been deposited into an account that was originally in his name alone”; and “the [wife’s] name was added to the account approximately two to three months prior to the closing, and *** [she] did not contribute any funds to the account.” The Appellate Division concluded: “Under the circumstances, the [husband] adduced sufficient evidence to overcome the marital property presumption with respect to these funds (citations omitted).” As to maintenance, the Second Department noted the husband’s income exceeded the statutory cap [amount unspecified]. The length of the marriage to the May 2016 filing date was about 59 months, or just under 5 years, meaning that the advisory durational guidelines would place the award in the range of 9 to 18 months. The Second Department concluded that the amount and duration of Supreme Court’s maintenance award were “a provident exercise of discretion.”</w:t>
      </w:r>
    </w:p>
    <w:p w14:paraId="393BF22D" w14:textId="77777777" w:rsidR="00E0408D" w:rsidRDefault="00E0408D" w:rsidP="005A6258">
      <w:pPr>
        <w:pStyle w:val="Heading1"/>
        <w:numPr>
          <w:ilvl w:val="0"/>
          <w:numId w:val="0"/>
        </w:numPr>
        <w:spacing w:line="240" w:lineRule="auto"/>
        <w:contextualSpacing/>
        <w:jc w:val="both"/>
        <w:rPr>
          <w:rFonts w:ascii="Times New Roman" w:hAnsi="Times New Roman" w:cs="Times New Roman"/>
        </w:rPr>
      </w:pPr>
    </w:p>
    <w:p w14:paraId="2A5A0E44" w14:textId="77777777" w:rsidR="00E0408D" w:rsidRDefault="00E0408D" w:rsidP="00E0408D">
      <w:pPr>
        <w:pStyle w:val="Heading2"/>
        <w:numPr>
          <w:ilvl w:val="0"/>
          <w:numId w:val="0"/>
        </w:numPr>
        <w:spacing w:line="240" w:lineRule="auto"/>
        <w:contextualSpacing/>
        <w:jc w:val="both"/>
        <w:rPr>
          <w:rFonts w:ascii="Times New Roman" w:hAnsi="Times New Roman" w:cs="Times New Roman"/>
          <w:b/>
          <w:bCs/>
        </w:rPr>
      </w:pPr>
      <w:r w:rsidRPr="00E0408D">
        <w:rPr>
          <w:rFonts w:ascii="Times New Roman" w:hAnsi="Times New Roman" w:cs="Times New Roman"/>
          <w:b/>
          <w:bCs/>
        </w:rPr>
        <w:t>Equitable Distribution - Separate Property – Transmutation – Premarital Residence; Equal Distribution Upheld</w:t>
      </w:r>
    </w:p>
    <w:p w14:paraId="4057BCE9" w14:textId="77777777" w:rsidR="00E0408D" w:rsidRPr="00E0408D" w:rsidRDefault="00E0408D" w:rsidP="00E0408D">
      <w:pPr>
        <w:pStyle w:val="Heading2"/>
        <w:numPr>
          <w:ilvl w:val="0"/>
          <w:numId w:val="0"/>
        </w:numPr>
        <w:spacing w:line="240" w:lineRule="auto"/>
        <w:contextualSpacing/>
        <w:jc w:val="both"/>
        <w:rPr>
          <w:rFonts w:ascii="Times New Roman" w:hAnsi="Times New Roman" w:cs="Times New Roman"/>
          <w:b/>
          <w:bCs/>
        </w:rPr>
      </w:pPr>
    </w:p>
    <w:p w14:paraId="15ABE915" w14:textId="5BE21EE4" w:rsidR="00E0408D" w:rsidRDefault="00E0408D" w:rsidP="00E0408D">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proofErr w:type="spellStart"/>
      <w:r w:rsidRPr="00E0408D">
        <w:rPr>
          <w:rFonts w:ascii="Times New Roman" w:hAnsi="Times New Roman" w:cs="Times New Roman"/>
          <w:b/>
          <w:bCs/>
          <w:i/>
          <w:iCs/>
        </w:rPr>
        <w:t>Nedd</w:t>
      </w:r>
      <w:proofErr w:type="spellEnd"/>
      <w:r w:rsidRPr="00E0408D">
        <w:rPr>
          <w:rFonts w:ascii="Times New Roman" w:hAnsi="Times New Roman" w:cs="Times New Roman"/>
          <w:b/>
          <w:bCs/>
          <w:i/>
          <w:iCs/>
        </w:rPr>
        <w:t xml:space="preserve"> v. </w:t>
      </w:r>
      <w:proofErr w:type="spellStart"/>
      <w:r w:rsidRPr="00E0408D">
        <w:rPr>
          <w:rFonts w:ascii="Times New Roman" w:hAnsi="Times New Roman" w:cs="Times New Roman"/>
          <w:b/>
          <w:bCs/>
          <w:i/>
          <w:iCs/>
        </w:rPr>
        <w:t>Nedd</w:t>
      </w:r>
      <w:proofErr w:type="spellEnd"/>
      <w:r>
        <w:rPr>
          <w:rFonts w:ascii="Times New Roman" w:hAnsi="Times New Roman" w:cs="Times New Roman"/>
        </w:rPr>
        <w:t xml:space="preserve">, 2026 Westlaw 376691 (2d Dept. Feb. 11, 2026), the parties were married in August 1995, and the husband commenced the divorce action in December 2020. Prior to </w:t>
      </w:r>
      <w:proofErr w:type="gramStart"/>
      <w:r>
        <w:rPr>
          <w:rFonts w:ascii="Times New Roman" w:hAnsi="Times New Roman" w:cs="Times New Roman"/>
        </w:rPr>
        <w:t>the marriage</w:t>
      </w:r>
      <w:proofErr w:type="gramEnd"/>
      <w:r>
        <w:rPr>
          <w:rFonts w:ascii="Times New Roman" w:hAnsi="Times New Roman" w:cs="Times New Roman"/>
        </w:rPr>
        <w:t xml:space="preserve">, the deed to the marital residence stated that the parties’ interests therein were 99% for the wife and 1% for the husband. After the marriage, a subsequent deed transferred the marital residence to the parties. Both parties contributed to the down payment upon the residence and equally shared the expenses thereof until the husband moved out in 2020. The mortgage </w:t>
      </w:r>
      <w:r>
        <w:rPr>
          <w:rFonts w:ascii="Times New Roman" w:hAnsi="Times New Roman" w:cs="Times New Roman"/>
        </w:rPr>
        <w:lastRenderedPageBreak/>
        <w:t xml:space="preserve">agreements stated that the parties were jointly </w:t>
      </w:r>
      <w:proofErr w:type="gramStart"/>
      <w:r>
        <w:rPr>
          <w:rFonts w:ascii="Times New Roman" w:hAnsi="Times New Roman" w:cs="Times New Roman"/>
        </w:rPr>
        <w:t>liable</w:t>
      </w:r>
      <w:proofErr w:type="gramEnd"/>
      <w:r>
        <w:rPr>
          <w:rFonts w:ascii="Times New Roman" w:hAnsi="Times New Roman" w:cs="Times New Roman"/>
        </w:rPr>
        <w:t xml:space="preserve"> thereupon. The wife appealed from an August 2023 Supreme Court judgment of divorce, which upon a March 2023 decision following trial, awarded the husband a 50% interest in the marital residence. The Second Department affirmed and held that the residence was “transmuted into marital property when the actions of the titled spouse demonstrate[d] *** her intent to transform the character of the property from separate to marital (citations omitted).” The Appellate Division concluded that the “appreciation in value of separate property due to the contributions or efforts of the </w:t>
      </w:r>
      <w:proofErr w:type="spellStart"/>
      <w:r>
        <w:rPr>
          <w:rFonts w:ascii="Times New Roman" w:hAnsi="Times New Roman" w:cs="Times New Roman"/>
        </w:rPr>
        <w:t>nontitled</w:t>
      </w:r>
      <w:proofErr w:type="spellEnd"/>
      <w:r>
        <w:rPr>
          <w:rFonts w:ascii="Times New Roman" w:hAnsi="Times New Roman" w:cs="Times New Roman"/>
        </w:rPr>
        <w:t xml:space="preserve"> spouse will be considered marital property” and “Supreme Court did not improvidently exercise its discretion in awarding the [husband] a 50% interest in the marital residence.”</w:t>
      </w:r>
    </w:p>
    <w:p w14:paraId="20DB9B3F" w14:textId="77777777" w:rsidR="00E0408D" w:rsidRDefault="00E0408D" w:rsidP="00E0408D">
      <w:pPr>
        <w:pStyle w:val="Heading1"/>
        <w:numPr>
          <w:ilvl w:val="0"/>
          <w:numId w:val="0"/>
        </w:numPr>
        <w:spacing w:line="240" w:lineRule="auto"/>
        <w:contextualSpacing/>
        <w:jc w:val="both"/>
        <w:rPr>
          <w:rFonts w:ascii="Times New Roman" w:hAnsi="Times New Roman" w:cs="Times New Roman"/>
        </w:rPr>
      </w:pPr>
    </w:p>
    <w:p w14:paraId="7637490D" w14:textId="77777777" w:rsidR="002501E3" w:rsidRPr="00391223" w:rsidRDefault="002501E3" w:rsidP="002501E3">
      <w:pPr>
        <w:pStyle w:val="Heading2"/>
        <w:numPr>
          <w:ilvl w:val="0"/>
          <w:numId w:val="0"/>
        </w:numPr>
        <w:jc w:val="both"/>
      </w:pPr>
      <w:r>
        <w:rPr>
          <w:rFonts w:ascii="Times New Roman" w:hAnsi="Times New Roman" w:cs="Times New Roman"/>
          <w:b/>
          <w:bCs/>
        </w:rPr>
        <w:t xml:space="preserve">Evidence </w:t>
      </w:r>
      <w:r w:rsidRPr="002501E3">
        <w:rPr>
          <w:rFonts w:ascii="Times New Roman" w:hAnsi="Times New Roman" w:cs="Times New Roman"/>
          <w:b/>
          <w:bCs/>
        </w:rPr>
        <w:t>- Admissibility of Medical Records – Article</w:t>
      </w:r>
    </w:p>
    <w:p w14:paraId="0F1A2C03" w14:textId="77777777" w:rsidR="002501E3" w:rsidRDefault="002501E3" w:rsidP="002501E3">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391223">
        <w:rPr>
          <w:rFonts w:ascii="Times New Roman" w:hAnsi="Times New Roman" w:cs="Times New Roman"/>
          <w:i/>
          <w:iCs/>
        </w:rPr>
        <w:t>see</w:t>
      </w:r>
      <w:r>
        <w:rPr>
          <w:rFonts w:ascii="Times New Roman" w:hAnsi="Times New Roman" w:cs="Times New Roman"/>
        </w:rPr>
        <w:t xml:space="preserve"> Michael J. Hutter, “Admissibility of Medical Records Update: Part II,” </w:t>
      </w:r>
      <w:r w:rsidRPr="00391223">
        <w:rPr>
          <w:rFonts w:ascii="Times New Roman" w:hAnsi="Times New Roman" w:cs="Times New Roman"/>
          <w:i/>
          <w:iCs/>
        </w:rPr>
        <w:t>NY Law Journal</w:t>
      </w:r>
      <w:r>
        <w:rPr>
          <w:rFonts w:ascii="Times New Roman" w:hAnsi="Times New Roman" w:cs="Times New Roman"/>
        </w:rPr>
        <w:t>, Feb. 17, 2026.</w:t>
      </w:r>
    </w:p>
    <w:p w14:paraId="65259FE1" w14:textId="77777777" w:rsidR="002501E3" w:rsidRDefault="002501E3" w:rsidP="002501E3">
      <w:pPr>
        <w:pStyle w:val="Heading1"/>
        <w:numPr>
          <w:ilvl w:val="0"/>
          <w:numId w:val="0"/>
        </w:numPr>
        <w:spacing w:line="240" w:lineRule="auto"/>
        <w:contextualSpacing/>
        <w:jc w:val="both"/>
        <w:rPr>
          <w:rFonts w:ascii="Times New Roman" w:hAnsi="Times New Roman" w:cs="Times New Roman"/>
        </w:rPr>
      </w:pPr>
    </w:p>
    <w:p w14:paraId="52A6826D" w14:textId="7A17264F" w:rsidR="00E0408D" w:rsidRDefault="00E0408D" w:rsidP="002501E3">
      <w:pPr>
        <w:pStyle w:val="Heading1"/>
        <w:numPr>
          <w:ilvl w:val="0"/>
          <w:numId w:val="0"/>
        </w:numPr>
        <w:spacing w:line="240" w:lineRule="auto"/>
        <w:contextualSpacing/>
        <w:jc w:val="both"/>
        <w:rPr>
          <w:rFonts w:ascii="Times New Roman" w:hAnsi="Times New Roman" w:cs="Times New Roman"/>
          <w:b/>
          <w:bCs/>
        </w:rPr>
      </w:pPr>
      <w:r w:rsidRPr="00E0408D">
        <w:rPr>
          <w:rFonts w:ascii="Times New Roman" w:hAnsi="Times New Roman" w:cs="Times New Roman"/>
          <w:b/>
          <w:bCs/>
        </w:rPr>
        <w:t>Family Offense – Harassment 2d – Not Found</w:t>
      </w:r>
    </w:p>
    <w:p w14:paraId="6A6CAC07" w14:textId="77777777" w:rsidR="00E0408D" w:rsidRDefault="00E0408D" w:rsidP="00E0408D">
      <w:pPr>
        <w:pStyle w:val="Heading1"/>
        <w:numPr>
          <w:ilvl w:val="0"/>
          <w:numId w:val="0"/>
        </w:numPr>
        <w:spacing w:line="240" w:lineRule="auto"/>
        <w:contextualSpacing/>
        <w:jc w:val="both"/>
        <w:rPr>
          <w:rFonts w:ascii="Times New Roman" w:hAnsi="Times New Roman" w:cs="Times New Roman"/>
          <w:b/>
          <w:bCs/>
        </w:rPr>
      </w:pPr>
    </w:p>
    <w:p w14:paraId="21808E66" w14:textId="63A8B8FA" w:rsidR="00E0408D" w:rsidRDefault="002F6FA9" w:rsidP="00E0408D">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00E0408D">
        <w:rPr>
          <w:rFonts w:ascii="Times New Roman" w:hAnsi="Times New Roman" w:cs="Times New Roman"/>
        </w:rPr>
        <w:t xml:space="preserve">In </w:t>
      </w:r>
      <w:r w:rsidR="00E0408D" w:rsidRPr="002F6FA9">
        <w:rPr>
          <w:rFonts w:ascii="Times New Roman" w:hAnsi="Times New Roman" w:cs="Times New Roman"/>
          <w:b/>
          <w:bCs/>
          <w:i/>
          <w:iCs/>
        </w:rPr>
        <w:t>Matter of James v. Bailey</w:t>
      </w:r>
      <w:r w:rsidR="00E0408D">
        <w:rPr>
          <w:rFonts w:ascii="Times New Roman" w:hAnsi="Times New Roman" w:cs="Times New Roman"/>
        </w:rPr>
        <w:t>,</w:t>
      </w:r>
      <w:r w:rsidR="00D2598A">
        <w:rPr>
          <w:rFonts w:ascii="Times New Roman" w:hAnsi="Times New Roman" w:cs="Times New Roman"/>
        </w:rPr>
        <w:t xml:space="preserve"> 247 NYS3d 749 </w:t>
      </w:r>
      <w:r w:rsidR="00E0408D">
        <w:rPr>
          <w:rFonts w:ascii="Times New Roman" w:hAnsi="Times New Roman" w:cs="Times New Roman"/>
        </w:rPr>
        <w:t>(2d Dept. Feb. 11, 2026), petitioner appealed from a February 2025 Family Court order which, following a hearing, dismissed her June 2024 petition alleging that he committed harassment 2d against her. The Second Department affirmed, holding that “a threatening statement [not specified] must be a true threat of intended physical harm in order to establish” harassment 2d [PL 240.26(1)]. (Internal quotation marks and citation omitted).  The Appellate Division found that “petitioner also failed to establish that the respondent’s conduct during an incident in 2009 was committed with the requisite intent to harass, annoy or alarm the petitioner (internal quotation marks and citations omitted).”</w:t>
      </w:r>
    </w:p>
    <w:p w14:paraId="4C1A93E9" w14:textId="77777777" w:rsidR="002501E3" w:rsidRDefault="002501E3" w:rsidP="00E0408D">
      <w:pPr>
        <w:pStyle w:val="Heading1"/>
        <w:numPr>
          <w:ilvl w:val="0"/>
          <w:numId w:val="0"/>
        </w:numPr>
        <w:spacing w:line="240" w:lineRule="auto"/>
        <w:contextualSpacing/>
        <w:jc w:val="both"/>
        <w:rPr>
          <w:rFonts w:ascii="Times New Roman" w:hAnsi="Times New Roman" w:cs="Times New Roman"/>
        </w:rPr>
      </w:pPr>
    </w:p>
    <w:p w14:paraId="50CD8770" w14:textId="33F5B880" w:rsidR="00F4263C" w:rsidRDefault="00F4263C" w:rsidP="00F4263C">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Name Change – Transgender Person </w:t>
      </w:r>
      <w:r w:rsidRPr="00F4263C">
        <w:rPr>
          <w:rFonts w:ascii="Times New Roman" w:hAnsi="Times New Roman" w:cs="Times New Roman"/>
          <w:b/>
          <w:bCs/>
        </w:rPr>
        <w:t>- Sealing Denial Reversed</w:t>
      </w:r>
    </w:p>
    <w:p w14:paraId="2A833DA1" w14:textId="77777777" w:rsidR="00F4263C" w:rsidRPr="00F4263C" w:rsidRDefault="00F4263C" w:rsidP="00F4263C">
      <w:pPr>
        <w:pStyle w:val="Heading2"/>
        <w:numPr>
          <w:ilvl w:val="0"/>
          <w:numId w:val="0"/>
        </w:numPr>
        <w:spacing w:line="240" w:lineRule="auto"/>
        <w:jc w:val="both"/>
        <w:rPr>
          <w:rFonts w:ascii="Times New Roman" w:hAnsi="Times New Roman" w:cs="Times New Roman"/>
          <w:b/>
          <w:bCs/>
        </w:rPr>
      </w:pPr>
    </w:p>
    <w:p w14:paraId="77D1C6B3" w14:textId="753F6653" w:rsidR="00F4263C" w:rsidRDefault="00F4263C" w:rsidP="001C799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F4263C">
        <w:rPr>
          <w:rFonts w:ascii="Times New Roman" w:hAnsi="Times New Roman" w:cs="Times New Roman"/>
          <w:b/>
          <w:bCs/>
          <w:i/>
          <w:iCs/>
        </w:rPr>
        <w:t>Matter of Abigail X.,</w:t>
      </w:r>
      <w:r>
        <w:rPr>
          <w:rFonts w:ascii="Times New Roman" w:hAnsi="Times New Roman" w:cs="Times New Roman"/>
        </w:rPr>
        <w:t xml:space="preserve"> 2026 Westlaw</w:t>
      </w:r>
      <w:r w:rsidR="00D51E40">
        <w:rPr>
          <w:rFonts w:ascii="Times New Roman" w:hAnsi="Times New Roman" w:cs="Times New Roman"/>
        </w:rPr>
        <w:t xml:space="preserve"> 530263</w:t>
      </w:r>
      <w:r>
        <w:rPr>
          <w:rFonts w:ascii="Times New Roman" w:hAnsi="Times New Roman" w:cs="Times New Roman"/>
        </w:rPr>
        <w:t xml:space="preserve"> (3d Dept. Feb. 26, 2026), petitioner, a transgender individual, appealed from a December 2024 Supreme Court order which, in a proceeding pursuant to Civil Rights Law 60, denied a request to seal court records, finding that “public interest concerns” outweighed petitioner’s safety concerns. The Third Department </w:t>
      </w:r>
      <w:proofErr w:type="gramStart"/>
      <w:r>
        <w:rPr>
          <w:rFonts w:ascii="Times New Roman" w:hAnsi="Times New Roman" w:cs="Times New Roman"/>
        </w:rPr>
        <w:t>modified, on the law</w:t>
      </w:r>
      <w:proofErr w:type="gramEnd"/>
      <w:r>
        <w:rPr>
          <w:rFonts w:ascii="Times New Roman" w:hAnsi="Times New Roman" w:cs="Times New Roman"/>
        </w:rPr>
        <w:t xml:space="preserve">, by reversing the denial of the sealing request and stating: </w:t>
      </w:r>
    </w:p>
    <w:p w14:paraId="7F8073B6" w14:textId="77777777" w:rsidR="001C7994" w:rsidRDefault="001C7994" w:rsidP="001C7994">
      <w:pPr>
        <w:pStyle w:val="Heading2"/>
        <w:numPr>
          <w:ilvl w:val="0"/>
          <w:numId w:val="0"/>
        </w:numPr>
        <w:spacing w:line="240" w:lineRule="auto"/>
        <w:jc w:val="both"/>
        <w:rPr>
          <w:rFonts w:ascii="Times New Roman" w:hAnsi="Times New Roman" w:cs="Times New Roman"/>
        </w:rPr>
      </w:pPr>
    </w:p>
    <w:p w14:paraId="59BCACAD" w14:textId="77777777" w:rsidR="001C7994" w:rsidRDefault="00F4263C" w:rsidP="001C7994">
      <w:pPr>
        <w:pStyle w:val="Heading2"/>
        <w:numPr>
          <w:ilvl w:val="0"/>
          <w:numId w:val="0"/>
        </w:numPr>
        <w:spacing w:line="240" w:lineRule="auto"/>
        <w:ind w:left="1440"/>
        <w:jc w:val="both"/>
        <w:rPr>
          <w:rFonts w:ascii="Times New Roman" w:hAnsi="Times New Roman" w:cs="Times New Roman"/>
        </w:rPr>
      </w:pPr>
      <w:r w:rsidRPr="00F844FE">
        <w:rPr>
          <w:rFonts w:ascii="Times New Roman" w:hAnsi="Times New Roman" w:cs="Times New Roman"/>
        </w:rPr>
        <w:t>We are once again confronted with the denial of a sealing request in a Civil Rights Law article 6 proceeding — by the same Supreme Court justice — predicated on amorphous "public interest concerns." As was the case in those appeals, we once again modify the order to grant petitioner's sealing request. As we recently indicated, "nothing in the statute conditions sealing the record of the name change proceeding upon an applicant's financial circumstances or the status of unrelated civil litigation" (</w:t>
      </w:r>
      <w:hyperlink r:id="rId7" w:tgtFrame="_blank" w:history="1">
        <w:r w:rsidRPr="00F844FE">
          <w:rPr>
            <w:rStyle w:val="Hyperlink"/>
            <w:rFonts w:ascii="Times New Roman" w:eastAsiaTheme="majorEastAsia" w:hAnsi="Times New Roman" w:cs="Times New Roman"/>
            <w:i/>
            <w:iCs/>
          </w:rPr>
          <w:t>Matter of Timothy C.</w:t>
        </w:r>
        <w:r w:rsidRPr="00F844FE">
          <w:rPr>
            <w:rStyle w:val="Hyperlink"/>
            <w:rFonts w:ascii="Times New Roman" w:eastAsiaTheme="majorEastAsia" w:hAnsi="Times New Roman" w:cs="Times New Roman"/>
          </w:rPr>
          <w:t>, 242 AD3d 1483</w:t>
        </w:r>
      </w:hyperlink>
      <w:r w:rsidRPr="00F844FE">
        <w:rPr>
          <w:rFonts w:ascii="Times New Roman" w:hAnsi="Times New Roman" w:cs="Times New Roman"/>
        </w:rPr>
        <w:t>, 1484 [3d Dept 2025]). Rather, "whether to grant or deny a sealing request under Civil Rights Law § 64-a depends solely upon the potential for harm to the applicant arising from public access to a court record of the applicant's name change proceeding" and "a court abuses its discretion by relying upon real or theoretical 'public interest concerns' to deny a Civil Rights Law § 64-a sealing request" (</w:t>
      </w:r>
      <w:r w:rsidRPr="00F844FE">
        <w:rPr>
          <w:rFonts w:ascii="Times New Roman" w:hAnsi="Times New Roman" w:cs="Times New Roman"/>
          <w:i/>
          <w:iCs/>
        </w:rPr>
        <w:t>id.</w:t>
      </w:r>
      <w:r w:rsidRPr="00F844FE">
        <w:rPr>
          <w:rFonts w:ascii="Times New Roman" w:hAnsi="Times New Roman" w:cs="Times New Roman"/>
        </w:rPr>
        <w:t>; </w:t>
      </w:r>
      <w:r w:rsidRPr="00F844FE">
        <w:rPr>
          <w:rFonts w:ascii="Times New Roman" w:hAnsi="Times New Roman" w:cs="Times New Roman"/>
          <w:i/>
          <w:iCs/>
        </w:rPr>
        <w:t>see</w:t>
      </w:r>
      <w:r w:rsidRPr="00F844FE">
        <w:rPr>
          <w:rFonts w:ascii="Times New Roman" w:hAnsi="Times New Roman" w:cs="Times New Roman"/>
        </w:rPr>
        <w:t xml:space="preserve"> Civil Rights Law § 64-a </w:t>
      </w:r>
      <w:r w:rsidRPr="00F844FE">
        <w:rPr>
          <w:rFonts w:ascii="Times New Roman" w:hAnsi="Times New Roman" w:cs="Times New Roman"/>
        </w:rPr>
        <w:lastRenderedPageBreak/>
        <w:t>[1]; </w:t>
      </w:r>
      <w:hyperlink r:id="rId8" w:tgtFrame="_blank" w:history="1">
        <w:r w:rsidRPr="00F844FE">
          <w:rPr>
            <w:rStyle w:val="Hyperlink"/>
            <w:rFonts w:ascii="Times New Roman" w:eastAsiaTheme="majorEastAsia" w:hAnsi="Times New Roman" w:cs="Times New Roman"/>
            <w:i/>
            <w:iCs/>
          </w:rPr>
          <w:t>Matter of Cody VV. [Brandi VV.]</w:t>
        </w:r>
        <w:r w:rsidRPr="00F844FE">
          <w:rPr>
            <w:rStyle w:val="Hyperlink"/>
            <w:rFonts w:ascii="Times New Roman" w:eastAsiaTheme="majorEastAsia" w:hAnsi="Times New Roman" w:cs="Times New Roman"/>
          </w:rPr>
          <w:t>, 226 AD3d 24</w:t>
        </w:r>
      </w:hyperlink>
      <w:r w:rsidRPr="00F844FE">
        <w:rPr>
          <w:rFonts w:ascii="Times New Roman" w:hAnsi="Times New Roman" w:cs="Times New Roman"/>
        </w:rPr>
        <w:t>, 27-29 [3d Dept 2024]). Said directly, "[t]o decline to seal the record despite the applicant's showing of jeopardy is to place the applicant at risk of the very harms the statute is meant to guard against" (</w:t>
      </w:r>
      <w:hyperlink r:id="rId9" w:tgtFrame="_blank" w:history="1">
        <w:r w:rsidRPr="00F844FE">
          <w:rPr>
            <w:rStyle w:val="Hyperlink"/>
            <w:rFonts w:ascii="Times New Roman" w:eastAsiaTheme="majorEastAsia" w:hAnsi="Times New Roman" w:cs="Times New Roman"/>
            <w:i/>
            <w:iCs/>
          </w:rPr>
          <w:t>Matter of Kieran B.</w:t>
        </w:r>
        <w:r w:rsidRPr="00F844FE">
          <w:rPr>
            <w:rStyle w:val="Hyperlink"/>
            <w:rFonts w:ascii="Times New Roman" w:eastAsiaTheme="majorEastAsia" w:hAnsi="Times New Roman" w:cs="Times New Roman"/>
          </w:rPr>
          <w:t>, 242 AD3d 1486</w:t>
        </w:r>
      </w:hyperlink>
      <w:r w:rsidRPr="00F844FE">
        <w:rPr>
          <w:rFonts w:ascii="Times New Roman" w:hAnsi="Times New Roman" w:cs="Times New Roman"/>
        </w:rPr>
        <w:t>, 1487 [3d Dept 2025]).</w:t>
      </w:r>
      <w:r>
        <w:rPr>
          <w:rFonts w:ascii="Times New Roman" w:hAnsi="Times New Roman" w:cs="Times New Roman"/>
        </w:rPr>
        <w:t xml:space="preserve"> </w:t>
      </w:r>
      <w:r w:rsidRPr="00F844FE">
        <w:rPr>
          <w:rFonts w:ascii="Times New Roman" w:hAnsi="Times New Roman" w:cs="Times New Roman"/>
        </w:rPr>
        <w:t>Petitioner in this case affirmed his transgender status and indicated that he was seeking to change his name to one that reflects his male gender identity in conformance with the name he uses in his personal and professional life. Petitioner also expressed fear that exposure to the records from this proceeding would effectively expose his transgender status and expose him to increased risk for hate crimes, harassment and other discrimination. Those circumstances warrant entitlement to have the record of his name change proceeding sealed pursuant to Civil Rights Law § 64-a (</w:t>
      </w:r>
      <w:r w:rsidRPr="00F844FE">
        <w:rPr>
          <w:rFonts w:ascii="Times New Roman" w:hAnsi="Times New Roman" w:cs="Times New Roman"/>
          <w:i/>
          <w:iCs/>
        </w:rPr>
        <w:t>see Matter of Kieran B.</w:t>
      </w:r>
      <w:r w:rsidRPr="00F844FE">
        <w:rPr>
          <w:rFonts w:ascii="Times New Roman" w:hAnsi="Times New Roman" w:cs="Times New Roman"/>
        </w:rPr>
        <w:t>, 242 AD3d at 1488; </w:t>
      </w:r>
      <w:hyperlink r:id="rId10" w:tgtFrame="_blank" w:history="1">
        <w:r w:rsidRPr="00F844FE">
          <w:rPr>
            <w:rStyle w:val="Hyperlink"/>
            <w:rFonts w:ascii="Times New Roman" w:eastAsiaTheme="majorEastAsia" w:hAnsi="Times New Roman" w:cs="Times New Roman"/>
            <w:i/>
            <w:iCs/>
          </w:rPr>
          <w:t>Matter of Christopher C.</w:t>
        </w:r>
        <w:r w:rsidRPr="00F844FE">
          <w:rPr>
            <w:rStyle w:val="Hyperlink"/>
            <w:rFonts w:ascii="Times New Roman" w:eastAsiaTheme="majorEastAsia" w:hAnsi="Times New Roman" w:cs="Times New Roman"/>
          </w:rPr>
          <w:t>, 242 AD3d 1485</w:t>
        </w:r>
      </w:hyperlink>
      <w:r w:rsidRPr="00F844FE">
        <w:rPr>
          <w:rFonts w:ascii="Times New Roman" w:hAnsi="Times New Roman" w:cs="Times New Roman"/>
        </w:rPr>
        <w:t>, 1485-1486 [3d Dept 2025]; </w:t>
      </w:r>
      <w:r w:rsidRPr="00F844FE">
        <w:rPr>
          <w:rFonts w:ascii="Times New Roman" w:hAnsi="Times New Roman" w:cs="Times New Roman"/>
          <w:i/>
          <w:iCs/>
        </w:rPr>
        <w:t>Matter of Timothy C.</w:t>
      </w:r>
      <w:r w:rsidRPr="00F844FE">
        <w:rPr>
          <w:rFonts w:ascii="Times New Roman" w:hAnsi="Times New Roman" w:cs="Times New Roman"/>
        </w:rPr>
        <w:t>, 242 AD3d at 1485) and "Supreme Court abused its discretion here when it again invoked an inapplicable standard to arrive at the opposite conclusion" (</w:t>
      </w:r>
      <w:r w:rsidRPr="00F844FE">
        <w:rPr>
          <w:rFonts w:ascii="Times New Roman" w:hAnsi="Times New Roman" w:cs="Times New Roman"/>
          <w:i/>
          <w:iCs/>
        </w:rPr>
        <w:t>Matter of Kieran B.</w:t>
      </w:r>
      <w:r w:rsidRPr="00F844FE">
        <w:rPr>
          <w:rFonts w:ascii="Times New Roman" w:hAnsi="Times New Roman" w:cs="Times New Roman"/>
        </w:rPr>
        <w:t>, 242 AD3d at 1488).</w:t>
      </w:r>
    </w:p>
    <w:p w14:paraId="4FDC934C" w14:textId="77777777" w:rsidR="001C7994" w:rsidRDefault="001C7994" w:rsidP="001C7994">
      <w:pPr>
        <w:pStyle w:val="Heading2"/>
        <w:numPr>
          <w:ilvl w:val="0"/>
          <w:numId w:val="0"/>
        </w:numPr>
        <w:spacing w:line="240" w:lineRule="auto"/>
        <w:ind w:left="1440"/>
        <w:jc w:val="both"/>
        <w:rPr>
          <w:rFonts w:ascii="Times New Roman" w:hAnsi="Times New Roman" w:cs="Times New Roman"/>
        </w:rPr>
      </w:pPr>
    </w:p>
    <w:p w14:paraId="45F8C2DC" w14:textId="77777777" w:rsidR="001C7994" w:rsidRPr="00360DFB" w:rsidRDefault="001C7994" w:rsidP="001C7994">
      <w:pPr>
        <w:pStyle w:val="Heading2"/>
        <w:numPr>
          <w:ilvl w:val="0"/>
          <w:numId w:val="0"/>
        </w:numPr>
        <w:jc w:val="both"/>
      </w:pPr>
      <w:r w:rsidRPr="001C7994">
        <w:rPr>
          <w:rFonts w:ascii="Times New Roman" w:hAnsi="Times New Roman" w:cs="Times New Roman"/>
          <w:b/>
          <w:bCs/>
        </w:rPr>
        <w:t>Procedur</w:t>
      </w:r>
      <w:r>
        <w:rPr>
          <w:rFonts w:ascii="Times New Roman" w:hAnsi="Times New Roman" w:cs="Times New Roman"/>
          <w:b/>
          <w:bCs/>
        </w:rPr>
        <w:t xml:space="preserve">e </w:t>
      </w:r>
      <w:r w:rsidRPr="001C7994">
        <w:rPr>
          <w:rFonts w:ascii="Times New Roman" w:hAnsi="Times New Roman" w:cs="Times New Roman"/>
          <w:b/>
          <w:bCs/>
        </w:rPr>
        <w:t xml:space="preserve">- Disruptive Behavior Deemed </w:t>
      </w:r>
      <w:proofErr w:type="gramStart"/>
      <w:r w:rsidRPr="001C7994">
        <w:rPr>
          <w:rFonts w:ascii="Times New Roman" w:hAnsi="Times New Roman" w:cs="Times New Roman"/>
          <w:b/>
          <w:bCs/>
        </w:rPr>
        <w:t>Default;</w:t>
      </w:r>
      <w:proofErr w:type="gramEnd"/>
      <w:r w:rsidRPr="001C7994">
        <w:rPr>
          <w:rFonts w:ascii="Times New Roman" w:hAnsi="Times New Roman" w:cs="Times New Roman"/>
          <w:b/>
          <w:bCs/>
        </w:rPr>
        <w:t xml:space="preserve"> Inadequate Appendix on Appeal</w:t>
      </w:r>
    </w:p>
    <w:p w14:paraId="3A26349E" w14:textId="50F1E3A8" w:rsidR="00F4263C" w:rsidRPr="001C7994" w:rsidRDefault="001C7994" w:rsidP="001C7994">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1C7994">
        <w:rPr>
          <w:rFonts w:ascii="Times New Roman" w:hAnsi="Times New Roman" w:cs="Times New Roman"/>
          <w:b/>
          <w:bCs/>
          <w:i/>
          <w:iCs/>
        </w:rPr>
        <w:t>Seltzer v. Altman</w:t>
      </w:r>
      <w:r>
        <w:rPr>
          <w:rFonts w:ascii="Times New Roman" w:hAnsi="Times New Roman" w:cs="Times New Roman"/>
        </w:rPr>
        <w:t>, 2026 Westlaw</w:t>
      </w:r>
      <w:r w:rsidR="00D51E40">
        <w:rPr>
          <w:rFonts w:ascii="Times New Roman" w:hAnsi="Times New Roman" w:cs="Times New Roman"/>
        </w:rPr>
        <w:t xml:space="preserve"> 452317</w:t>
      </w:r>
      <w:r>
        <w:rPr>
          <w:rFonts w:ascii="Times New Roman" w:hAnsi="Times New Roman" w:cs="Times New Roman"/>
        </w:rPr>
        <w:t xml:space="preserve"> (Feb. 18, 2026), the husband appealed from a July 2024 Judgment of Divorce, rendered upon his default in appearance at trial on the issue of equitable distribution, and upon an inquest. The Second Department dismissed the husband’s appeal, except insofar as the same brings up for review Supreme Court’s determination that he defaulted in appearing for trial and affirmed insofar as reviewed. The Appellate Division held that “Supreme Court properly found that the [husband’s] disruptive behavior in the courtroom was sufficient to constitute a default and proceeded to an inquest on the issue of equitable distribution in his absence (citations omitted).” To the extent that the husband sought review of a March 2020 order, the Second Department determined the same “cannot be reviewed, as the appendix prepared by the [husband] does not contain the relevant portions of the record to enable this Court to render an informed decision on the merits *** (citations omitted).”</w:t>
      </w:r>
    </w:p>
    <w:p w14:paraId="55EF10F9" w14:textId="77777777" w:rsidR="00F4263C" w:rsidRDefault="00F4263C" w:rsidP="002501E3">
      <w:pPr>
        <w:pStyle w:val="Heading2"/>
        <w:numPr>
          <w:ilvl w:val="0"/>
          <w:numId w:val="0"/>
        </w:numPr>
        <w:spacing w:line="240" w:lineRule="auto"/>
        <w:jc w:val="both"/>
        <w:rPr>
          <w:rFonts w:ascii="Times New Roman" w:hAnsi="Times New Roman" w:cs="Times New Roman"/>
          <w:b/>
          <w:bCs/>
        </w:rPr>
      </w:pPr>
    </w:p>
    <w:p w14:paraId="74DCA195" w14:textId="5B1529BD" w:rsidR="002501E3" w:rsidRDefault="002501E3" w:rsidP="002501E3">
      <w:pPr>
        <w:pStyle w:val="Heading2"/>
        <w:numPr>
          <w:ilvl w:val="0"/>
          <w:numId w:val="0"/>
        </w:numPr>
        <w:spacing w:line="240" w:lineRule="auto"/>
        <w:jc w:val="both"/>
        <w:rPr>
          <w:rFonts w:ascii="Times New Roman" w:hAnsi="Times New Roman" w:cs="Times New Roman"/>
          <w:b/>
          <w:bCs/>
        </w:rPr>
      </w:pPr>
      <w:r w:rsidRPr="002501E3">
        <w:rPr>
          <w:rFonts w:ascii="Times New Roman" w:hAnsi="Times New Roman" w:cs="Times New Roman"/>
          <w:b/>
          <w:bCs/>
        </w:rPr>
        <w:t xml:space="preserve">Procedure - Forum Non </w:t>
      </w:r>
      <w:proofErr w:type="spellStart"/>
      <w:r w:rsidRPr="002501E3">
        <w:rPr>
          <w:rFonts w:ascii="Times New Roman" w:hAnsi="Times New Roman" w:cs="Times New Roman"/>
          <w:b/>
          <w:bCs/>
        </w:rPr>
        <w:t>Conveniens</w:t>
      </w:r>
      <w:proofErr w:type="spellEnd"/>
      <w:r w:rsidRPr="002501E3">
        <w:rPr>
          <w:rFonts w:ascii="Times New Roman" w:hAnsi="Times New Roman" w:cs="Times New Roman"/>
          <w:b/>
          <w:bCs/>
        </w:rPr>
        <w:t xml:space="preserve"> and Residency Defenses Denied; Substituted Service Upheld</w:t>
      </w:r>
    </w:p>
    <w:p w14:paraId="19EAB416" w14:textId="77777777" w:rsidR="002501E3" w:rsidRPr="002501E3" w:rsidRDefault="002501E3" w:rsidP="002501E3">
      <w:pPr>
        <w:pStyle w:val="Heading2"/>
        <w:numPr>
          <w:ilvl w:val="0"/>
          <w:numId w:val="0"/>
        </w:numPr>
        <w:spacing w:line="240" w:lineRule="auto"/>
        <w:jc w:val="both"/>
        <w:rPr>
          <w:b/>
          <w:bCs/>
        </w:rPr>
      </w:pPr>
    </w:p>
    <w:p w14:paraId="1E916A3F" w14:textId="39F62A69" w:rsidR="002501E3" w:rsidRDefault="002501E3" w:rsidP="002501E3">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2501E3">
        <w:rPr>
          <w:rFonts w:ascii="Times New Roman" w:hAnsi="Times New Roman" w:cs="Times New Roman"/>
          <w:b/>
          <w:bCs/>
          <w:i/>
          <w:iCs/>
        </w:rPr>
        <w:t>Gulati v. Gulati</w:t>
      </w:r>
      <w:r>
        <w:rPr>
          <w:rFonts w:ascii="Times New Roman" w:hAnsi="Times New Roman" w:cs="Times New Roman"/>
        </w:rPr>
        <w:t>, 2026 Westlaw</w:t>
      </w:r>
      <w:r w:rsidR="00D51E40">
        <w:rPr>
          <w:rFonts w:ascii="Times New Roman" w:hAnsi="Times New Roman" w:cs="Times New Roman"/>
        </w:rPr>
        <w:t xml:space="preserve"> 437664</w:t>
      </w:r>
      <w:r>
        <w:rPr>
          <w:rFonts w:ascii="Times New Roman" w:hAnsi="Times New Roman" w:cs="Times New Roman"/>
        </w:rPr>
        <w:t xml:space="preserve"> (1</w:t>
      </w:r>
      <w:r w:rsidRPr="005E36D1">
        <w:rPr>
          <w:rFonts w:ascii="Times New Roman" w:hAnsi="Times New Roman" w:cs="Times New Roman"/>
          <w:vertAlign w:val="superscript"/>
        </w:rPr>
        <w:t>st</w:t>
      </w:r>
      <w:r>
        <w:rPr>
          <w:rFonts w:ascii="Times New Roman" w:hAnsi="Times New Roman" w:cs="Times New Roman"/>
        </w:rPr>
        <w:t xml:space="preserve"> Dept. Feb. 17, 2026), the husband appealed from an October 2025 Supreme Court Order, which denied his motion to stay, vacate or dismiss the wife’s divorce action upon the grounds of improper service, lack of personal jurisdiction, failure to satisfy DRL 230 residency requirements, and forum non </w:t>
      </w:r>
      <w:proofErr w:type="spellStart"/>
      <w:r>
        <w:rPr>
          <w:rFonts w:ascii="Times New Roman" w:hAnsi="Times New Roman" w:cs="Times New Roman"/>
        </w:rPr>
        <w:t>conveniens</w:t>
      </w:r>
      <w:proofErr w:type="spellEnd"/>
      <w:r>
        <w:rPr>
          <w:rFonts w:ascii="Times New Roman" w:hAnsi="Times New Roman" w:cs="Times New Roman"/>
        </w:rPr>
        <w:t xml:space="preserve">. The First Department affirmed, noting that the wife “was unable to serve the husband after *** sending process servers to multiple different addresses at which he might have been found on multiple days” which servers “also remained there for extended periods awaiting his arrival.” The Appellate Division rejected the husband’s contention that “the wife was required to exhaust every conceivable effort to locate him” and concluded that CPLR 308(5) “does not require an extensive showing of due diligence, nor does it require actual attempts were made under each and every statutory method of service (citations omitted).” The Court concluded that the authorized methods, “including leaving the documents with the doorman at the husband’s residence, along with </w:t>
      </w:r>
      <w:r>
        <w:rPr>
          <w:rFonts w:ascii="Times New Roman" w:hAnsi="Times New Roman" w:cs="Times New Roman"/>
        </w:rPr>
        <w:lastRenderedPageBreak/>
        <w:t>overnight mailings to the same address and the husband’s place of business, and service by email were reasonably calculated to apprise the husband of the action and satisfied due process.” The First Department held that the duration residency requirement was satisfied “because the parties, although spending a portion of the statutory relevant period out-of-state, maintained a residence in New York and returned to it with regularity.” Finally, the Appellate Division held “the husband failed to demonstrate that New York is an inconvenient forum.”</w:t>
      </w:r>
    </w:p>
    <w:p w14:paraId="7846582E" w14:textId="77777777" w:rsidR="002F6FA9" w:rsidRDefault="002F6FA9" w:rsidP="00E0408D">
      <w:pPr>
        <w:pStyle w:val="Heading1"/>
        <w:numPr>
          <w:ilvl w:val="0"/>
          <w:numId w:val="0"/>
        </w:numPr>
        <w:spacing w:line="240" w:lineRule="auto"/>
        <w:contextualSpacing/>
        <w:jc w:val="both"/>
        <w:rPr>
          <w:rFonts w:ascii="Times New Roman" w:hAnsi="Times New Roman" w:cs="Times New Roman"/>
        </w:rPr>
      </w:pPr>
    </w:p>
    <w:p w14:paraId="67A09AED" w14:textId="44459D6C" w:rsidR="002F6FA9" w:rsidRPr="002F6FA9" w:rsidRDefault="002F6FA9" w:rsidP="00E0408D">
      <w:pPr>
        <w:pStyle w:val="Heading1"/>
        <w:numPr>
          <w:ilvl w:val="0"/>
          <w:numId w:val="0"/>
        </w:numPr>
        <w:spacing w:line="240" w:lineRule="auto"/>
        <w:contextualSpacing/>
        <w:jc w:val="both"/>
        <w:rPr>
          <w:rFonts w:ascii="Times New Roman" w:hAnsi="Times New Roman" w:cs="Times New Roman"/>
          <w:b/>
          <w:bCs/>
        </w:rPr>
      </w:pPr>
      <w:r w:rsidRPr="002F6FA9">
        <w:rPr>
          <w:rFonts w:ascii="Times New Roman" w:hAnsi="Times New Roman" w:cs="Times New Roman"/>
          <w:b/>
          <w:bCs/>
        </w:rPr>
        <w:t xml:space="preserve">Procedure – Sanctions for Eve of </w:t>
      </w:r>
      <w:r>
        <w:rPr>
          <w:rFonts w:ascii="Times New Roman" w:hAnsi="Times New Roman" w:cs="Times New Roman"/>
          <w:b/>
          <w:bCs/>
        </w:rPr>
        <w:t>Continued T</w:t>
      </w:r>
      <w:r w:rsidRPr="002F6FA9">
        <w:rPr>
          <w:rFonts w:ascii="Times New Roman" w:hAnsi="Times New Roman" w:cs="Times New Roman"/>
          <w:b/>
          <w:bCs/>
        </w:rPr>
        <w:t>rial Consent to Change Attorneys – Reversed</w:t>
      </w:r>
    </w:p>
    <w:p w14:paraId="2F87601B" w14:textId="77777777" w:rsidR="002F6FA9" w:rsidRDefault="002F6FA9" w:rsidP="00E0408D">
      <w:pPr>
        <w:pStyle w:val="Heading1"/>
        <w:numPr>
          <w:ilvl w:val="0"/>
          <w:numId w:val="0"/>
        </w:numPr>
        <w:spacing w:line="240" w:lineRule="auto"/>
        <w:contextualSpacing/>
        <w:jc w:val="both"/>
        <w:rPr>
          <w:rFonts w:ascii="Times New Roman" w:hAnsi="Times New Roman" w:cs="Times New Roman"/>
        </w:rPr>
      </w:pPr>
    </w:p>
    <w:p w14:paraId="54F03795" w14:textId="6D5A7ABA" w:rsidR="002F6FA9" w:rsidRDefault="002F6FA9" w:rsidP="00E0408D">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proofErr w:type="spellStart"/>
      <w:r w:rsidRPr="002F6FA9">
        <w:rPr>
          <w:rFonts w:ascii="Times New Roman" w:hAnsi="Times New Roman" w:cs="Times New Roman"/>
          <w:b/>
          <w:bCs/>
          <w:i/>
          <w:iCs/>
        </w:rPr>
        <w:t>Nedd</w:t>
      </w:r>
      <w:proofErr w:type="spellEnd"/>
      <w:r w:rsidRPr="002F6FA9">
        <w:rPr>
          <w:rFonts w:ascii="Times New Roman" w:hAnsi="Times New Roman" w:cs="Times New Roman"/>
          <w:b/>
          <w:bCs/>
          <w:i/>
          <w:iCs/>
        </w:rPr>
        <w:t xml:space="preserve"> v. </w:t>
      </w:r>
      <w:proofErr w:type="spellStart"/>
      <w:r w:rsidRPr="002F6FA9">
        <w:rPr>
          <w:rFonts w:ascii="Times New Roman" w:hAnsi="Times New Roman" w:cs="Times New Roman"/>
          <w:b/>
          <w:bCs/>
          <w:i/>
          <w:iCs/>
        </w:rPr>
        <w:t>Nedd</w:t>
      </w:r>
      <w:proofErr w:type="spellEnd"/>
      <w:r>
        <w:rPr>
          <w:rFonts w:ascii="Times New Roman" w:hAnsi="Times New Roman" w:cs="Times New Roman"/>
        </w:rPr>
        <w:t xml:space="preserve">, 2026 Westlaw 376690 (2d Dept. Feb. 11, 2026), nonparty former counsel for the wife appealed: (1) by permission, from a July 20, 2022 Supreme Court order which, </w:t>
      </w:r>
      <w:proofErr w:type="spellStart"/>
      <w:r w:rsidRPr="00356A14">
        <w:rPr>
          <w:rFonts w:ascii="Times New Roman" w:hAnsi="Times New Roman" w:cs="Times New Roman"/>
          <w:i/>
          <w:iCs/>
        </w:rPr>
        <w:t>sua</w:t>
      </w:r>
      <w:proofErr w:type="spellEnd"/>
      <w:r w:rsidRPr="00356A14">
        <w:rPr>
          <w:rFonts w:ascii="Times New Roman" w:hAnsi="Times New Roman" w:cs="Times New Roman"/>
          <w:i/>
          <w:iCs/>
        </w:rPr>
        <w:t xml:space="preserve"> sponte</w:t>
      </w:r>
      <w:r>
        <w:rPr>
          <w:rFonts w:ascii="Times New Roman" w:hAnsi="Times New Roman" w:cs="Times New Roman"/>
        </w:rPr>
        <w:t xml:space="preserve">, imposed a sanction against her pursuant to 22 NYCRR 130-1.1; and (2) from a July 26, 2022 Order of the same Court, which directed her to pay $1,375 in counsel fees to the husband’s attorney. The parties were scheduled to appear on July 20, </w:t>
      </w:r>
      <w:proofErr w:type="gramStart"/>
      <w:r>
        <w:rPr>
          <w:rFonts w:ascii="Times New Roman" w:hAnsi="Times New Roman" w:cs="Times New Roman"/>
        </w:rPr>
        <w:t>2022</w:t>
      </w:r>
      <w:proofErr w:type="gramEnd"/>
      <w:r>
        <w:rPr>
          <w:rFonts w:ascii="Times New Roman" w:hAnsi="Times New Roman" w:cs="Times New Roman"/>
        </w:rPr>
        <w:t xml:space="preserve"> for the continuation of trial. On July 18, 2022, former counsel filed through NYSCEF a consent to change attorneys executed by the wife, incoming counsel and herself. The Second Department reversed the orders, on the law, holding that “Supreme Court erred in imposing a sanction *** and directing the appellant *** to pay *** $1,375 to the [husband’s] counsel.” The Appellate Division found: “the record does not reflect that the appellant engaged in frivolous conduct ***”; “appellant was not required to move by order to show cause to be relieved as counsel, as the appellant properly followed the requirements of CPLR 321(b)(1) in executing a consent to change attorney”; and “did not give the appellant a reasonable opportunity to be heard before directing the payment of costs.”</w:t>
      </w:r>
    </w:p>
    <w:p w14:paraId="2D210787" w14:textId="77777777" w:rsidR="002F6FA9" w:rsidRDefault="002F6FA9" w:rsidP="00E0408D">
      <w:pPr>
        <w:pStyle w:val="Heading1"/>
        <w:numPr>
          <w:ilvl w:val="0"/>
          <w:numId w:val="0"/>
        </w:numPr>
        <w:spacing w:line="240" w:lineRule="auto"/>
        <w:contextualSpacing/>
        <w:jc w:val="both"/>
        <w:rPr>
          <w:rFonts w:ascii="Times New Roman" w:hAnsi="Times New Roman" w:cs="Times New Roman"/>
        </w:rPr>
      </w:pPr>
    </w:p>
    <w:p w14:paraId="26086FBF" w14:textId="00CC7128" w:rsidR="003B59AD" w:rsidRPr="007555CE" w:rsidRDefault="003B59AD" w:rsidP="007555CE">
      <w:pPr>
        <w:pStyle w:val="Heading1"/>
        <w:numPr>
          <w:ilvl w:val="0"/>
          <w:numId w:val="0"/>
        </w:numPr>
        <w:ind w:left="720" w:hanging="720"/>
        <w:rPr>
          <w:b/>
          <w:bCs/>
          <w:u w:val="single"/>
        </w:rPr>
      </w:pPr>
      <w:r w:rsidRPr="007555CE">
        <w:rPr>
          <w:rFonts w:ascii="Times New Roman" w:hAnsi="Times New Roman" w:cs="Times New Roman"/>
          <w:b/>
          <w:bCs/>
          <w:u w:val="single"/>
        </w:rPr>
        <w:t>LEGISLATIVE AND COURT RULE ITEMS</w:t>
      </w:r>
    </w:p>
    <w:p w14:paraId="22D08FCE" w14:textId="7897B372" w:rsidR="00FD6C82" w:rsidRDefault="003A1DE5" w:rsidP="00FD6C82">
      <w:pPr>
        <w:pStyle w:val="Heading2"/>
        <w:numPr>
          <w:ilvl w:val="0"/>
          <w:numId w:val="0"/>
        </w:numPr>
        <w:spacing w:line="240" w:lineRule="auto"/>
        <w:contextualSpacing/>
        <w:jc w:val="both"/>
        <w:rPr>
          <w:rFonts w:ascii="Times New Roman" w:hAnsi="Times New Roman" w:cs="Times New Roman"/>
          <w:b/>
          <w:bCs/>
        </w:rPr>
      </w:pPr>
      <w:r w:rsidRPr="003A1DE5">
        <w:rPr>
          <w:rFonts w:ascii="Times New Roman" w:hAnsi="Times New Roman" w:cs="Times New Roman"/>
          <w:b/>
          <w:bCs/>
        </w:rPr>
        <w:t>Child Support – CSSA Proposed Amendments</w:t>
      </w:r>
    </w:p>
    <w:p w14:paraId="087E8D41" w14:textId="77777777" w:rsidR="003A1DE5" w:rsidRDefault="003A1DE5" w:rsidP="00FD6C82">
      <w:pPr>
        <w:pStyle w:val="Heading2"/>
        <w:numPr>
          <w:ilvl w:val="0"/>
          <w:numId w:val="0"/>
        </w:numPr>
        <w:spacing w:line="240" w:lineRule="auto"/>
        <w:contextualSpacing/>
        <w:jc w:val="both"/>
        <w:rPr>
          <w:rFonts w:ascii="Times New Roman" w:hAnsi="Times New Roman" w:cs="Times New Roman"/>
          <w:b/>
          <w:bCs/>
        </w:rPr>
      </w:pPr>
    </w:p>
    <w:p w14:paraId="2AE78241" w14:textId="66DE43EF" w:rsidR="00C15C69" w:rsidRDefault="003A1DE5" w:rsidP="00C15C69">
      <w:pPr>
        <w:pStyle w:val="Heading2"/>
        <w:numPr>
          <w:ilvl w:val="0"/>
          <w:numId w:val="0"/>
        </w:numPr>
        <w:spacing w:line="240" w:lineRule="auto"/>
        <w:jc w:val="both"/>
        <w:rPr>
          <w:rFonts w:ascii="Times New Roman" w:hAnsi="Times New Roman" w:cs="Times New Roman"/>
        </w:rPr>
      </w:pPr>
      <w:r>
        <w:rPr>
          <w:rFonts w:ascii="Times New Roman" w:hAnsi="Times New Roman" w:cs="Times New Roman"/>
          <w:bCs/>
        </w:rPr>
        <w:tab/>
      </w:r>
      <w:r w:rsidR="00C15C69" w:rsidRPr="005B081B">
        <w:rPr>
          <w:rFonts w:ascii="Times New Roman" w:hAnsi="Times New Roman" w:cs="Times New Roman"/>
          <w:bCs/>
        </w:rPr>
        <w:t>A</w:t>
      </w:r>
      <w:r w:rsidR="00C15C69">
        <w:rPr>
          <w:rFonts w:ascii="Times New Roman" w:hAnsi="Times New Roman" w:cs="Times New Roman"/>
          <w:bCs/>
        </w:rPr>
        <w:t>.</w:t>
      </w:r>
      <w:r w:rsidR="00C15C69" w:rsidRPr="005B081B">
        <w:rPr>
          <w:rFonts w:ascii="Times New Roman" w:hAnsi="Times New Roman" w:cs="Times New Roman"/>
          <w:bCs/>
        </w:rPr>
        <w:t>08389</w:t>
      </w:r>
      <w:r w:rsidR="00C15C69">
        <w:rPr>
          <w:rFonts w:ascii="Times New Roman" w:hAnsi="Times New Roman" w:cs="Times New Roman"/>
          <w:bCs/>
        </w:rPr>
        <w:t xml:space="preserve">B and </w:t>
      </w:r>
      <w:r w:rsidR="00C15C69" w:rsidRPr="005B081B">
        <w:rPr>
          <w:rFonts w:ascii="Times New Roman" w:hAnsi="Times New Roman" w:cs="Times New Roman"/>
          <w:bCs/>
        </w:rPr>
        <w:t>S</w:t>
      </w:r>
      <w:r w:rsidR="00C15C69">
        <w:rPr>
          <w:rFonts w:ascii="Times New Roman" w:hAnsi="Times New Roman" w:cs="Times New Roman"/>
          <w:bCs/>
        </w:rPr>
        <w:t>.</w:t>
      </w:r>
      <w:r w:rsidR="00C15C69" w:rsidRPr="005B081B">
        <w:rPr>
          <w:rFonts w:ascii="Times New Roman" w:hAnsi="Times New Roman" w:cs="Times New Roman"/>
          <w:bCs/>
        </w:rPr>
        <w:t>08431</w:t>
      </w:r>
      <w:r w:rsidR="00C15C69">
        <w:rPr>
          <w:rFonts w:ascii="Times New Roman" w:hAnsi="Times New Roman" w:cs="Times New Roman"/>
          <w:bCs/>
        </w:rPr>
        <w:t xml:space="preserve"> </w:t>
      </w:r>
      <w:r w:rsidR="00C15C69" w:rsidRPr="005B081B">
        <w:rPr>
          <w:rFonts w:ascii="Times New Roman" w:hAnsi="Times New Roman" w:cs="Times New Roman"/>
          <w:bCs/>
        </w:rPr>
        <w:t>propose various amendments to the CSSA</w:t>
      </w:r>
      <w:r w:rsidR="00C15C69">
        <w:rPr>
          <w:rFonts w:ascii="Times New Roman" w:hAnsi="Times New Roman" w:cs="Times New Roman"/>
          <w:bCs/>
        </w:rPr>
        <w:t>. While the Assembly Bill has been amended and recommitted to its Judiciary Committee on February 27, 2026, the Assembly and Senate bills</w:t>
      </w:r>
      <w:r w:rsidR="00D51E40">
        <w:rPr>
          <w:rFonts w:ascii="Times New Roman" w:hAnsi="Times New Roman" w:cs="Times New Roman"/>
          <w:bCs/>
        </w:rPr>
        <w:t>’ common proposals include</w:t>
      </w:r>
      <w:r w:rsidR="00C15C69">
        <w:rPr>
          <w:rFonts w:ascii="Times New Roman" w:hAnsi="Times New Roman" w:cs="Times New Roman"/>
          <w:bCs/>
        </w:rPr>
        <w:t xml:space="preserve">: (1) changing the “reasonable in cost” definition for health insurance from 5% of the combined parental gross income to “either parent’s gross income”; (2) the age of emancipation for child support would be reduced from age 21 to age 18; (3) the child support percentages based upon the number of children would be applied to the non-custodial parent’s income, instead of the combined parental income; (4) the deductions from income clause [DRL 240(1-b)(5)(vii) and FCA 413(1)(b)(5)(vii)] would be amended to add 3 new classes of deductions: </w:t>
      </w:r>
      <w:r w:rsidR="00C15C69" w:rsidRPr="003568C2">
        <w:rPr>
          <w:rFonts w:ascii="Times New Roman" w:hAnsi="Times New Roman" w:cs="Times New Roman"/>
        </w:rPr>
        <w:t xml:space="preserve">New York state income or earnings taxes actually paid, </w:t>
      </w:r>
      <w:r w:rsidR="00C15C69" w:rsidRPr="005F7A4B">
        <w:rPr>
          <w:rFonts w:ascii="Times New Roman" w:hAnsi="Times New Roman" w:cs="Times New Roman"/>
        </w:rPr>
        <w:t>federal income or earnings taxes actually paid, and</w:t>
      </w:r>
      <w:r w:rsidR="00C15C69" w:rsidRPr="003568C2">
        <w:rPr>
          <w:rFonts w:ascii="Times New Roman" w:hAnsi="Times New Roman" w:cs="Times New Roman"/>
        </w:rPr>
        <w:t xml:space="preserve"> </w:t>
      </w:r>
      <w:r w:rsidR="00C15C69" w:rsidRPr="005F7A4B">
        <w:rPr>
          <w:rFonts w:ascii="Times New Roman" w:hAnsi="Times New Roman" w:cs="Times New Roman"/>
        </w:rPr>
        <w:t>health insurance costs actually paid</w:t>
      </w:r>
      <w:r w:rsidR="00C15C69">
        <w:rPr>
          <w:rFonts w:ascii="Times New Roman" w:hAnsi="Times New Roman" w:cs="Times New Roman"/>
        </w:rPr>
        <w:t>; (5) the income cap would apply to the non-custodial parent’s income, instead of the combined parental income, and “over the cap” determinations pursuant to the paragraph (f) factors would apply to child support for the amount of the non-custodial parent’s income in excess of the cap; and (6) paragraph (c)(4) concerning child care expenses [but not (c)(6)] would be amended by the following additions [bold underlined] and strikeouts [brackets]:</w:t>
      </w:r>
    </w:p>
    <w:p w14:paraId="5B6547B9" w14:textId="77777777" w:rsidR="00901022" w:rsidRDefault="00901022" w:rsidP="00C15C69">
      <w:pPr>
        <w:pStyle w:val="Heading2"/>
        <w:numPr>
          <w:ilvl w:val="0"/>
          <w:numId w:val="0"/>
        </w:numPr>
        <w:spacing w:line="240" w:lineRule="auto"/>
        <w:jc w:val="both"/>
        <w:rPr>
          <w:rFonts w:ascii="Times New Roman" w:hAnsi="Times New Roman" w:cs="Times New Roman"/>
        </w:rPr>
      </w:pPr>
    </w:p>
    <w:p w14:paraId="0E7CC864" w14:textId="77777777" w:rsidR="00C15C69" w:rsidRDefault="00C15C69" w:rsidP="00C15C69">
      <w:pPr>
        <w:pStyle w:val="Heading2"/>
        <w:numPr>
          <w:ilvl w:val="0"/>
          <w:numId w:val="0"/>
        </w:numPr>
        <w:spacing w:line="240" w:lineRule="auto"/>
        <w:ind w:left="720"/>
        <w:jc w:val="both"/>
        <w:rPr>
          <w:rFonts w:ascii="Times New Roman" w:hAnsi="Times New Roman" w:cs="Times New Roman"/>
          <w:bCs/>
        </w:rPr>
      </w:pPr>
      <w:r w:rsidRPr="009C1541">
        <w:rPr>
          <w:rFonts w:ascii="Times New Roman" w:hAnsi="Times New Roman" w:cs="Times New Roman"/>
          <w:bCs/>
        </w:rPr>
        <w:t xml:space="preserve">(4) Where the custodial parent is working, or receiving elementary or secondary education, or higher education or  vocational training which the  court  determines  will  lead  to employment, and incurs child care expenses as a result thereof, the court shall determine </w:t>
      </w:r>
      <w:r w:rsidRPr="009C1541">
        <w:rPr>
          <w:rFonts w:ascii="Times New Roman" w:hAnsi="Times New Roman" w:cs="Times New Roman"/>
          <w:bCs/>
        </w:rPr>
        <w:lastRenderedPageBreak/>
        <w:t>reasonable child care expenses and such child care expenses,  where  incurred,  shall  be prorated  in the [</w:t>
      </w:r>
      <w:r w:rsidRPr="009C1541">
        <w:rPr>
          <w:rFonts w:ascii="Times New Roman" w:hAnsi="Times New Roman" w:cs="Times New Roman"/>
          <w:b/>
          <w:bCs/>
        </w:rPr>
        <w:t>same proportion as</w:t>
      </w:r>
      <w:r w:rsidRPr="009C1541">
        <w:rPr>
          <w:rFonts w:ascii="Times New Roman" w:hAnsi="Times New Roman" w:cs="Times New Roman"/>
          <w:bCs/>
        </w:rPr>
        <w:t xml:space="preserve">] </w:t>
      </w:r>
      <w:r w:rsidRPr="009C1541">
        <w:rPr>
          <w:rFonts w:ascii="Times New Roman" w:hAnsi="Times New Roman" w:cs="Times New Roman"/>
          <w:b/>
          <w:bCs/>
          <w:u w:val="single"/>
        </w:rPr>
        <w:t>amount of</w:t>
      </w:r>
      <w:r w:rsidRPr="009C1541">
        <w:rPr>
          <w:rFonts w:ascii="Times New Roman" w:hAnsi="Times New Roman" w:cs="Times New Roman"/>
          <w:bCs/>
        </w:rPr>
        <w:t xml:space="preserve"> each parent's income [</w:t>
      </w:r>
      <w:r w:rsidRPr="009C1541">
        <w:rPr>
          <w:rFonts w:ascii="Times New Roman" w:hAnsi="Times New Roman" w:cs="Times New Roman"/>
          <w:b/>
          <w:bCs/>
        </w:rPr>
        <w:t>is</w:t>
      </w:r>
      <w:r w:rsidRPr="009C1541">
        <w:rPr>
          <w:rFonts w:ascii="Times New Roman" w:hAnsi="Times New Roman" w:cs="Times New Roman"/>
          <w:bCs/>
        </w:rPr>
        <w:t xml:space="preserve"> </w:t>
      </w:r>
      <w:r w:rsidRPr="009C1541">
        <w:rPr>
          <w:rFonts w:ascii="Times New Roman" w:hAnsi="Times New Roman" w:cs="Times New Roman"/>
          <w:b/>
          <w:bCs/>
        </w:rPr>
        <w:t>to the combined parental income</w:t>
      </w:r>
      <w:r w:rsidRPr="009C1541">
        <w:rPr>
          <w:rFonts w:ascii="Times New Roman" w:hAnsi="Times New Roman" w:cs="Times New Roman"/>
          <w:bCs/>
        </w:rPr>
        <w:t>]. Each parent's pro rata share of the childcare expenses shall be separately stated and added to the sum of subparagraphs two and three of this paragraph.</w:t>
      </w:r>
    </w:p>
    <w:p w14:paraId="64205076" w14:textId="77777777" w:rsidR="00C15C69" w:rsidRPr="009C1541" w:rsidRDefault="00C15C69" w:rsidP="00C15C69">
      <w:pPr>
        <w:pStyle w:val="Heading2"/>
        <w:numPr>
          <w:ilvl w:val="0"/>
          <w:numId w:val="0"/>
        </w:numPr>
        <w:spacing w:line="240" w:lineRule="auto"/>
        <w:ind w:left="720"/>
        <w:rPr>
          <w:rFonts w:ascii="Times New Roman" w:hAnsi="Times New Roman" w:cs="Times New Roman"/>
          <w:bCs/>
        </w:rPr>
      </w:pPr>
    </w:p>
    <w:p w14:paraId="46BB982E" w14:textId="77777777" w:rsidR="00C15C69" w:rsidRDefault="00C15C69" w:rsidP="00C15C69">
      <w:pPr>
        <w:pStyle w:val="Heading2"/>
        <w:numPr>
          <w:ilvl w:val="0"/>
          <w:numId w:val="0"/>
        </w:numPr>
        <w:jc w:val="both"/>
        <w:rPr>
          <w:rFonts w:ascii="Times New Roman" w:hAnsi="Times New Roman" w:cs="Times New Roman"/>
          <w:bCs/>
        </w:rPr>
      </w:pPr>
      <w:r w:rsidRPr="005B081B">
        <w:rPr>
          <w:rFonts w:ascii="Times New Roman" w:hAnsi="Times New Roman" w:cs="Times New Roman"/>
          <w:bCs/>
        </w:rPr>
        <w:t xml:space="preserve">The bill was introduced in both houses </w:t>
      </w:r>
      <w:r>
        <w:rPr>
          <w:rFonts w:ascii="Times New Roman" w:hAnsi="Times New Roman" w:cs="Times New Roman"/>
          <w:bCs/>
        </w:rPr>
        <w:t xml:space="preserve">in </w:t>
      </w:r>
      <w:r w:rsidRPr="005B081B">
        <w:rPr>
          <w:rFonts w:ascii="Times New Roman" w:hAnsi="Times New Roman" w:cs="Times New Roman"/>
          <w:bCs/>
        </w:rPr>
        <w:t xml:space="preserve">May and June </w:t>
      </w:r>
      <w:r>
        <w:rPr>
          <w:rFonts w:ascii="Times New Roman" w:hAnsi="Times New Roman" w:cs="Times New Roman"/>
          <w:bCs/>
        </w:rPr>
        <w:t xml:space="preserve">2025 </w:t>
      </w:r>
      <w:r w:rsidRPr="005B081B">
        <w:rPr>
          <w:rFonts w:ascii="Times New Roman" w:hAnsi="Times New Roman" w:cs="Times New Roman"/>
          <w:bCs/>
        </w:rPr>
        <w:t>but did not move out of committees</w:t>
      </w:r>
      <w:r>
        <w:rPr>
          <w:rFonts w:ascii="Times New Roman" w:hAnsi="Times New Roman" w:cs="Times New Roman"/>
          <w:bCs/>
        </w:rPr>
        <w:t xml:space="preserve">. </w:t>
      </w:r>
    </w:p>
    <w:p w14:paraId="4044A0C0" w14:textId="136D6A5B" w:rsidR="00C15C69" w:rsidRDefault="00C15C69" w:rsidP="00C15C69">
      <w:pPr>
        <w:pStyle w:val="Heading2"/>
        <w:numPr>
          <w:ilvl w:val="0"/>
          <w:numId w:val="0"/>
        </w:numPr>
        <w:spacing w:line="240" w:lineRule="auto"/>
        <w:contextualSpacing/>
        <w:jc w:val="both"/>
        <w:rPr>
          <w:rFonts w:ascii="Times New Roman" w:hAnsi="Times New Roman" w:cs="Times New Roman"/>
          <w:bCs/>
        </w:rPr>
      </w:pPr>
      <w:r>
        <w:rPr>
          <w:rFonts w:ascii="Times New Roman" w:hAnsi="Times New Roman" w:cs="Times New Roman"/>
          <w:bCs/>
        </w:rPr>
        <w:tab/>
        <w:t>The Assembly Bill as amended February 27, 2026</w:t>
      </w:r>
      <w:r w:rsidR="00D51E40">
        <w:rPr>
          <w:rFonts w:ascii="Times New Roman" w:hAnsi="Times New Roman" w:cs="Times New Roman"/>
          <w:bCs/>
        </w:rPr>
        <w:t>,</w:t>
      </w:r>
      <w:r>
        <w:rPr>
          <w:rFonts w:ascii="Times New Roman" w:hAnsi="Times New Roman" w:cs="Times New Roman"/>
          <w:bCs/>
        </w:rPr>
        <w:t xml:space="preserve"> proposes to change the burden of proof for a willfulness finding to “beyond a reasonable doubt” and to limit sentences for each violation to 5 days with no more than 30 days total, and, further, to require the court to consider alternatives to incarceration. The Assembly bill as amended February 27, 2026</w:t>
      </w:r>
      <w:r w:rsidR="00D51E40">
        <w:rPr>
          <w:rFonts w:ascii="Times New Roman" w:hAnsi="Times New Roman" w:cs="Times New Roman"/>
          <w:bCs/>
        </w:rPr>
        <w:t>,</w:t>
      </w:r>
      <w:r>
        <w:rPr>
          <w:rFonts w:ascii="Times New Roman" w:hAnsi="Times New Roman" w:cs="Times New Roman"/>
          <w:bCs/>
        </w:rPr>
        <w:t xml:space="preserve"> further requires the courts to collect demographic information for every order of support established, modified and enforced and requires OCA to publish an annual report thereupon.</w:t>
      </w:r>
    </w:p>
    <w:p w14:paraId="160B0828" w14:textId="3034F00F" w:rsidR="003A1DE5" w:rsidRDefault="003A1DE5" w:rsidP="003A1DE5">
      <w:pPr>
        <w:pStyle w:val="Heading2"/>
        <w:numPr>
          <w:ilvl w:val="0"/>
          <w:numId w:val="0"/>
        </w:numPr>
        <w:spacing w:line="240" w:lineRule="auto"/>
        <w:contextualSpacing/>
        <w:jc w:val="both"/>
        <w:rPr>
          <w:rFonts w:ascii="Times New Roman" w:hAnsi="Times New Roman" w:cs="Times New Roman"/>
          <w:bCs/>
        </w:rPr>
      </w:pPr>
    </w:p>
    <w:p w14:paraId="388B8604" w14:textId="77777777" w:rsidR="008B5C13" w:rsidRDefault="008B5C13" w:rsidP="003A1DE5">
      <w:pPr>
        <w:pStyle w:val="Heading2"/>
        <w:numPr>
          <w:ilvl w:val="0"/>
          <w:numId w:val="0"/>
        </w:numPr>
        <w:spacing w:line="240" w:lineRule="auto"/>
        <w:contextualSpacing/>
        <w:jc w:val="both"/>
        <w:rPr>
          <w:rFonts w:ascii="Times New Roman" w:hAnsi="Times New Roman" w:cs="Times New Roman"/>
          <w:b/>
        </w:rPr>
      </w:pPr>
      <w:bookmarkStart w:id="1" w:name="_Hlk223276953"/>
      <w:r>
        <w:rPr>
          <w:rFonts w:ascii="Times New Roman" w:hAnsi="Times New Roman" w:cs="Times New Roman"/>
          <w:b/>
        </w:rPr>
        <w:t>Child Support – Payments by Custodial Parent to Non-Custodial Parent – Proposed Amendments</w:t>
      </w:r>
      <w:bookmarkEnd w:id="1"/>
    </w:p>
    <w:p w14:paraId="58AC37AB" w14:textId="77777777" w:rsidR="008B5C13" w:rsidRDefault="008B5C13" w:rsidP="003A1DE5">
      <w:pPr>
        <w:pStyle w:val="Heading2"/>
        <w:numPr>
          <w:ilvl w:val="0"/>
          <w:numId w:val="0"/>
        </w:numPr>
        <w:spacing w:line="240" w:lineRule="auto"/>
        <w:contextualSpacing/>
        <w:jc w:val="both"/>
        <w:rPr>
          <w:rFonts w:ascii="Times New Roman" w:hAnsi="Times New Roman" w:cs="Times New Roman"/>
          <w:b/>
        </w:rPr>
      </w:pPr>
    </w:p>
    <w:p w14:paraId="33810066" w14:textId="4D9DE128" w:rsidR="008B5C13" w:rsidRDefault="008B5C13" w:rsidP="008B5C13">
      <w:pPr>
        <w:pStyle w:val="Heading2"/>
        <w:numPr>
          <w:ilvl w:val="0"/>
          <w:numId w:val="0"/>
        </w:numPr>
        <w:spacing w:line="240" w:lineRule="auto"/>
        <w:contextualSpacing/>
        <w:jc w:val="both"/>
        <w:rPr>
          <w:rFonts w:ascii="Times New Roman" w:hAnsi="Times New Roman" w:cs="Times New Roman"/>
          <w:bCs/>
        </w:rPr>
      </w:pPr>
      <w:r>
        <w:rPr>
          <w:rFonts w:ascii="Times New Roman" w:hAnsi="Times New Roman" w:cs="Times New Roman"/>
          <w:bCs/>
        </w:rPr>
        <w:tab/>
      </w:r>
      <w:bookmarkStart w:id="2" w:name="_Hlk223276995"/>
      <w:r>
        <w:rPr>
          <w:rFonts w:ascii="Times New Roman" w:hAnsi="Times New Roman" w:cs="Times New Roman"/>
          <w:bCs/>
        </w:rPr>
        <w:t>This is presently a one house bill, with this stated purpose: “</w:t>
      </w:r>
      <w:r w:rsidRPr="008B5C13">
        <w:rPr>
          <w:rFonts w:ascii="Times New Roman" w:hAnsi="Times New Roman" w:cs="Times New Roman"/>
          <w:bCs/>
        </w:rPr>
        <w:t>This bill would amend the Child Support Standards Act ("CSSA") to allow</w:t>
      </w:r>
      <w:r>
        <w:rPr>
          <w:rFonts w:ascii="Times New Roman" w:hAnsi="Times New Roman" w:cs="Times New Roman"/>
          <w:bCs/>
        </w:rPr>
        <w:t xml:space="preserve"> </w:t>
      </w:r>
      <w:r w:rsidRPr="008B5C13">
        <w:rPr>
          <w:rFonts w:ascii="Times New Roman" w:hAnsi="Times New Roman" w:cs="Times New Roman"/>
          <w:bCs/>
        </w:rPr>
        <w:t>a court to order a custodial parent to make recurring payments to the</w:t>
      </w:r>
      <w:r>
        <w:rPr>
          <w:rFonts w:ascii="Times New Roman" w:hAnsi="Times New Roman" w:cs="Times New Roman"/>
          <w:bCs/>
        </w:rPr>
        <w:t xml:space="preserve"> </w:t>
      </w:r>
      <w:r w:rsidRPr="008B5C13">
        <w:rPr>
          <w:rFonts w:ascii="Times New Roman" w:hAnsi="Times New Roman" w:cs="Times New Roman"/>
          <w:bCs/>
        </w:rPr>
        <w:t>non-custodial parent in special circumstances, without changing the</w:t>
      </w:r>
      <w:r>
        <w:rPr>
          <w:rFonts w:ascii="Times New Roman" w:hAnsi="Times New Roman" w:cs="Times New Roman"/>
          <w:bCs/>
        </w:rPr>
        <w:t xml:space="preserve"> </w:t>
      </w:r>
      <w:r w:rsidRPr="008B5C13">
        <w:rPr>
          <w:rFonts w:ascii="Times New Roman" w:hAnsi="Times New Roman" w:cs="Times New Roman"/>
          <w:bCs/>
        </w:rPr>
        <w:t>basic concept that child support is to be paid by the noncustodial</w:t>
      </w:r>
      <w:r>
        <w:rPr>
          <w:rFonts w:ascii="Times New Roman" w:hAnsi="Times New Roman" w:cs="Times New Roman"/>
          <w:bCs/>
        </w:rPr>
        <w:t xml:space="preserve"> </w:t>
      </w:r>
      <w:r w:rsidRPr="008B5C13">
        <w:rPr>
          <w:rFonts w:ascii="Times New Roman" w:hAnsi="Times New Roman" w:cs="Times New Roman"/>
          <w:bCs/>
        </w:rPr>
        <w:t>parent to the custodial parent.</w:t>
      </w:r>
      <w:r>
        <w:rPr>
          <w:rFonts w:ascii="Times New Roman" w:hAnsi="Times New Roman" w:cs="Times New Roman"/>
          <w:bCs/>
        </w:rPr>
        <w:t>” A.08296, referred to Judiciary on January 7, 2026.</w:t>
      </w:r>
      <w:bookmarkEnd w:id="2"/>
    </w:p>
    <w:p w14:paraId="2514265C" w14:textId="77777777" w:rsidR="00D2598A" w:rsidRDefault="00D2598A" w:rsidP="008B5C13">
      <w:pPr>
        <w:pStyle w:val="Heading2"/>
        <w:numPr>
          <w:ilvl w:val="0"/>
          <w:numId w:val="0"/>
        </w:numPr>
        <w:spacing w:line="240" w:lineRule="auto"/>
        <w:contextualSpacing/>
        <w:jc w:val="both"/>
        <w:rPr>
          <w:rFonts w:ascii="Times New Roman" w:hAnsi="Times New Roman" w:cs="Times New Roman"/>
          <w:bCs/>
        </w:rPr>
      </w:pPr>
    </w:p>
    <w:p w14:paraId="3CDBFFC6" w14:textId="66FA4437" w:rsidR="00D2598A" w:rsidRDefault="00D2598A" w:rsidP="008B5C13">
      <w:pPr>
        <w:pStyle w:val="Heading2"/>
        <w:numPr>
          <w:ilvl w:val="0"/>
          <w:numId w:val="0"/>
        </w:numPr>
        <w:spacing w:line="240" w:lineRule="auto"/>
        <w:contextualSpacing/>
        <w:jc w:val="both"/>
        <w:rPr>
          <w:rFonts w:ascii="Times New Roman" w:hAnsi="Times New Roman" w:cs="Times New Roman"/>
          <w:b/>
        </w:rPr>
      </w:pPr>
      <w:r w:rsidRPr="00D2598A">
        <w:rPr>
          <w:rFonts w:ascii="Times New Roman" w:hAnsi="Times New Roman" w:cs="Times New Roman"/>
          <w:b/>
        </w:rPr>
        <w:t>Child Support, Maintenance and Spousal Support Income Caps; Poverty Guidelines Amount and Self-Support Reserve – All Increased March 1, 2026</w:t>
      </w:r>
    </w:p>
    <w:p w14:paraId="64EA8E9D" w14:textId="77777777" w:rsidR="00D2598A" w:rsidRDefault="00D2598A" w:rsidP="008B5C13">
      <w:pPr>
        <w:pStyle w:val="Heading2"/>
        <w:numPr>
          <w:ilvl w:val="0"/>
          <w:numId w:val="0"/>
        </w:numPr>
        <w:spacing w:line="240" w:lineRule="auto"/>
        <w:contextualSpacing/>
        <w:jc w:val="both"/>
        <w:rPr>
          <w:rFonts w:ascii="Times New Roman" w:hAnsi="Times New Roman" w:cs="Times New Roman"/>
          <w:b/>
        </w:rPr>
      </w:pPr>
    </w:p>
    <w:p w14:paraId="39A9FE42" w14:textId="5B2E9913" w:rsidR="00D2598A" w:rsidRPr="00D2598A" w:rsidRDefault="00D2598A" w:rsidP="00D2598A">
      <w:pPr>
        <w:pStyle w:val="Heading2"/>
        <w:numPr>
          <w:ilvl w:val="0"/>
          <w:numId w:val="0"/>
        </w:numPr>
        <w:spacing w:line="240" w:lineRule="auto"/>
        <w:contextualSpacing/>
        <w:jc w:val="both"/>
        <w:rPr>
          <w:rFonts w:ascii="Times New Roman" w:hAnsi="Times New Roman" w:cs="Times New Roman"/>
          <w:b/>
        </w:rPr>
      </w:pPr>
      <w:r>
        <w:rPr>
          <w:rFonts w:ascii="Times New Roman" w:hAnsi="Times New Roman" w:cs="Times New Roman"/>
          <w:b/>
        </w:rPr>
        <w:tab/>
      </w:r>
      <w:r w:rsidRPr="00FA0076">
        <w:rPr>
          <w:rFonts w:ascii="Times New Roman" w:hAnsi="Times New Roman" w:cs="Times New Roman"/>
          <w:b/>
          <w:u w:val="single"/>
        </w:rPr>
        <w:t>Effective March 1, 2026</w:t>
      </w:r>
      <w:r w:rsidRPr="00D2598A">
        <w:rPr>
          <w:rFonts w:ascii="Times New Roman" w:hAnsi="Times New Roman" w:cs="Times New Roman"/>
          <w:bCs/>
        </w:rPr>
        <w:t>, the income caps are increased by 5.5% (2.9%+2.6%</w:t>
      </w:r>
      <w:r w:rsidR="00FA0076">
        <w:rPr>
          <w:rFonts w:ascii="Times New Roman" w:hAnsi="Times New Roman" w:cs="Times New Roman"/>
          <w:bCs/>
        </w:rPr>
        <w:t xml:space="preserve"> CPI increases for last 2 years</w:t>
      </w:r>
      <w:r w:rsidRPr="00D2598A">
        <w:rPr>
          <w:rFonts w:ascii="Times New Roman" w:hAnsi="Times New Roman" w:cs="Times New Roman"/>
          <w:bCs/>
        </w:rPr>
        <w:t>) and rounded to the nearest $1,000.</w:t>
      </w:r>
      <w:r>
        <w:rPr>
          <w:rFonts w:ascii="Times New Roman" w:hAnsi="Times New Roman" w:cs="Times New Roman"/>
          <w:bCs/>
        </w:rPr>
        <w:t xml:space="preserve"> The c</w:t>
      </w:r>
      <w:r w:rsidRPr="00D2598A">
        <w:rPr>
          <w:rFonts w:ascii="Times New Roman" w:hAnsi="Times New Roman" w:cs="Times New Roman"/>
          <w:bCs/>
        </w:rPr>
        <w:t xml:space="preserve">hild support cap </w:t>
      </w:r>
      <w:r>
        <w:rPr>
          <w:rFonts w:ascii="Times New Roman" w:hAnsi="Times New Roman" w:cs="Times New Roman"/>
          <w:bCs/>
        </w:rPr>
        <w:t xml:space="preserve">for combined parental income </w:t>
      </w:r>
      <w:r w:rsidRPr="00D2598A">
        <w:rPr>
          <w:rFonts w:ascii="Times New Roman" w:hAnsi="Times New Roman" w:cs="Times New Roman"/>
          <w:bCs/>
        </w:rPr>
        <w:t xml:space="preserve">is </w:t>
      </w:r>
      <w:r>
        <w:rPr>
          <w:rFonts w:ascii="Times New Roman" w:hAnsi="Times New Roman" w:cs="Times New Roman"/>
          <w:bCs/>
        </w:rPr>
        <w:t xml:space="preserve">set at </w:t>
      </w:r>
      <w:r w:rsidRPr="00D2598A">
        <w:rPr>
          <w:rFonts w:ascii="Times New Roman" w:hAnsi="Times New Roman" w:cs="Times New Roman"/>
          <w:bCs/>
        </w:rPr>
        <w:t>$193,000</w:t>
      </w:r>
      <w:r>
        <w:rPr>
          <w:rFonts w:ascii="Times New Roman" w:hAnsi="Times New Roman" w:cs="Times New Roman"/>
          <w:bCs/>
        </w:rPr>
        <w:t xml:space="preserve"> and the m</w:t>
      </w:r>
      <w:r w:rsidRPr="00D2598A">
        <w:rPr>
          <w:rFonts w:ascii="Times New Roman" w:hAnsi="Times New Roman" w:cs="Times New Roman"/>
          <w:bCs/>
        </w:rPr>
        <w:t>aintenance</w:t>
      </w:r>
      <w:r>
        <w:rPr>
          <w:rFonts w:ascii="Times New Roman" w:hAnsi="Times New Roman" w:cs="Times New Roman"/>
          <w:bCs/>
        </w:rPr>
        <w:t xml:space="preserve"> and </w:t>
      </w:r>
      <w:r w:rsidRPr="00D2598A">
        <w:rPr>
          <w:rFonts w:ascii="Times New Roman" w:hAnsi="Times New Roman" w:cs="Times New Roman"/>
          <w:bCs/>
        </w:rPr>
        <w:t xml:space="preserve">spousal support </w:t>
      </w:r>
      <w:r w:rsidR="00FA0076">
        <w:rPr>
          <w:rFonts w:ascii="Times New Roman" w:hAnsi="Times New Roman" w:cs="Times New Roman"/>
          <w:bCs/>
        </w:rPr>
        <w:t xml:space="preserve">payor income </w:t>
      </w:r>
      <w:r w:rsidRPr="00D2598A">
        <w:rPr>
          <w:rFonts w:ascii="Times New Roman" w:hAnsi="Times New Roman" w:cs="Times New Roman"/>
          <w:bCs/>
        </w:rPr>
        <w:t xml:space="preserve">cap is </w:t>
      </w:r>
      <w:r w:rsidR="00FA0076">
        <w:rPr>
          <w:rFonts w:ascii="Times New Roman" w:hAnsi="Times New Roman" w:cs="Times New Roman"/>
          <w:bCs/>
        </w:rPr>
        <w:t xml:space="preserve">increased to </w:t>
      </w:r>
      <w:r w:rsidRPr="00D2598A">
        <w:rPr>
          <w:rFonts w:ascii="Times New Roman" w:hAnsi="Times New Roman" w:cs="Times New Roman"/>
          <w:bCs/>
        </w:rPr>
        <w:t>$241,000</w:t>
      </w:r>
      <w:r w:rsidR="00FA0076">
        <w:rPr>
          <w:rFonts w:ascii="Times New Roman" w:hAnsi="Times New Roman" w:cs="Times New Roman"/>
          <w:bCs/>
        </w:rPr>
        <w:t>. The p</w:t>
      </w:r>
      <w:r w:rsidRPr="00D2598A">
        <w:rPr>
          <w:rFonts w:ascii="Times New Roman" w:hAnsi="Times New Roman" w:cs="Times New Roman"/>
          <w:bCs/>
        </w:rPr>
        <w:t xml:space="preserve">overty guidelines amount </w:t>
      </w:r>
      <w:r w:rsidR="00FA0076">
        <w:rPr>
          <w:rFonts w:ascii="Times New Roman" w:hAnsi="Times New Roman" w:cs="Times New Roman"/>
          <w:bCs/>
        </w:rPr>
        <w:t xml:space="preserve">for a single person </w:t>
      </w:r>
      <w:r w:rsidRPr="00D2598A">
        <w:rPr>
          <w:rFonts w:ascii="Times New Roman" w:hAnsi="Times New Roman" w:cs="Times New Roman"/>
          <w:bCs/>
        </w:rPr>
        <w:t xml:space="preserve">is </w:t>
      </w:r>
      <w:r w:rsidR="00FA0076">
        <w:rPr>
          <w:rFonts w:ascii="Times New Roman" w:hAnsi="Times New Roman" w:cs="Times New Roman"/>
          <w:bCs/>
        </w:rPr>
        <w:t xml:space="preserve">set at </w:t>
      </w:r>
      <w:r w:rsidRPr="00D2598A">
        <w:rPr>
          <w:rFonts w:ascii="Times New Roman" w:hAnsi="Times New Roman" w:cs="Times New Roman"/>
          <w:bCs/>
        </w:rPr>
        <w:t>$15,960</w:t>
      </w:r>
      <w:r w:rsidR="00FA0076">
        <w:rPr>
          <w:rFonts w:ascii="Times New Roman" w:hAnsi="Times New Roman" w:cs="Times New Roman"/>
          <w:bCs/>
        </w:rPr>
        <w:t xml:space="preserve">. </w:t>
      </w:r>
      <w:r w:rsidR="00FA0076" w:rsidRPr="00FA0076">
        <w:rPr>
          <w:rFonts w:ascii="Times New Roman" w:hAnsi="Times New Roman" w:cs="Times New Roman"/>
          <w:bCs/>
        </w:rPr>
        <w:t xml:space="preserve">91 Federal Register 1797, 1798 </w:t>
      </w:r>
      <w:r w:rsidR="00FA0076">
        <w:rPr>
          <w:rFonts w:ascii="Times New Roman" w:hAnsi="Times New Roman" w:cs="Times New Roman"/>
          <w:bCs/>
        </w:rPr>
        <w:t>(</w:t>
      </w:r>
      <w:r w:rsidR="00FA0076" w:rsidRPr="00FA0076">
        <w:rPr>
          <w:rFonts w:ascii="Times New Roman" w:hAnsi="Times New Roman" w:cs="Times New Roman"/>
          <w:bCs/>
        </w:rPr>
        <w:t>Jan. 15, 2026</w:t>
      </w:r>
      <w:r w:rsidR="00FA0076">
        <w:rPr>
          <w:rFonts w:ascii="Times New Roman" w:hAnsi="Times New Roman" w:cs="Times New Roman"/>
          <w:bCs/>
        </w:rPr>
        <w:t>). The s</w:t>
      </w:r>
      <w:r w:rsidRPr="00D2598A">
        <w:rPr>
          <w:rFonts w:ascii="Times New Roman" w:hAnsi="Times New Roman" w:cs="Times New Roman"/>
          <w:bCs/>
        </w:rPr>
        <w:t xml:space="preserve">elf-support reserve is 135% of </w:t>
      </w:r>
      <w:r w:rsidR="0046118C">
        <w:rPr>
          <w:rFonts w:ascii="Times New Roman" w:hAnsi="Times New Roman" w:cs="Times New Roman"/>
          <w:bCs/>
        </w:rPr>
        <w:t xml:space="preserve">the </w:t>
      </w:r>
      <w:r w:rsidRPr="00D2598A">
        <w:rPr>
          <w:rFonts w:ascii="Times New Roman" w:hAnsi="Times New Roman" w:cs="Times New Roman"/>
          <w:bCs/>
        </w:rPr>
        <w:t>poverty guidelines amount, FCA 413(1)(b)(6), or $21,546.</w:t>
      </w:r>
      <w:r w:rsidR="005D7C17">
        <w:rPr>
          <w:rFonts w:ascii="Times New Roman" w:hAnsi="Times New Roman" w:cs="Times New Roman"/>
          <w:bCs/>
        </w:rPr>
        <w:t xml:space="preserve"> The Child Support Standards Chart, LDSS 4515, </w:t>
      </w:r>
      <w:r w:rsidR="0088005C">
        <w:rPr>
          <w:rFonts w:ascii="Times New Roman" w:hAnsi="Times New Roman" w:cs="Times New Roman"/>
          <w:bCs/>
        </w:rPr>
        <w:t xml:space="preserve">released March 1, 2026, </w:t>
      </w:r>
      <w:r w:rsidR="005D7C17">
        <w:rPr>
          <w:rFonts w:ascii="Times New Roman" w:hAnsi="Times New Roman" w:cs="Times New Roman"/>
          <w:bCs/>
        </w:rPr>
        <w:t xml:space="preserve">is available here </w:t>
      </w:r>
      <w:hyperlink r:id="rId11" w:history="1">
        <w:r w:rsidR="005D7C17" w:rsidRPr="005D7C17">
          <w:rPr>
            <w:rStyle w:val="Hyperlink"/>
            <w:rFonts w:ascii="Times New Roman" w:hAnsi="Times New Roman" w:cs="Times New Roman"/>
            <w:bCs/>
          </w:rPr>
          <w:t>LDSS 4515 (Rev. 03/26), Child Support Standards Chart</w:t>
        </w:r>
      </w:hyperlink>
    </w:p>
    <w:p w14:paraId="512AB909" w14:textId="77777777" w:rsidR="008B5C13" w:rsidRDefault="008B5C13" w:rsidP="003A1DE5">
      <w:pPr>
        <w:pStyle w:val="Heading2"/>
        <w:numPr>
          <w:ilvl w:val="0"/>
          <w:numId w:val="0"/>
        </w:numPr>
        <w:spacing w:line="240" w:lineRule="auto"/>
        <w:contextualSpacing/>
        <w:jc w:val="both"/>
        <w:rPr>
          <w:rFonts w:ascii="Times New Roman" w:hAnsi="Times New Roman" w:cs="Times New Roman"/>
          <w:b/>
        </w:rPr>
      </w:pPr>
    </w:p>
    <w:p w14:paraId="3069BD2F" w14:textId="5BA12C3B" w:rsidR="002501E3" w:rsidRDefault="002501E3" w:rsidP="003A1DE5">
      <w:pPr>
        <w:pStyle w:val="Heading2"/>
        <w:numPr>
          <w:ilvl w:val="0"/>
          <w:numId w:val="0"/>
        </w:numPr>
        <w:spacing w:line="240" w:lineRule="auto"/>
        <w:contextualSpacing/>
        <w:jc w:val="both"/>
        <w:rPr>
          <w:rFonts w:ascii="Times New Roman" w:hAnsi="Times New Roman" w:cs="Times New Roman"/>
          <w:b/>
        </w:rPr>
      </w:pPr>
      <w:r w:rsidRPr="002501E3">
        <w:rPr>
          <w:rFonts w:ascii="Times New Roman" w:hAnsi="Times New Roman" w:cs="Times New Roman"/>
          <w:b/>
        </w:rPr>
        <w:t xml:space="preserve">Separation – </w:t>
      </w:r>
      <w:r>
        <w:rPr>
          <w:rFonts w:ascii="Times New Roman" w:hAnsi="Times New Roman" w:cs="Times New Roman"/>
          <w:b/>
        </w:rPr>
        <w:t xml:space="preserve">No Fault - </w:t>
      </w:r>
      <w:r w:rsidRPr="002501E3">
        <w:rPr>
          <w:rFonts w:ascii="Times New Roman" w:hAnsi="Times New Roman" w:cs="Times New Roman"/>
          <w:b/>
        </w:rPr>
        <w:t>Technical Corrections</w:t>
      </w:r>
    </w:p>
    <w:p w14:paraId="7058DDBF" w14:textId="77777777" w:rsidR="002501E3" w:rsidRDefault="002501E3" w:rsidP="003A1DE5">
      <w:pPr>
        <w:pStyle w:val="Heading2"/>
        <w:numPr>
          <w:ilvl w:val="0"/>
          <w:numId w:val="0"/>
        </w:numPr>
        <w:spacing w:line="240" w:lineRule="auto"/>
        <w:contextualSpacing/>
        <w:jc w:val="both"/>
        <w:rPr>
          <w:rFonts w:ascii="Times New Roman" w:hAnsi="Times New Roman" w:cs="Times New Roman"/>
          <w:b/>
        </w:rPr>
      </w:pPr>
    </w:p>
    <w:p w14:paraId="580A7A5C" w14:textId="0CBA6126" w:rsidR="002501E3" w:rsidRPr="002501E3" w:rsidRDefault="002501E3" w:rsidP="003A1DE5">
      <w:pPr>
        <w:pStyle w:val="Heading2"/>
        <w:numPr>
          <w:ilvl w:val="0"/>
          <w:numId w:val="0"/>
        </w:numPr>
        <w:spacing w:line="240" w:lineRule="auto"/>
        <w:contextualSpacing/>
        <w:jc w:val="both"/>
        <w:rPr>
          <w:rFonts w:ascii="Times New Roman" w:hAnsi="Times New Roman" w:cs="Times New Roman"/>
          <w:bCs/>
        </w:rPr>
      </w:pPr>
      <w:r>
        <w:rPr>
          <w:rFonts w:ascii="Times New Roman" w:hAnsi="Times New Roman" w:cs="Times New Roman"/>
          <w:b/>
        </w:rPr>
        <w:tab/>
      </w:r>
      <w:r w:rsidRPr="002501E3">
        <w:rPr>
          <w:rFonts w:ascii="Times New Roman" w:hAnsi="Times New Roman" w:cs="Times New Roman"/>
          <w:b/>
          <w:u w:val="single"/>
        </w:rPr>
        <w:t>Signed by the Governor on February 13, 202</w:t>
      </w:r>
      <w:r>
        <w:rPr>
          <w:rFonts w:ascii="Times New Roman" w:hAnsi="Times New Roman" w:cs="Times New Roman"/>
          <w:b/>
          <w:u w:val="single"/>
        </w:rPr>
        <w:t>6</w:t>
      </w:r>
      <w:r>
        <w:rPr>
          <w:rFonts w:ascii="Times New Roman" w:hAnsi="Times New Roman" w:cs="Times New Roman"/>
          <w:bCs/>
        </w:rPr>
        <w:t xml:space="preserve">, this bill makes technical corrections, and is </w:t>
      </w:r>
      <w:r w:rsidRPr="002501E3">
        <w:rPr>
          <w:rFonts w:ascii="Times New Roman" w:hAnsi="Times New Roman" w:cs="Times New Roman"/>
          <w:b/>
          <w:u w:val="single"/>
        </w:rPr>
        <w:t>effective February 17, 2026</w:t>
      </w:r>
      <w:r>
        <w:rPr>
          <w:rFonts w:ascii="Times New Roman" w:hAnsi="Times New Roman" w:cs="Times New Roman"/>
          <w:bCs/>
        </w:rPr>
        <w:t>, to conform with the effective date of the original legislation. L</w:t>
      </w:r>
      <w:r w:rsidR="007D12EB">
        <w:rPr>
          <w:rFonts w:ascii="Times New Roman" w:hAnsi="Times New Roman" w:cs="Times New Roman"/>
          <w:bCs/>
        </w:rPr>
        <w:t xml:space="preserve">. </w:t>
      </w:r>
      <w:r>
        <w:rPr>
          <w:rFonts w:ascii="Times New Roman" w:hAnsi="Times New Roman" w:cs="Times New Roman"/>
          <w:bCs/>
        </w:rPr>
        <w:t>2026</w:t>
      </w:r>
      <w:r w:rsidR="007D12EB">
        <w:rPr>
          <w:rFonts w:ascii="Times New Roman" w:hAnsi="Times New Roman" w:cs="Times New Roman"/>
          <w:bCs/>
        </w:rPr>
        <w:t>, Ch. 73.</w:t>
      </w:r>
    </w:p>
    <w:sectPr w:rsidR="002501E3" w:rsidRPr="002501E3" w:rsidSect="00817A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7CED" w14:textId="77777777" w:rsidR="008A3BB9" w:rsidRDefault="008A3BB9" w:rsidP="0013568D">
      <w:pPr>
        <w:spacing w:after="0" w:line="240" w:lineRule="auto"/>
      </w:pPr>
      <w:r>
        <w:separator/>
      </w:r>
    </w:p>
  </w:endnote>
  <w:endnote w:type="continuationSeparator" w:id="0">
    <w:p w14:paraId="39B6354E" w14:textId="77777777" w:rsidR="008A3BB9" w:rsidRDefault="008A3BB9"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rPr>
            <w:b/>
            <w:bCs/>
            <w:i/>
            <w:iCs/>
          </w:rPr>
          <w:id w:val="-1769616900"/>
          <w:docPartObj>
            <w:docPartGallery w:val="Page Numbers (Top of Page)"/>
            <w:docPartUnique/>
          </w:docPartObj>
        </w:sdtPr>
        <w:sdtEndPr>
          <w:rPr>
            <w:b w:val="0"/>
            <w:bCs w:val="0"/>
            <w:i w:val="0"/>
            <w:iCs w:val="0"/>
          </w:rPr>
        </w:sdtEndPr>
        <w:sdtContent>
          <w:p w14:paraId="550BA402" w14:textId="3B51C69B" w:rsidR="0013568D" w:rsidRDefault="00E6791C">
            <w:pPr>
              <w:pStyle w:val="Footer"/>
              <w:jc w:val="right"/>
            </w:pPr>
            <w:r>
              <w:rPr>
                <w:b/>
                <w:bCs/>
                <w:i/>
                <w:iCs/>
              </w:rPr>
              <w:t>NYSBA Family Law Section Update</w:t>
            </w:r>
            <w:r w:rsidR="00601F22">
              <w:rPr>
                <w:b/>
                <w:bCs/>
                <w:i/>
                <w:iCs/>
              </w:rPr>
              <w:t>,</w:t>
            </w:r>
            <w:r w:rsidR="00013D0E" w:rsidRPr="00351E36">
              <w:rPr>
                <w:b/>
                <w:bCs/>
                <w:i/>
                <w:iCs/>
              </w:rPr>
              <w:t xml:space="preserve"> </w:t>
            </w:r>
            <w:r w:rsidR="005A6258">
              <w:rPr>
                <w:b/>
                <w:bCs/>
                <w:i/>
                <w:iCs/>
              </w:rPr>
              <w:t>March</w:t>
            </w:r>
            <w:r w:rsidR="00053972">
              <w:rPr>
                <w:b/>
                <w:bCs/>
                <w:i/>
                <w:iCs/>
              </w:rPr>
              <w:t xml:space="preserve"> 2026</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486F" w14:textId="77777777" w:rsidR="008A3BB9" w:rsidRDefault="008A3BB9" w:rsidP="0013568D">
      <w:pPr>
        <w:spacing w:after="0" w:line="240" w:lineRule="auto"/>
      </w:pPr>
      <w:r>
        <w:separator/>
      </w:r>
    </w:p>
  </w:footnote>
  <w:footnote w:type="continuationSeparator" w:id="0">
    <w:p w14:paraId="734EACFF" w14:textId="77777777" w:rsidR="008A3BB9" w:rsidRDefault="008A3BB9"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466"/>
    <w:rsid w:val="00002FED"/>
    <w:rsid w:val="00013D0E"/>
    <w:rsid w:val="000213AD"/>
    <w:rsid w:val="00022EF5"/>
    <w:rsid w:val="00023CA9"/>
    <w:rsid w:val="000254B3"/>
    <w:rsid w:val="00026D0C"/>
    <w:rsid w:val="00030500"/>
    <w:rsid w:val="00030C5E"/>
    <w:rsid w:val="00030E7B"/>
    <w:rsid w:val="000322B8"/>
    <w:rsid w:val="00032EA3"/>
    <w:rsid w:val="00033C3A"/>
    <w:rsid w:val="00035081"/>
    <w:rsid w:val="000401CE"/>
    <w:rsid w:val="000404FD"/>
    <w:rsid w:val="00041C00"/>
    <w:rsid w:val="00047D19"/>
    <w:rsid w:val="00047F89"/>
    <w:rsid w:val="00051512"/>
    <w:rsid w:val="00051F5B"/>
    <w:rsid w:val="00052C0D"/>
    <w:rsid w:val="00053286"/>
    <w:rsid w:val="000532D9"/>
    <w:rsid w:val="00053972"/>
    <w:rsid w:val="000540AA"/>
    <w:rsid w:val="000551E0"/>
    <w:rsid w:val="0005543C"/>
    <w:rsid w:val="000567CA"/>
    <w:rsid w:val="00060F94"/>
    <w:rsid w:val="0006190F"/>
    <w:rsid w:val="0006218A"/>
    <w:rsid w:val="000625A6"/>
    <w:rsid w:val="00062CD7"/>
    <w:rsid w:val="000654AE"/>
    <w:rsid w:val="00066217"/>
    <w:rsid w:val="00066226"/>
    <w:rsid w:val="000662E8"/>
    <w:rsid w:val="00066D9F"/>
    <w:rsid w:val="0006780C"/>
    <w:rsid w:val="000700E4"/>
    <w:rsid w:val="00071082"/>
    <w:rsid w:val="00071B05"/>
    <w:rsid w:val="00073930"/>
    <w:rsid w:val="0007559B"/>
    <w:rsid w:val="00076A51"/>
    <w:rsid w:val="00076AAD"/>
    <w:rsid w:val="0008087F"/>
    <w:rsid w:val="000827AF"/>
    <w:rsid w:val="00083375"/>
    <w:rsid w:val="00084F76"/>
    <w:rsid w:val="00085BF5"/>
    <w:rsid w:val="00086653"/>
    <w:rsid w:val="000905EB"/>
    <w:rsid w:val="0009096F"/>
    <w:rsid w:val="00091F6C"/>
    <w:rsid w:val="00093E1C"/>
    <w:rsid w:val="00095C78"/>
    <w:rsid w:val="00096BC4"/>
    <w:rsid w:val="00097CD9"/>
    <w:rsid w:val="000A116B"/>
    <w:rsid w:val="000A1F2F"/>
    <w:rsid w:val="000A6E42"/>
    <w:rsid w:val="000B032A"/>
    <w:rsid w:val="000B21E3"/>
    <w:rsid w:val="000B536B"/>
    <w:rsid w:val="000B5F96"/>
    <w:rsid w:val="000B64E3"/>
    <w:rsid w:val="000C0C43"/>
    <w:rsid w:val="000C1A7B"/>
    <w:rsid w:val="000C5DFF"/>
    <w:rsid w:val="000C785E"/>
    <w:rsid w:val="000D0CED"/>
    <w:rsid w:val="000D0EE5"/>
    <w:rsid w:val="000D110E"/>
    <w:rsid w:val="000D1406"/>
    <w:rsid w:val="000D2940"/>
    <w:rsid w:val="000D4808"/>
    <w:rsid w:val="000D69D6"/>
    <w:rsid w:val="000D6BCA"/>
    <w:rsid w:val="000D7ADC"/>
    <w:rsid w:val="000E242F"/>
    <w:rsid w:val="000F050B"/>
    <w:rsid w:val="000F0A5C"/>
    <w:rsid w:val="000F1214"/>
    <w:rsid w:val="000F2339"/>
    <w:rsid w:val="000F286B"/>
    <w:rsid w:val="000F3158"/>
    <w:rsid w:val="000F3A58"/>
    <w:rsid w:val="000F47EE"/>
    <w:rsid w:val="000F5206"/>
    <w:rsid w:val="0010284B"/>
    <w:rsid w:val="00105466"/>
    <w:rsid w:val="00105BF2"/>
    <w:rsid w:val="00105D6C"/>
    <w:rsid w:val="00107716"/>
    <w:rsid w:val="0011039E"/>
    <w:rsid w:val="00110B69"/>
    <w:rsid w:val="00111B35"/>
    <w:rsid w:val="0011428F"/>
    <w:rsid w:val="001157D6"/>
    <w:rsid w:val="00116A8B"/>
    <w:rsid w:val="001248D2"/>
    <w:rsid w:val="001258E1"/>
    <w:rsid w:val="001261EF"/>
    <w:rsid w:val="001270FF"/>
    <w:rsid w:val="0013228F"/>
    <w:rsid w:val="001334B5"/>
    <w:rsid w:val="00133775"/>
    <w:rsid w:val="00135004"/>
    <w:rsid w:val="0013568D"/>
    <w:rsid w:val="001372A1"/>
    <w:rsid w:val="00137E75"/>
    <w:rsid w:val="0014019F"/>
    <w:rsid w:val="001423A0"/>
    <w:rsid w:val="00142D95"/>
    <w:rsid w:val="00144E14"/>
    <w:rsid w:val="00147B98"/>
    <w:rsid w:val="001611AD"/>
    <w:rsid w:val="001626DE"/>
    <w:rsid w:val="00162DC8"/>
    <w:rsid w:val="00164586"/>
    <w:rsid w:val="0016480B"/>
    <w:rsid w:val="00166C26"/>
    <w:rsid w:val="001710F3"/>
    <w:rsid w:val="00171E6E"/>
    <w:rsid w:val="001758DF"/>
    <w:rsid w:val="00176799"/>
    <w:rsid w:val="00177866"/>
    <w:rsid w:val="0018302A"/>
    <w:rsid w:val="00186704"/>
    <w:rsid w:val="001903F1"/>
    <w:rsid w:val="00191BDF"/>
    <w:rsid w:val="00191C80"/>
    <w:rsid w:val="001927B1"/>
    <w:rsid w:val="00192EA0"/>
    <w:rsid w:val="0019396E"/>
    <w:rsid w:val="00195367"/>
    <w:rsid w:val="00196B70"/>
    <w:rsid w:val="00197828"/>
    <w:rsid w:val="00197BE1"/>
    <w:rsid w:val="001A37A7"/>
    <w:rsid w:val="001A41F3"/>
    <w:rsid w:val="001A59EF"/>
    <w:rsid w:val="001A729B"/>
    <w:rsid w:val="001B09C1"/>
    <w:rsid w:val="001B1566"/>
    <w:rsid w:val="001B19AC"/>
    <w:rsid w:val="001B1BD5"/>
    <w:rsid w:val="001B28C0"/>
    <w:rsid w:val="001B5D93"/>
    <w:rsid w:val="001B66E4"/>
    <w:rsid w:val="001B67A5"/>
    <w:rsid w:val="001C238D"/>
    <w:rsid w:val="001C7994"/>
    <w:rsid w:val="001D2A73"/>
    <w:rsid w:val="001D32E2"/>
    <w:rsid w:val="001D3CE2"/>
    <w:rsid w:val="001D4E49"/>
    <w:rsid w:val="001D5634"/>
    <w:rsid w:val="001D5F96"/>
    <w:rsid w:val="001D7603"/>
    <w:rsid w:val="001E1071"/>
    <w:rsid w:val="001E5734"/>
    <w:rsid w:val="001E60EC"/>
    <w:rsid w:val="001E6ACC"/>
    <w:rsid w:val="001E6C91"/>
    <w:rsid w:val="001E7DE2"/>
    <w:rsid w:val="001F1D15"/>
    <w:rsid w:val="001F1EAC"/>
    <w:rsid w:val="001F3A03"/>
    <w:rsid w:val="001F4407"/>
    <w:rsid w:val="001F4CBA"/>
    <w:rsid w:val="001F4F0E"/>
    <w:rsid w:val="001F7222"/>
    <w:rsid w:val="00200A25"/>
    <w:rsid w:val="00200D26"/>
    <w:rsid w:val="00202830"/>
    <w:rsid w:val="00202B4F"/>
    <w:rsid w:val="0020543B"/>
    <w:rsid w:val="0020544D"/>
    <w:rsid w:val="00205554"/>
    <w:rsid w:val="00211262"/>
    <w:rsid w:val="00211575"/>
    <w:rsid w:val="00212037"/>
    <w:rsid w:val="0021394D"/>
    <w:rsid w:val="002140D9"/>
    <w:rsid w:val="00214CA3"/>
    <w:rsid w:val="0021690E"/>
    <w:rsid w:val="002178BA"/>
    <w:rsid w:val="00222428"/>
    <w:rsid w:val="00227EFB"/>
    <w:rsid w:val="002300D3"/>
    <w:rsid w:val="00231ABD"/>
    <w:rsid w:val="002359AD"/>
    <w:rsid w:val="002366B4"/>
    <w:rsid w:val="00236893"/>
    <w:rsid w:val="00240B7B"/>
    <w:rsid w:val="002416A0"/>
    <w:rsid w:val="002418FB"/>
    <w:rsid w:val="00243BBC"/>
    <w:rsid w:val="002442F7"/>
    <w:rsid w:val="00244B55"/>
    <w:rsid w:val="00245175"/>
    <w:rsid w:val="002476E7"/>
    <w:rsid w:val="002501E3"/>
    <w:rsid w:val="00250F9D"/>
    <w:rsid w:val="002539EE"/>
    <w:rsid w:val="00255048"/>
    <w:rsid w:val="0025657B"/>
    <w:rsid w:val="002576B1"/>
    <w:rsid w:val="00260F81"/>
    <w:rsid w:val="00263553"/>
    <w:rsid w:val="002635EA"/>
    <w:rsid w:val="0026369F"/>
    <w:rsid w:val="002640C3"/>
    <w:rsid w:val="00264B31"/>
    <w:rsid w:val="00264D9B"/>
    <w:rsid w:val="00264DB3"/>
    <w:rsid w:val="00265850"/>
    <w:rsid w:val="0026604F"/>
    <w:rsid w:val="00266CF4"/>
    <w:rsid w:val="00274E69"/>
    <w:rsid w:val="00275787"/>
    <w:rsid w:val="0027645F"/>
    <w:rsid w:val="00277304"/>
    <w:rsid w:val="00277940"/>
    <w:rsid w:val="002803DE"/>
    <w:rsid w:val="002816E4"/>
    <w:rsid w:val="002844E5"/>
    <w:rsid w:val="00284525"/>
    <w:rsid w:val="00285163"/>
    <w:rsid w:val="0028627A"/>
    <w:rsid w:val="00286DA7"/>
    <w:rsid w:val="002875C4"/>
    <w:rsid w:val="00287C90"/>
    <w:rsid w:val="0029176C"/>
    <w:rsid w:val="002937EA"/>
    <w:rsid w:val="00295975"/>
    <w:rsid w:val="00296312"/>
    <w:rsid w:val="00296407"/>
    <w:rsid w:val="002A00C7"/>
    <w:rsid w:val="002A0635"/>
    <w:rsid w:val="002A378A"/>
    <w:rsid w:val="002A417E"/>
    <w:rsid w:val="002B2655"/>
    <w:rsid w:val="002B3C7F"/>
    <w:rsid w:val="002C0242"/>
    <w:rsid w:val="002C0F9A"/>
    <w:rsid w:val="002C1D9B"/>
    <w:rsid w:val="002C34BB"/>
    <w:rsid w:val="002C371B"/>
    <w:rsid w:val="002C38DD"/>
    <w:rsid w:val="002C408C"/>
    <w:rsid w:val="002C4256"/>
    <w:rsid w:val="002C5EF0"/>
    <w:rsid w:val="002D194C"/>
    <w:rsid w:val="002D21B9"/>
    <w:rsid w:val="002D45D9"/>
    <w:rsid w:val="002D4C74"/>
    <w:rsid w:val="002D6348"/>
    <w:rsid w:val="002D78E1"/>
    <w:rsid w:val="002E01D4"/>
    <w:rsid w:val="002E0C8F"/>
    <w:rsid w:val="002E2596"/>
    <w:rsid w:val="002E493F"/>
    <w:rsid w:val="002E5AF2"/>
    <w:rsid w:val="002E7BF2"/>
    <w:rsid w:val="002F03B1"/>
    <w:rsid w:val="002F1517"/>
    <w:rsid w:val="002F23FB"/>
    <w:rsid w:val="002F473E"/>
    <w:rsid w:val="002F50D8"/>
    <w:rsid w:val="002F6FA9"/>
    <w:rsid w:val="002F7615"/>
    <w:rsid w:val="00300416"/>
    <w:rsid w:val="00300748"/>
    <w:rsid w:val="00302F0A"/>
    <w:rsid w:val="0030321A"/>
    <w:rsid w:val="00303952"/>
    <w:rsid w:val="00304190"/>
    <w:rsid w:val="003136B7"/>
    <w:rsid w:val="003155EB"/>
    <w:rsid w:val="00316AE4"/>
    <w:rsid w:val="00316B46"/>
    <w:rsid w:val="003208C8"/>
    <w:rsid w:val="00321869"/>
    <w:rsid w:val="003270F6"/>
    <w:rsid w:val="0032713C"/>
    <w:rsid w:val="00331173"/>
    <w:rsid w:val="00332ECF"/>
    <w:rsid w:val="00334BEE"/>
    <w:rsid w:val="003374BD"/>
    <w:rsid w:val="003415F7"/>
    <w:rsid w:val="00341AB2"/>
    <w:rsid w:val="003433C5"/>
    <w:rsid w:val="00344411"/>
    <w:rsid w:val="0035026F"/>
    <w:rsid w:val="00351E36"/>
    <w:rsid w:val="00354A11"/>
    <w:rsid w:val="0035715C"/>
    <w:rsid w:val="0035791C"/>
    <w:rsid w:val="00362AAA"/>
    <w:rsid w:val="00362C17"/>
    <w:rsid w:val="0036502B"/>
    <w:rsid w:val="00365549"/>
    <w:rsid w:val="00367183"/>
    <w:rsid w:val="0037175C"/>
    <w:rsid w:val="00371823"/>
    <w:rsid w:val="00374C34"/>
    <w:rsid w:val="00375621"/>
    <w:rsid w:val="00375AF9"/>
    <w:rsid w:val="00375E4B"/>
    <w:rsid w:val="00381CBC"/>
    <w:rsid w:val="0038342C"/>
    <w:rsid w:val="0038544A"/>
    <w:rsid w:val="003861E9"/>
    <w:rsid w:val="00387A1F"/>
    <w:rsid w:val="00387D11"/>
    <w:rsid w:val="0039326A"/>
    <w:rsid w:val="0039379B"/>
    <w:rsid w:val="00393A13"/>
    <w:rsid w:val="0039601B"/>
    <w:rsid w:val="00397713"/>
    <w:rsid w:val="003A0196"/>
    <w:rsid w:val="003A1DE5"/>
    <w:rsid w:val="003A2DE0"/>
    <w:rsid w:val="003A3A37"/>
    <w:rsid w:val="003A4E0D"/>
    <w:rsid w:val="003A521A"/>
    <w:rsid w:val="003A58AF"/>
    <w:rsid w:val="003A6591"/>
    <w:rsid w:val="003A73BE"/>
    <w:rsid w:val="003B1027"/>
    <w:rsid w:val="003B3BC9"/>
    <w:rsid w:val="003B3D44"/>
    <w:rsid w:val="003B533E"/>
    <w:rsid w:val="003B59AD"/>
    <w:rsid w:val="003B7088"/>
    <w:rsid w:val="003C0C3C"/>
    <w:rsid w:val="003C2789"/>
    <w:rsid w:val="003C531D"/>
    <w:rsid w:val="003C5858"/>
    <w:rsid w:val="003C67FC"/>
    <w:rsid w:val="003C7137"/>
    <w:rsid w:val="003D151D"/>
    <w:rsid w:val="003D2FB1"/>
    <w:rsid w:val="003D7C08"/>
    <w:rsid w:val="003E12C1"/>
    <w:rsid w:val="003E2392"/>
    <w:rsid w:val="003E3A8A"/>
    <w:rsid w:val="003E5A82"/>
    <w:rsid w:val="003E5E58"/>
    <w:rsid w:val="003E618F"/>
    <w:rsid w:val="003F3EFE"/>
    <w:rsid w:val="003F4BBA"/>
    <w:rsid w:val="00401CF6"/>
    <w:rsid w:val="00402074"/>
    <w:rsid w:val="004027AB"/>
    <w:rsid w:val="00402A62"/>
    <w:rsid w:val="00403DB6"/>
    <w:rsid w:val="004055E6"/>
    <w:rsid w:val="00405D6A"/>
    <w:rsid w:val="00406B54"/>
    <w:rsid w:val="00412122"/>
    <w:rsid w:val="00412E43"/>
    <w:rsid w:val="0041565E"/>
    <w:rsid w:val="0042070D"/>
    <w:rsid w:val="0042173F"/>
    <w:rsid w:val="00423B86"/>
    <w:rsid w:val="00424D96"/>
    <w:rsid w:val="00427249"/>
    <w:rsid w:val="0043007A"/>
    <w:rsid w:val="00433165"/>
    <w:rsid w:val="00434674"/>
    <w:rsid w:val="004352EE"/>
    <w:rsid w:val="00436002"/>
    <w:rsid w:val="00436C6A"/>
    <w:rsid w:val="004403EA"/>
    <w:rsid w:val="0044154F"/>
    <w:rsid w:val="00441764"/>
    <w:rsid w:val="0044182D"/>
    <w:rsid w:val="00442151"/>
    <w:rsid w:val="00442B12"/>
    <w:rsid w:val="00442E95"/>
    <w:rsid w:val="00443DF1"/>
    <w:rsid w:val="00444E1C"/>
    <w:rsid w:val="00445701"/>
    <w:rsid w:val="00445B42"/>
    <w:rsid w:val="00447881"/>
    <w:rsid w:val="00447B0B"/>
    <w:rsid w:val="00455A34"/>
    <w:rsid w:val="004567BA"/>
    <w:rsid w:val="00456862"/>
    <w:rsid w:val="00456919"/>
    <w:rsid w:val="00460089"/>
    <w:rsid w:val="00460CF1"/>
    <w:rsid w:val="0046118C"/>
    <w:rsid w:val="004617EF"/>
    <w:rsid w:val="00464212"/>
    <w:rsid w:val="0046490D"/>
    <w:rsid w:val="00466410"/>
    <w:rsid w:val="00467951"/>
    <w:rsid w:val="00470443"/>
    <w:rsid w:val="00472A91"/>
    <w:rsid w:val="00474065"/>
    <w:rsid w:val="004773F0"/>
    <w:rsid w:val="00480909"/>
    <w:rsid w:val="00480FC7"/>
    <w:rsid w:val="0048175B"/>
    <w:rsid w:val="004817E1"/>
    <w:rsid w:val="00485028"/>
    <w:rsid w:val="00487D28"/>
    <w:rsid w:val="00490C4F"/>
    <w:rsid w:val="0049268A"/>
    <w:rsid w:val="004937E4"/>
    <w:rsid w:val="004975B0"/>
    <w:rsid w:val="004A1A7F"/>
    <w:rsid w:val="004A26C8"/>
    <w:rsid w:val="004A40BC"/>
    <w:rsid w:val="004A55CA"/>
    <w:rsid w:val="004B14D5"/>
    <w:rsid w:val="004B1E3E"/>
    <w:rsid w:val="004B23DB"/>
    <w:rsid w:val="004B5BF7"/>
    <w:rsid w:val="004B6E26"/>
    <w:rsid w:val="004C11F7"/>
    <w:rsid w:val="004C1B2A"/>
    <w:rsid w:val="004C2690"/>
    <w:rsid w:val="004C2D8F"/>
    <w:rsid w:val="004C6309"/>
    <w:rsid w:val="004C6FEA"/>
    <w:rsid w:val="004D122F"/>
    <w:rsid w:val="004D1831"/>
    <w:rsid w:val="004D1B2F"/>
    <w:rsid w:val="004D2AAD"/>
    <w:rsid w:val="004D348C"/>
    <w:rsid w:val="004D3CD1"/>
    <w:rsid w:val="004D5479"/>
    <w:rsid w:val="004D7017"/>
    <w:rsid w:val="004E0119"/>
    <w:rsid w:val="004E02BA"/>
    <w:rsid w:val="004E0A2A"/>
    <w:rsid w:val="004E304C"/>
    <w:rsid w:val="004E3DE2"/>
    <w:rsid w:val="004E4A48"/>
    <w:rsid w:val="004E578D"/>
    <w:rsid w:val="004F183D"/>
    <w:rsid w:val="004F1E58"/>
    <w:rsid w:val="004F2B31"/>
    <w:rsid w:val="004F2D7B"/>
    <w:rsid w:val="004F34EE"/>
    <w:rsid w:val="004F46B1"/>
    <w:rsid w:val="004F71FB"/>
    <w:rsid w:val="0050045E"/>
    <w:rsid w:val="00503467"/>
    <w:rsid w:val="0050389F"/>
    <w:rsid w:val="00504AA4"/>
    <w:rsid w:val="005061E0"/>
    <w:rsid w:val="0051207C"/>
    <w:rsid w:val="005136EF"/>
    <w:rsid w:val="00514134"/>
    <w:rsid w:val="00520D3D"/>
    <w:rsid w:val="00523DA5"/>
    <w:rsid w:val="005244CF"/>
    <w:rsid w:val="005254EB"/>
    <w:rsid w:val="00525DC5"/>
    <w:rsid w:val="0052614B"/>
    <w:rsid w:val="00531535"/>
    <w:rsid w:val="00532B1B"/>
    <w:rsid w:val="00532BC6"/>
    <w:rsid w:val="005335A2"/>
    <w:rsid w:val="00534D55"/>
    <w:rsid w:val="00534ECF"/>
    <w:rsid w:val="00540676"/>
    <w:rsid w:val="0054078A"/>
    <w:rsid w:val="005409A9"/>
    <w:rsid w:val="00540FC7"/>
    <w:rsid w:val="005428A6"/>
    <w:rsid w:val="0054330B"/>
    <w:rsid w:val="00543617"/>
    <w:rsid w:val="00543D1C"/>
    <w:rsid w:val="00545857"/>
    <w:rsid w:val="005507B6"/>
    <w:rsid w:val="00550BB5"/>
    <w:rsid w:val="00552BF3"/>
    <w:rsid w:val="005547A4"/>
    <w:rsid w:val="0055670A"/>
    <w:rsid w:val="00557CD2"/>
    <w:rsid w:val="00561B60"/>
    <w:rsid w:val="00561F6A"/>
    <w:rsid w:val="005636F9"/>
    <w:rsid w:val="00564040"/>
    <w:rsid w:val="0056461A"/>
    <w:rsid w:val="0057264C"/>
    <w:rsid w:val="00574051"/>
    <w:rsid w:val="00574618"/>
    <w:rsid w:val="005750C3"/>
    <w:rsid w:val="005764AE"/>
    <w:rsid w:val="005767B5"/>
    <w:rsid w:val="00581B3D"/>
    <w:rsid w:val="0058313B"/>
    <w:rsid w:val="005834BD"/>
    <w:rsid w:val="00583E77"/>
    <w:rsid w:val="0058461B"/>
    <w:rsid w:val="005854D5"/>
    <w:rsid w:val="00587C83"/>
    <w:rsid w:val="00590397"/>
    <w:rsid w:val="00591B5A"/>
    <w:rsid w:val="00591FEA"/>
    <w:rsid w:val="00593428"/>
    <w:rsid w:val="005941DF"/>
    <w:rsid w:val="00596002"/>
    <w:rsid w:val="0059627F"/>
    <w:rsid w:val="0059679A"/>
    <w:rsid w:val="005A11BF"/>
    <w:rsid w:val="005A14E6"/>
    <w:rsid w:val="005A20B1"/>
    <w:rsid w:val="005A43BD"/>
    <w:rsid w:val="005A6258"/>
    <w:rsid w:val="005A63C9"/>
    <w:rsid w:val="005B0F11"/>
    <w:rsid w:val="005B1C52"/>
    <w:rsid w:val="005B3F80"/>
    <w:rsid w:val="005B40E1"/>
    <w:rsid w:val="005B4A10"/>
    <w:rsid w:val="005B7C91"/>
    <w:rsid w:val="005C0C8C"/>
    <w:rsid w:val="005C2F2D"/>
    <w:rsid w:val="005C3139"/>
    <w:rsid w:val="005C4305"/>
    <w:rsid w:val="005C5D5A"/>
    <w:rsid w:val="005C7097"/>
    <w:rsid w:val="005C75EE"/>
    <w:rsid w:val="005D137C"/>
    <w:rsid w:val="005D18EA"/>
    <w:rsid w:val="005D1A9A"/>
    <w:rsid w:val="005D528C"/>
    <w:rsid w:val="005D7B18"/>
    <w:rsid w:val="005D7C17"/>
    <w:rsid w:val="005E2B5F"/>
    <w:rsid w:val="005E3BFD"/>
    <w:rsid w:val="005E436D"/>
    <w:rsid w:val="005F11C0"/>
    <w:rsid w:val="005F1C96"/>
    <w:rsid w:val="005F1FE4"/>
    <w:rsid w:val="005F23A3"/>
    <w:rsid w:val="005F4375"/>
    <w:rsid w:val="005F4E5A"/>
    <w:rsid w:val="005F523E"/>
    <w:rsid w:val="005F53C7"/>
    <w:rsid w:val="006001EC"/>
    <w:rsid w:val="00600535"/>
    <w:rsid w:val="006008DC"/>
    <w:rsid w:val="00601F22"/>
    <w:rsid w:val="00603B56"/>
    <w:rsid w:val="006041F0"/>
    <w:rsid w:val="00604BBE"/>
    <w:rsid w:val="006074D7"/>
    <w:rsid w:val="00615EBA"/>
    <w:rsid w:val="006163E7"/>
    <w:rsid w:val="006206B6"/>
    <w:rsid w:val="006207B6"/>
    <w:rsid w:val="00620B69"/>
    <w:rsid w:val="00620BCC"/>
    <w:rsid w:val="006244B6"/>
    <w:rsid w:val="00624BFB"/>
    <w:rsid w:val="006250E1"/>
    <w:rsid w:val="00626431"/>
    <w:rsid w:val="006268E6"/>
    <w:rsid w:val="006275BD"/>
    <w:rsid w:val="00630E8A"/>
    <w:rsid w:val="00631D12"/>
    <w:rsid w:val="00631E50"/>
    <w:rsid w:val="00632DF8"/>
    <w:rsid w:val="00633F7B"/>
    <w:rsid w:val="0063482D"/>
    <w:rsid w:val="00637907"/>
    <w:rsid w:val="0064076C"/>
    <w:rsid w:val="0064131D"/>
    <w:rsid w:val="00641967"/>
    <w:rsid w:val="006446D9"/>
    <w:rsid w:val="00646820"/>
    <w:rsid w:val="00647E41"/>
    <w:rsid w:val="006503C8"/>
    <w:rsid w:val="00652C27"/>
    <w:rsid w:val="00652EDA"/>
    <w:rsid w:val="006534E1"/>
    <w:rsid w:val="00653A61"/>
    <w:rsid w:val="00653C6D"/>
    <w:rsid w:val="00654971"/>
    <w:rsid w:val="00654C14"/>
    <w:rsid w:val="00654EDC"/>
    <w:rsid w:val="00655DF5"/>
    <w:rsid w:val="00656C86"/>
    <w:rsid w:val="00660DA3"/>
    <w:rsid w:val="0066211F"/>
    <w:rsid w:val="00662472"/>
    <w:rsid w:val="00662593"/>
    <w:rsid w:val="00662C8E"/>
    <w:rsid w:val="00673005"/>
    <w:rsid w:val="00674FBC"/>
    <w:rsid w:val="006768D4"/>
    <w:rsid w:val="00676DB4"/>
    <w:rsid w:val="00676E0C"/>
    <w:rsid w:val="0067755D"/>
    <w:rsid w:val="00677776"/>
    <w:rsid w:val="006806C2"/>
    <w:rsid w:val="00681041"/>
    <w:rsid w:val="006814A3"/>
    <w:rsid w:val="00681FF3"/>
    <w:rsid w:val="00682416"/>
    <w:rsid w:val="00682F58"/>
    <w:rsid w:val="00684C18"/>
    <w:rsid w:val="00684C68"/>
    <w:rsid w:val="00687A35"/>
    <w:rsid w:val="00690935"/>
    <w:rsid w:val="006909C0"/>
    <w:rsid w:val="00690AAF"/>
    <w:rsid w:val="00691C58"/>
    <w:rsid w:val="006930CE"/>
    <w:rsid w:val="006934AC"/>
    <w:rsid w:val="00693AB6"/>
    <w:rsid w:val="00695392"/>
    <w:rsid w:val="00696AF5"/>
    <w:rsid w:val="006976EF"/>
    <w:rsid w:val="006976F6"/>
    <w:rsid w:val="0069775F"/>
    <w:rsid w:val="006A15AC"/>
    <w:rsid w:val="006A1E72"/>
    <w:rsid w:val="006A3CE8"/>
    <w:rsid w:val="006A51E4"/>
    <w:rsid w:val="006A53A1"/>
    <w:rsid w:val="006A543B"/>
    <w:rsid w:val="006A5A7F"/>
    <w:rsid w:val="006A608A"/>
    <w:rsid w:val="006B4BE8"/>
    <w:rsid w:val="006C00DA"/>
    <w:rsid w:val="006C5C0A"/>
    <w:rsid w:val="006C650A"/>
    <w:rsid w:val="006C66A9"/>
    <w:rsid w:val="006D0E76"/>
    <w:rsid w:val="006D181B"/>
    <w:rsid w:val="006D4A7A"/>
    <w:rsid w:val="006E43BC"/>
    <w:rsid w:val="006E457A"/>
    <w:rsid w:val="006E4AE6"/>
    <w:rsid w:val="006E5D5C"/>
    <w:rsid w:val="006E6426"/>
    <w:rsid w:val="006E64B0"/>
    <w:rsid w:val="006F28E2"/>
    <w:rsid w:val="006F2B5D"/>
    <w:rsid w:val="006F39E4"/>
    <w:rsid w:val="006F4972"/>
    <w:rsid w:val="006F6113"/>
    <w:rsid w:val="00700D68"/>
    <w:rsid w:val="007023ED"/>
    <w:rsid w:val="007034E4"/>
    <w:rsid w:val="00704457"/>
    <w:rsid w:val="0070449D"/>
    <w:rsid w:val="007058D9"/>
    <w:rsid w:val="00707127"/>
    <w:rsid w:val="00711785"/>
    <w:rsid w:val="00712602"/>
    <w:rsid w:val="00713918"/>
    <w:rsid w:val="007165EB"/>
    <w:rsid w:val="00722019"/>
    <w:rsid w:val="00722A55"/>
    <w:rsid w:val="00723FFD"/>
    <w:rsid w:val="007261F7"/>
    <w:rsid w:val="00726C77"/>
    <w:rsid w:val="00727088"/>
    <w:rsid w:val="00727698"/>
    <w:rsid w:val="007333D3"/>
    <w:rsid w:val="00734B55"/>
    <w:rsid w:val="00737D0E"/>
    <w:rsid w:val="007413B0"/>
    <w:rsid w:val="00741F62"/>
    <w:rsid w:val="00743824"/>
    <w:rsid w:val="007479BB"/>
    <w:rsid w:val="00750118"/>
    <w:rsid w:val="00750B3D"/>
    <w:rsid w:val="00752151"/>
    <w:rsid w:val="007522E2"/>
    <w:rsid w:val="0075384D"/>
    <w:rsid w:val="00753F42"/>
    <w:rsid w:val="00754F0F"/>
    <w:rsid w:val="007555CE"/>
    <w:rsid w:val="00755DD0"/>
    <w:rsid w:val="00756153"/>
    <w:rsid w:val="00756403"/>
    <w:rsid w:val="0075779E"/>
    <w:rsid w:val="0076014C"/>
    <w:rsid w:val="007604D9"/>
    <w:rsid w:val="007627B6"/>
    <w:rsid w:val="00766728"/>
    <w:rsid w:val="007701FC"/>
    <w:rsid w:val="0077038C"/>
    <w:rsid w:val="00772BC3"/>
    <w:rsid w:val="0077356F"/>
    <w:rsid w:val="007741D3"/>
    <w:rsid w:val="00774719"/>
    <w:rsid w:val="0077478E"/>
    <w:rsid w:val="007773D2"/>
    <w:rsid w:val="0078177F"/>
    <w:rsid w:val="00783484"/>
    <w:rsid w:val="00783A91"/>
    <w:rsid w:val="00783B98"/>
    <w:rsid w:val="00786D22"/>
    <w:rsid w:val="00787BAF"/>
    <w:rsid w:val="00791A4E"/>
    <w:rsid w:val="00792C72"/>
    <w:rsid w:val="00792DC9"/>
    <w:rsid w:val="00793B25"/>
    <w:rsid w:val="007940C4"/>
    <w:rsid w:val="0079413E"/>
    <w:rsid w:val="00795C14"/>
    <w:rsid w:val="0079600E"/>
    <w:rsid w:val="007A12A9"/>
    <w:rsid w:val="007A23A9"/>
    <w:rsid w:val="007A2D12"/>
    <w:rsid w:val="007B0927"/>
    <w:rsid w:val="007B13CE"/>
    <w:rsid w:val="007B1F53"/>
    <w:rsid w:val="007B398A"/>
    <w:rsid w:val="007B599D"/>
    <w:rsid w:val="007B7631"/>
    <w:rsid w:val="007B7D13"/>
    <w:rsid w:val="007C1BF4"/>
    <w:rsid w:val="007C3314"/>
    <w:rsid w:val="007C6CD2"/>
    <w:rsid w:val="007C746B"/>
    <w:rsid w:val="007C776D"/>
    <w:rsid w:val="007C7ACA"/>
    <w:rsid w:val="007D12EB"/>
    <w:rsid w:val="007D26EF"/>
    <w:rsid w:val="007D36CB"/>
    <w:rsid w:val="007D43E5"/>
    <w:rsid w:val="007D4702"/>
    <w:rsid w:val="007D5697"/>
    <w:rsid w:val="007D64B6"/>
    <w:rsid w:val="007D66D6"/>
    <w:rsid w:val="007D6956"/>
    <w:rsid w:val="007D7789"/>
    <w:rsid w:val="007E0AFE"/>
    <w:rsid w:val="007E5221"/>
    <w:rsid w:val="007E6901"/>
    <w:rsid w:val="007E71A2"/>
    <w:rsid w:val="007E7E51"/>
    <w:rsid w:val="007E7ECB"/>
    <w:rsid w:val="007F0353"/>
    <w:rsid w:val="007F0FAA"/>
    <w:rsid w:val="007F0FE7"/>
    <w:rsid w:val="007F14BE"/>
    <w:rsid w:val="007F1901"/>
    <w:rsid w:val="007F1921"/>
    <w:rsid w:val="007F2E6D"/>
    <w:rsid w:val="007F367F"/>
    <w:rsid w:val="007F36DF"/>
    <w:rsid w:val="007F3A6D"/>
    <w:rsid w:val="008014F1"/>
    <w:rsid w:val="00801E66"/>
    <w:rsid w:val="00802BC6"/>
    <w:rsid w:val="00805174"/>
    <w:rsid w:val="0080647E"/>
    <w:rsid w:val="00806731"/>
    <w:rsid w:val="0080674A"/>
    <w:rsid w:val="008076B1"/>
    <w:rsid w:val="00812178"/>
    <w:rsid w:val="00813A43"/>
    <w:rsid w:val="00815927"/>
    <w:rsid w:val="00817ADB"/>
    <w:rsid w:val="00817AF0"/>
    <w:rsid w:val="00822735"/>
    <w:rsid w:val="00825244"/>
    <w:rsid w:val="008256BC"/>
    <w:rsid w:val="00831BF4"/>
    <w:rsid w:val="0083296D"/>
    <w:rsid w:val="00832EE4"/>
    <w:rsid w:val="0083549F"/>
    <w:rsid w:val="00835E2A"/>
    <w:rsid w:val="008368B0"/>
    <w:rsid w:val="008370E9"/>
    <w:rsid w:val="00837EF3"/>
    <w:rsid w:val="00840290"/>
    <w:rsid w:val="0084153B"/>
    <w:rsid w:val="00841F77"/>
    <w:rsid w:val="0084263A"/>
    <w:rsid w:val="00844D77"/>
    <w:rsid w:val="00844F0E"/>
    <w:rsid w:val="00845B5C"/>
    <w:rsid w:val="00846723"/>
    <w:rsid w:val="00850E04"/>
    <w:rsid w:val="00851131"/>
    <w:rsid w:val="008539B2"/>
    <w:rsid w:val="00855452"/>
    <w:rsid w:val="0085574B"/>
    <w:rsid w:val="00857BC9"/>
    <w:rsid w:val="00860AE4"/>
    <w:rsid w:val="00862943"/>
    <w:rsid w:val="00872814"/>
    <w:rsid w:val="00872AEB"/>
    <w:rsid w:val="0088005C"/>
    <w:rsid w:val="0088124E"/>
    <w:rsid w:val="0089226B"/>
    <w:rsid w:val="00893F63"/>
    <w:rsid w:val="00895F93"/>
    <w:rsid w:val="00896DD4"/>
    <w:rsid w:val="00896F6E"/>
    <w:rsid w:val="0089741C"/>
    <w:rsid w:val="00897F14"/>
    <w:rsid w:val="00897F26"/>
    <w:rsid w:val="008A11BF"/>
    <w:rsid w:val="008A3BB9"/>
    <w:rsid w:val="008B0051"/>
    <w:rsid w:val="008B2B87"/>
    <w:rsid w:val="008B4AF2"/>
    <w:rsid w:val="008B56BA"/>
    <w:rsid w:val="008B5C13"/>
    <w:rsid w:val="008B7085"/>
    <w:rsid w:val="008B7888"/>
    <w:rsid w:val="008C05AE"/>
    <w:rsid w:val="008C145B"/>
    <w:rsid w:val="008C186F"/>
    <w:rsid w:val="008C189C"/>
    <w:rsid w:val="008C2582"/>
    <w:rsid w:val="008C33BB"/>
    <w:rsid w:val="008C651D"/>
    <w:rsid w:val="008C715C"/>
    <w:rsid w:val="008D2AC8"/>
    <w:rsid w:val="008D3A1D"/>
    <w:rsid w:val="008D531C"/>
    <w:rsid w:val="008D5F44"/>
    <w:rsid w:val="008D5F89"/>
    <w:rsid w:val="008E2137"/>
    <w:rsid w:val="008E2AB9"/>
    <w:rsid w:val="008E3966"/>
    <w:rsid w:val="008E3A10"/>
    <w:rsid w:val="008E4B3B"/>
    <w:rsid w:val="008F1A67"/>
    <w:rsid w:val="008F23F2"/>
    <w:rsid w:val="008F5B45"/>
    <w:rsid w:val="00900466"/>
    <w:rsid w:val="00900D3C"/>
    <w:rsid w:val="00900E49"/>
    <w:rsid w:val="00901022"/>
    <w:rsid w:val="0090215F"/>
    <w:rsid w:val="0090241D"/>
    <w:rsid w:val="009048AC"/>
    <w:rsid w:val="009055B2"/>
    <w:rsid w:val="00905997"/>
    <w:rsid w:val="00910EAD"/>
    <w:rsid w:val="00915579"/>
    <w:rsid w:val="00915DEF"/>
    <w:rsid w:val="00916690"/>
    <w:rsid w:val="00920713"/>
    <w:rsid w:val="00922813"/>
    <w:rsid w:val="00922AF3"/>
    <w:rsid w:val="00925C96"/>
    <w:rsid w:val="00926438"/>
    <w:rsid w:val="00926952"/>
    <w:rsid w:val="00927355"/>
    <w:rsid w:val="00932F6F"/>
    <w:rsid w:val="00935EA6"/>
    <w:rsid w:val="00937880"/>
    <w:rsid w:val="0094100B"/>
    <w:rsid w:val="0094307B"/>
    <w:rsid w:val="009463C2"/>
    <w:rsid w:val="00946656"/>
    <w:rsid w:val="009479C7"/>
    <w:rsid w:val="009507F4"/>
    <w:rsid w:val="00952D57"/>
    <w:rsid w:val="00953E64"/>
    <w:rsid w:val="00954676"/>
    <w:rsid w:val="00955C58"/>
    <w:rsid w:val="00956A11"/>
    <w:rsid w:val="009573A3"/>
    <w:rsid w:val="00960F1C"/>
    <w:rsid w:val="00963446"/>
    <w:rsid w:val="009636EE"/>
    <w:rsid w:val="00963AA1"/>
    <w:rsid w:val="009646B0"/>
    <w:rsid w:val="00964C56"/>
    <w:rsid w:val="009719A3"/>
    <w:rsid w:val="0097513C"/>
    <w:rsid w:val="00975A07"/>
    <w:rsid w:val="00976DCF"/>
    <w:rsid w:val="009775DF"/>
    <w:rsid w:val="00983212"/>
    <w:rsid w:val="0098400E"/>
    <w:rsid w:val="0098646D"/>
    <w:rsid w:val="00990D77"/>
    <w:rsid w:val="0099446A"/>
    <w:rsid w:val="00994F89"/>
    <w:rsid w:val="00997FA9"/>
    <w:rsid w:val="009A1615"/>
    <w:rsid w:val="009A29BF"/>
    <w:rsid w:val="009A315A"/>
    <w:rsid w:val="009A4576"/>
    <w:rsid w:val="009A4CE7"/>
    <w:rsid w:val="009A5971"/>
    <w:rsid w:val="009A5A55"/>
    <w:rsid w:val="009A5BA5"/>
    <w:rsid w:val="009A6839"/>
    <w:rsid w:val="009A6AD5"/>
    <w:rsid w:val="009A77C4"/>
    <w:rsid w:val="009A7D8C"/>
    <w:rsid w:val="009B1427"/>
    <w:rsid w:val="009B457C"/>
    <w:rsid w:val="009B63D2"/>
    <w:rsid w:val="009C25D9"/>
    <w:rsid w:val="009C2B63"/>
    <w:rsid w:val="009C2EF5"/>
    <w:rsid w:val="009D16C6"/>
    <w:rsid w:val="009E1888"/>
    <w:rsid w:val="009E28DC"/>
    <w:rsid w:val="009E304D"/>
    <w:rsid w:val="009E42E3"/>
    <w:rsid w:val="009E56A0"/>
    <w:rsid w:val="009F0FA5"/>
    <w:rsid w:val="009F1F13"/>
    <w:rsid w:val="009F3787"/>
    <w:rsid w:val="009F379D"/>
    <w:rsid w:val="009F71BA"/>
    <w:rsid w:val="009F786C"/>
    <w:rsid w:val="00A0076E"/>
    <w:rsid w:val="00A01BE5"/>
    <w:rsid w:val="00A04C4B"/>
    <w:rsid w:val="00A04CD8"/>
    <w:rsid w:val="00A06B07"/>
    <w:rsid w:val="00A06DC6"/>
    <w:rsid w:val="00A06E64"/>
    <w:rsid w:val="00A0753F"/>
    <w:rsid w:val="00A07979"/>
    <w:rsid w:val="00A10259"/>
    <w:rsid w:val="00A11264"/>
    <w:rsid w:val="00A1162D"/>
    <w:rsid w:val="00A13080"/>
    <w:rsid w:val="00A1338F"/>
    <w:rsid w:val="00A13967"/>
    <w:rsid w:val="00A1542F"/>
    <w:rsid w:val="00A15BC1"/>
    <w:rsid w:val="00A16892"/>
    <w:rsid w:val="00A16C7D"/>
    <w:rsid w:val="00A20024"/>
    <w:rsid w:val="00A22355"/>
    <w:rsid w:val="00A22728"/>
    <w:rsid w:val="00A25D6D"/>
    <w:rsid w:val="00A279E6"/>
    <w:rsid w:val="00A343AE"/>
    <w:rsid w:val="00A350A3"/>
    <w:rsid w:val="00A36479"/>
    <w:rsid w:val="00A43ED8"/>
    <w:rsid w:val="00A43FC9"/>
    <w:rsid w:val="00A50623"/>
    <w:rsid w:val="00A54CD2"/>
    <w:rsid w:val="00A55554"/>
    <w:rsid w:val="00A57CC7"/>
    <w:rsid w:val="00A57FCB"/>
    <w:rsid w:val="00A61A8B"/>
    <w:rsid w:val="00A65503"/>
    <w:rsid w:val="00A669A6"/>
    <w:rsid w:val="00A6729A"/>
    <w:rsid w:val="00A7124C"/>
    <w:rsid w:val="00A73D94"/>
    <w:rsid w:val="00A746FC"/>
    <w:rsid w:val="00A75B6F"/>
    <w:rsid w:val="00A83FEB"/>
    <w:rsid w:val="00A8477A"/>
    <w:rsid w:val="00A84907"/>
    <w:rsid w:val="00A85C88"/>
    <w:rsid w:val="00A911AB"/>
    <w:rsid w:val="00A9259B"/>
    <w:rsid w:val="00A94CEF"/>
    <w:rsid w:val="00A95835"/>
    <w:rsid w:val="00A960E9"/>
    <w:rsid w:val="00AA008A"/>
    <w:rsid w:val="00AA0AD2"/>
    <w:rsid w:val="00AA33D7"/>
    <w:rsid w:val="00AA37B5"/>
    <w:rsid w:val="00AA40AC"/>
    <w:rsid w:val="00AA6304"/>
    <w:rsid w:val="00AA6D49"/>
    <w:rsid w:val="00AB0549"/>
    <w:rsid w:val="00AB0F3D"/>
    <w:rsid w:val="00AB1981"/>
    <w:rsid w:val="00AB1C59"/>
    <w:rsid w:val="00AB1F18"/>
    <w:rsid w:val="00AB2711"/>
    <w:rsid w:val="00AB2D56"/>
    <w:rsid w:val="00AB2F6E"/>
    <w:rsid w:val="00AB36FD"/>
    <w:rsid w:val="00AB425B"/>
    <w:rsid w:val="00AB43F7"/>
    <w:rsid w:val="00AB482C"/>
    <w:rsid w:val="00AB6102"/>
    <w:rsid w:val="00AC33A6"/>
    <w:rsid w:val="00AC35F3"/>
    <w:rsid w:val="00AC39FC"/>
    <w:rsid w:val="00AC66F6"/>
    <w:rsid w:val="00AD22A2"/>
    <w:rsid w:val="00AD31F0"/>
    <w:rsid w:val="00AD51E1"/>
    <w:rsid w:val="00AD555F"/>
    <w:rsid w:val="00AD57BF"/>
    <w:rsid w:val="00AD608C"/>
    <w:rsid w:val="00AD6936"/>
    <w:rsid w:val="00AD7210"/>
    <w:rsid w:val="00AE1154"/>
    <w:rsid w:val="00AE1F87"/>
    <w:rsid w:val="00AE237E"/>
    <w:rsid w:val="00AE247D"/>
    <w:rsid w:val="00AE3480"/>
    <w:rsid w:val="00AE36CB"/>
    <w:rsid w:val="00AE49C5"/>
    <w:rsid w:val="00AE4D2C"/>
    <w:rsid w:val="00AE5B72"/>
    <w:rsid w:val="00AE5B98"/>
    <w:rsid w:val="00AE6954"/>
    <w:rsid w:val="00AF0A22"/>
    <w:rsid w:val="00AF0EA9"/>
    <w:rsid w:val="00AF1CBF"/>
    <w:rsid w:val="00AF39B5"/>
    <w:rsid w:val="00AF56FA"/>
    <w:rsid w:val="00B01E70"/>
    <w:rsid w:val="00B028AF"/>
    <w:rsid w:val="00B044D8"/>
    <w:rsid w:val="00B048DC"/>
    <w:rsid w:val="00B0755C"/>
    <w:rsid w:val="00B07D7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34"/>
    <w:rsid w:val="00B3400D"/>
    <w:rsid w:val="00B359FB"/>
    <w:rsid w:val="00B35C64"/>
    <w:rsid w:val="00B36613"/>
    <w:rsid w:val="00B36F1B"/>
    <w:rsid w:val="00B41978"/>
    <w:rsid w:val="00B41AFF"/>
    <w:rsid w:val="00B41FD6"/>
    <w:rsid w:val="00B460B4"/>
    <w:rsid w:val="00B47334"/>
    <w:rsid w:val="00B503C8"/>
    <w:rsid w:val="00B53C1F"/>
    <w:rsid w:val="00B563D4"/>
    <w:rsid w:val="00B6127A"/>
    <w:rsid w:val="00B633FB"/>
    <w:rsid w:val="00B649AA"/>
    <w:rsid w:val="00B65207"/>
    <w:rsid w:val="00B70B6C"/>
    <w:rsid w:val="00B70EB5"/>
    <w:rsid w:val="00B71142"/>
    <w:rsid w:val="00B726B2"/>
    <w:rsid w:val="00B72928"/>
    <w:rsid w:val="00B778D5"/>
    <w:rsid w:val="00B8125F"/>
    <w:rsid w:val="00B819E1"/>
    <w:rsid w:val="00B85E05"/>
    <w:rsid w:val="00B860C9"/>
    <w:rsid w:val="00B9012E"/>
    <w:rsid w:val="00B92FA4"/>
    <w:rsid w:val="00B9574E"/>
    <w:rsid w:val="00B965AA"/>
    <w:rsid w:val="00B96F0B"/>
    <w:rsid w:val="00BA069E"/>
    <w:rsid w:val="00BA137B"/>
    <w:rsid w:val="00BA213F"/>
    <w:rsid w:val="00BA2243"/>
    <w:rsid w:val="00BA3CB9"/>
    <w:rsid w:val="00BA3E20"/>
    <w:rsid w:val="00BA48E7"/>
    <w:rsid w:val="00BA5315"/>
    <w:rsid w:val="00BB1342"/>
    <w:rsid w:val="00BB2EF7"/>
    <w:rsid w:val="00BB3EE7"/>
    <w:rsid w:val="00BB55B7"/>
    <w:rsid w:val="00BB59B3"/>
    <w:rsid w:val="00BB6287"/>
    <w:rsid w:val="00BB6C5C"/>
    <w:rsid w:val="00BB73A6"/>
    <w:rsid w:val="00BC1057"/>
    <w:rsid w:val="00BC5015"/>
    <w:rsid w:val="00BC5344"/>
    <w:rsid w:val="00BC5EDB"/>
    <w:rsid w:val="00BC62DA"/>
    <w:rsid w:val="00BC7DE9"/>
    <w:rsid w:val="00BD238E"/>
    <w:rsid w:val="00BD2DEF"/>
    <w:rsid w:val="00BD3905"/>
    <w:rsid w:val="00BD5170"/>
    <w:rsid w:val="00BD6C46"/>
    <w:rsid w:val="00BD6D61"/>
    <w:rsid w:val="00BD705E"/>
    <w:rsid w:val="00BE1AFA"/>
    <w:rsid w:val="00BE2F60"/>
    <w:rsid w:val="00BE4F18"/>
    <w:rsid w:val="00BE6AF8"/>
    <w:rsid w:val="00BE6FC7"/>
    <w:rsid w:val="00BF09E0"/>
    <w:rsid w:val="00BF2187"/>
    <w:rsid w:val="00BF67C7"/>
    <w:rsid w:val="00BF76B5"/>
    <w:rsid w:val="00C016ED"/>
    <w:rsid w:val="00C018AE"/>
    <w:rsid w:val="00C035DA"/>
    <w:rsid w:val="00C06DFD"/>
    <w:rsid w:val="00C07430"/>
    <w:rsid w:val="00C07965"/>
    <w:rsid w:val="00C101DE"/>
    <w:rsid w:val="00C104B5"/>
    <w:rsid w:val="00C123F0"/>
    <w:rsid w:val="00C13F4E"/>
    <w:rsid w:val="00C15B28"/>
    <w:rsid w:val="00C15C69"/>
    <w:rsid w:val="00C15DC1"/>
    <w:rsid w:val="00C20F1D"/>
    <w:rsid w:val="00C24641"/>
    <w:rsid w:val="00C252FC"/>
    <w:rsid w:val="00C26561"/>
    <w:rsid w:val="00C273B9"/>
    <w:rsid w:val="00C32E87"/>
    <w:rsid w:val="00C34549"/>
    <w:rsid w:val="00C3490A"/>
    <w:rsid w:val="00C34AB4"/>
    <w:rsid w:val="00C36CEA"/>
    <w:rsid w:val="00C371AB"/>
    <w:rsid w:val="00C44B43"/>
    <w:rsid w:val="00C4514F"/>
    <w:rsid w:val="00C458E9"/>
    <w:rsid w:val="00C46E88"/>
    <w:rsid w:val="00C46EDE"/>
    <w:rsid w:val="00C509D9"/>
    <w:rsid w:val="00C54500"/>
    <w:rsid w:val="00C54553"/>
    <w:rsid w:val="00C61700"/>
    <w:rsid w:val="00C63A86"/>
    <w:rsid w:val="00C64DC1"/>
    <w:rsid w:val="00C7005B"/>
    <w:rsid w:val="00C71741"/>
    <w:rsid w:val="00C737EA"/>
    <w:rsid w:val="00C73DCD"/>
    <w:rsid w:val="00C74DCB"/>
    <w:rsid w:val="00C80888"/>
    <w:rsid w:val="00C80FD4"/>
    <w:rsid w:val="00C83062"/>
    <w:rsid w:val="00C87F35"/>
    <w:rsid w:val="00C90C87"/>
    <w:rsid w:val="00C929EF"/>
    <w:rsid w:val="00C930B1"/>
    <w:rsid w:val="00C9332E"/>
    <w:rsid w:val="00C948F0"/>
    <w:rsid w:val="00C95B8F"/>
    <w:rsid w:val="00C96C83"/>
    <w:rsid w:val="00C97783"/>
    <w:rsid w:val="00CA063D"/>
    <w:rsid w:val="00CA096E"/>
    <w:rsid w:val="00CA4132"/>
    <w:rsid w:val="00CA642E"/>
    <w:rsid w:val="00CB0249"/>
    <w:rsid w:val="00CB322C"/>
    <w:rsid w:val="00CB3C17"/>
    <w:rsid w:val="00CB4557"/>
    <w:rsid w:val="00CB55D3"/>
    <w:rsid w:val="00CB72D6"/>
    <w:rsid w:val="00CB7B00"/>
    <w:rsid w:val="00CC10C7"/>
    <w:rsid w:val="00CC22AD"/>
    <w:rsid w:val="00CC42FA"/>
    <w:rsid w:val="00CC505B"/>
    <w:rsid w:val="00CC610B"/>
    <w:rsid w:val="00CC7A31"/>
    <w:rsid w:val="00CD0335"/>
    <w:rsid w:val="00CD4136"/>
    <w:rsid w:val="00CD4183"/>
    <w:rsid w:val="00CD6FBB"/>
    <w:rsid w:val="00CE265D"/>
    <w:rsid w:val="00CF11FB"/>
    <w:rsid w:val="00CF130C"/>
    <w:rsid w:val="00CF1669"/>
    <w:rsid w:val="00CF2FD7"/>
    <w:rsid w:val="00CF36CC"/>
    <w:rsid w:val="00CF3D90"/>
    <w:rsid w:val="00CF58A5"/>
    <w:rsid w:val="00CF60A4"/>
    <w:rsid w:val="00CF6FCD"/>
    <w:rsid w:val="00CF75A9"/>
    <w:rsid w:val="00D02143"/>
    <w:rsid w:val="00D053CD"/>
    <w:rsid w:val="00D06A84"/>
    <w:rsid w:val="00D06BC2"/>
    <w:rsid w:val="00D0724E"/>
    <w:rsid w:val="00D07458"/>
    <w:rsid w:val="00D12AE6"/>
    <w:rsid w:val="00D14B62"/>
    <w:rsid w:val="00D16953"/>
    <w:rsid w:val="00D16D91"/>
    <w:rsid w:val="00D17A8F"/>
    <w:rsid w:val="00D24BD7"/>
    <w:rsid w:val="00D2598A"/>
    <w:rsid w:val="00D27CD5"/>
    <w:rsid w:val="00D30B36"/>
    <w:rsid w:val="00D35092"/>
    <w:rsid w:val="00D37494"/>
    <w:rsid w:val="00D37AE2"/>
    <w:rsid w:val="00D4102B"/>
    <w:rsid w:val="00D41D92"/>
    <w:rsid w:val="00D438BB"/>
    <w:rsid w:val="00D44AA1"/>
    <w:rsid w:val="00D45EC5"/>
    <w:rsid w:val="00D46011"/>
    <w:rsid w:val="00D46095"/>
    <w:rsid w:val="00D4629A"/>
    <w:rsid w:val="00D47511"/>
    <w:rsid w:val="00D51241"/>
    <w:rsid w:val="00D51270"/>
    <w:rsid w:val="00D515C3"/>
    <w:rsid w:val="00D51E40"/>
    <w:rsid w:val="00D55D67"/>
    <w:rsid w:val="00D60836"/>
    <w:rsid w:val="00D6220C"/>
    <w:rsid w:val="00D626FE"/>
    <w:rsid w:val="00D70176"/>
    <w:rsid w:val="00D705AD"/>
    <w:rsid w:val="00D70D1D"/>
    <w:rsid w:val="00D71EA0"/>
    <w:rsid w:val="00D722DA"/>
    <w:rsid w:val="00D72BD0"/>
    <w:rsid w:val="00D752DA"/>
    <w:rsid w:val="00D75752"/>
    <w:rsid w:val="00D757F2"/>
    <w:rsid w:val="00D76786"/>
    <w:rsid w:val="00D81DCC"/>
    <w:rsid w:val="00D8267B"/>
    <w:rsid w:val="00D84BCD"/>
    <w:rsid w:val="00D85549"/>
    <w:rsid w:val="00D85E38"/>
    <w:rsid w:val="00D9014D"/>
    <w:rsid w:val="00D9249A"/>
    <w:rsid w:val="00D93998"/>
    <w:rsid w:val="00D95AF5"/>
    <w:rsid w:val="00D96AD2"/>
    <w:rsid w:val="00D96F45"/>
    <w:rsid w:val="00DA0BC5"/>
    <w:rsid w:val="00DA227A"/>
    <w:rsid w:val="00DA4C53"/>
    <w:rsid w:val="00DA5079"/>
    <w:rsid w:val="00DB107E"/>
    <w:rsid w:val="00DB359A"/>
    <w:rsid w:val="00DB4FD7"/>
    <w:rsid w:val="00DC19FE"/>
    <w:rsid w:val="00DC1FB8"/>
    <w:rsid w:val="00DC30D1"/>
    <w:rsid w:val="00DC399C"/>
    <w:rsid w:val="00DC4503"/>
    <w:rsid w:val="00DC7F59"/>
    <w:rsid w:val="00DD0029"/>
    <w:rsid w:val="00DD26D6"/>
    <w:rsid w:val="00DD3D5A"/>
    <w:rsid w:val="00DD5177"/>
    <w:rsid w:val="00DD61C0"/>
    <w:rsid w:val="00DE1882"/>
    <w:rsid w:val="00DE1A02"/>
    <w:rsid w:val="00DE2012"/>
    <w:rsid w:val="00DE20DE"/>
    <w:rsid w:val="00DE54A8"/>
    <w:rsid w:val="00DE6FC8"/>
    <w:rsid w:val="00DF0C27"/>
    <w:rsid w:val="00DF11B4"/>
    <w:rsid w:val="00E008CE"/>
    <w:rsid w:val="00E01924"/>
    <w:rsid w:val="00E01FF2"/>
    <w:rsid w:val="00E03CE3"/>
    <w:rsid w:val="00E0408D"/>
    <w:rsid w:val="00E055B5"/>
    <w:rsid w:val="00E05C85"/>
    <w:rsid w:val="00E07E59"/>
    <w:rsid w:val="00E12500"/>
    <w:rsid w:val="00E16D81"/>
    <w:rsid w:val="00E17027"/>
    <w:rsid w:val="00E200A0"/>
    <w:rsid w:val="00E21E25"/>
    <w:rsid w:val="00E22585"/>
    <w:rsid w:val="00E25248"/>
    <w:rsid w:val="00E25C7C"/>
    <w:rsid w:val="00E2679B"/>
    <w:rsid w:val="00E30FCE"/>
    <w:rsid w:val="00E32494"/>
    <w:rsid w:val="00E3347E"/>
    <w:rsid w:val="00E352FF"/>
    <w:rsid w:val="00E402B0"/>
    <w:rsid w:val="00E40756"/>
    <w:rsid w:val="00E42353"/>
    <w:rsid w:val="00E44424"/>
    <w:rsid w:val="00E44601"/>
    <w:rsid w:val="00E44F39"/>
    <w:rsid w:val="00E46D1D"/>
    <w:rsid w:val="00E46F08"/>
    <w:rsid w:val="00E50074"/>
    <w:rsid w:val="00E5028A"/>
    <w:rsid w:val="00E50FDA"/>
    <w:rsid w:val="00E538D4"/>
    <w:rsid w:val="00E53F00"/>
    <w:rsid w:val="00E544CB"/>
    <w:rsid w:val="00E55558"/>
    <w:rsid w:val="00E56DBB"/>
    <w:rsid w:val="00E60947"/>
    <w:rsid w:val="00E628B0"/>
    <w:rsid w:val="00E63BA5"/>
    <w:rsid w:val="00E63C06"/>
    <w:rsid w:val="00E6424D"/>
    <w:rsid w:val="00E6484A"/>
    <w:rsid w:val="00E65BFC"/>
    <w:rsid w:val="00E66295"/>
    <w:rsid w:val="00E67044"/>
    <w:rsid w:val="00E6791C"/>
    <w:rsid w:val="00E70A38"/>
    <w:rsid w:val="00E72095"/>
    <w:rsid w:val="00E7287F"/>
    <w:rsid w:val="00E72959"/>
    <w:rsid w:val="00E744BC"/>
    <w:rsid w:val="00E74823"/>
    <w:rsid w:val="00E819A0"/>
    <w:rsid w:val="00E82778"/>
    <w:rsid w:val="00E83EBF"/>
    <w:rsid w:val="00E853DB"/>
    <w:rsid w:val="00E853FC"/>
    <w:rsid w:val="00E858EC"/>
    <w:rsid w:val="00E86A90"/>
    <w:rsid w:val="00E87DE9"/>
    <w:rsid w:val="00E90C8E"/>
    <w:rsid w:val="00E912DF"/>
    <w:rsid w:val="00E93D79"/>
    <w:rsid w:val="00E958F5"/>
    <w:rsid w:val="00E95D4A"/>
    <w:rsid w:val="00E97668"/>
    <w:rsid w:val="00E97969"/>
    <w:rsid w:val="00EA169D"/>
    <w:rsid w:val="00EA25C4"/>
    <w:rsid w:val="00EA2EDA"/>
    <w:rsid w:val="00EA3B33"/>
    <w:rsid w:val="00EA4569"/>
    <w:rsid w:val="00EA4A8A"/>
    <w:rsid w:val="00EA522F"/>
    <w:rsid w:val="00EA6515"/>
    <w:rsid w:val="00EB06BB"/>
    <w:rsid w:val="00EB0CAB"/>
    <w:rsid w:val="00EB11C2"/>
    <w:rsid w:val="00EB1E2C"/>
    <w:rsid w:val="00EB3286"/>
    <w:rsid w:val="00EB6865"/>
    <w:rsid w:val="00EC396F"/>
    <w:rsid w:val="00ED00D8"/>
    <w:rsid w:val="00ED211A"/>
    <w:rsid w:val="00ED34D6"/>
    <w:rsid w:val="00ED3B50"/>
    <w:rsid w:val="00ED40F7"/>
    <w:rsid w:val="00ED43AA"/>
    <w:rsid w:val="00ED72AA"/>
    <w:rsid w:val="00EE3886"/>
    <w:rsid w:val="00EE39D1"/>
    <w:rsid w:val="00EE5711"/>
    <w:rsid w:val="00EE5E10"/>
    <w:rsid w:val="00EE5F2D"/>
    <w:rsid w:val="00EE78F1"/>
    <w:rsid w:val="00EF1281"/>
    <w:rsid w:val="00EF2DAA"/>
    <w:rsid w:val="00EF3343"/>
    <w:rsid w:val="00EF371F"/>
    <w:rsid w:val="00EF5CD4"/>
    <w:rsid w:val="00EF6197"/>
    <w:rsid w:val="00EF7175"/>
    <w:rsid w:val="00F001B5"/>
    <w:rsid w:val="00F00C69"/>
    <w:rsid w:val="00F06FF8"/>
    <w:rsid w:val="00F0766A"/>
    <w:rsid w:val="00F07D3C"/>
    <w:rsid w:val="00F114F8"/>
    <w:rsid w:val="00F11F37"/>
    <w:rsid w:val="00F1338D"/>
    <w:rsid w:val="00F21ADD"/>
    <w:rsid w:val="00F24D37"/>
    <w:rsid w:val="00F259F1"/>
    <w:rsid w:val="00F2654A"/>
    <w:rsid w:val="00F26B1B"/>
    <w:rsid w:val="00F3057C"/>
    <w:rsid w:val="00F3220C"/>
    <w:rsid w:val="00F33C54"/>
    <w:rsid w:val="00F341F9"/>
    <w:rsid w:val="00F353B6"/>
    <w:rsid w:val="00F35A8F"/>
    <w:rsid w:val="00F4164D"/>
    <w:rsid w:val="00F41677"/>
    <w:rsid w:val="00F4263C"/>
    <w:rsid w:val="00F433AB"/>
    <w:rsid w:val="00F438CF"/>
    <w:rsid w:val="00F4503E"/>
    <w:rsid w:val="00F45445"/>
    <w:rsid w:val="00F45517"/>
    <w:rsid w:val="00F4614E"/>
    <w:rsid w:val="00F464B7"/>
    <w:rsid w:val="00F46FD8"/>
    <w:rsid w:val="00F5354A"/>
    <w:rsid w:val="00F53553"/>
    <w:rsid w:val="00F54134"/>
    <w:rsid w:val="00F55DF6"/>
    <w:rsid w:val="00F5733E"/>
    <w:rsid w:val="00F6115C"/>
    <w:rsid w:val="00F6221D"/>
    <w:rsid w:val="00F630B7"/>
    <w:rsid w:val="00F63B60"/>
    <w:rsid w:val="00F6555D"/>
    <w:rsid w:val="00F7047C"/>
    <w:rsid w:val="00F7094E"/>
    <w:rsid w:val="00F71628"/>
    <w:rsid w:val="00F71E3E"/>
    <w:rsid w:val="00F71E79"/>
    <w:rsid w:val="00F71FA3"/>
    <w:rsid w:val="00F72AB8"/>
    <w:rsid w:val="00F72E22"/>
    <w:rsid w:val="00F77769"/>
    <w:rsid w:val="00F77C7F"/>
    <w:rsid w:val="00F81C08"/>
    <w:rsid w:val="00F82A3C"/>
    <w:rsid w:val="00F83E33"/>
    <w:rsid w:val="00F849EC"/>
    <w:rsid w:val="00F863C3"/>
    <w:rsid w:val="00F86565"/>
    <w:rsid w:val="00F9047F"/>
    <w:rsid w:val="00F907F3"/>
    <w:rsid w:val="00F93097"/>
    <w:rsid w:val="00F93A8C"/>
    <w:rsid w:val="00F94DC5"/>
    <w:rsid w:val="00F969AF"/>
    <w:rsid w:val="00FA0076"/>
    <w:rsid w:val="00FA02DA"/>
    <w:rsid w:val="00FA04E1"/>
    <w:rsid w:val="00FA1133"/>
    <w:rsid w:val="00FA246D"/>
    <w:rsid w:val="00FB07CF"/>
    <w:rsid w:val="00FB1733"/>
    <w:rsid w:val="00FB1DD5"/>
    <w:rsid w:val="00FB1EF5"/>
    <w:rsid w:val="00FB2AEA"/>
    <w:rsid w:val="00FB3FB4"/>
    <w:rsid w:val="00FB4501"/>
    <w:rsid w:val="00FB6F1F"/>
    <w:rsid w:val="00FB7F33"/>
    <w:rsid w:val="00FC07AB"/>
    <w:rsid w:val="00FC0FF6"/>
    <w:rsid w:val="00FC25BF"/>
    <w:rsid w:val="00FC31BD"/>
    <w:rsid w:val="00FC3718"/>
    <w:rsid w:val="00FD258E"/>
    <w:rsid w:val="00FD662D"/>
    <w:rsid w:val="00FD6C82"/>
    <w:rsid w:val="00FE224B"/>
    <w:rsid w:val="00FE2D0E"/>
    <w:rsid w:val="00FE49D9"/>
    <w:rsid w:val="00FE6315"/>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 w:type="character" w:styleId="FollowedHyperlink">
    <w:name w:val="FollowedHyperlink"/>
    <w:basedOn w:val="DefaultParagraphFont"/>
    <w:uiPriority w:val="99"/>
    <w:semiHidden/>
    <w:unhideWhenUsed/>
    <w:rsid w:val="00B70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73579">
      <w:bodyDiv w:val="1"/>
      <w:marLeft w:val="0"/>
      <w:marRight w:val="0"/>
      <w:marTop w:val="0"/>
      <w:marBottom w:val="0"/>
      <w:divBdr>
        <w:top w:val="none" w:sz="0" w:space="0" w:color="auto"/>
        <w:left w:val="none" w:sz="0" w:space="0" w:color="auto"/>
        <w:bottom w:val="none" w:sz="0" w:space="0" w:color="auto"/>
        <w:right w:val="none" w:sz="0" w:space="0" w:color="auto"/>
      </w:divBdr>
    </w:div>
    <w:div w:id="343941071">
      <w:bodyDiv w:val="1"/>
      <w:marLeft w:val="0"/>
      <w:marRight w:val="0"/>
      <w:marTop w:val="0"/>
      <w:marBottom w:val="0"/>
      <w:divBdr>
        <w:top w:val="none" w:sz="0" w:space="0" w:color="auto"/>
        <w:left w:val="none" w:sz="0" w:space="0" w:color="auto"/>
        <w:bottom w:val="none" w:sz="0" w:space="0" w:color="auto"/>
        <w:right w:val="none" w:sz="0" w:space="0" w:color="auto"/>
      </w:divBdr>
    </w:div>
    <w:div w:id="1040007419">
      <w:bodyDiv w:val="1"/>
      <w:marLeft w:val="0"/>
      <w:marRight w:val="0"/>
      <w:marTop w:val="0"/>
      <w:marBottom w:val="0"/>
      <w:divBdr>
        <w:top w:val="none" w:sz="0" w:space="0" w:color="auto"/>
        <w:left w:val="none" w:sz="0" w:space="0" w:color="auto"/>
        <w:bottom w:val="none" w:sz="0" w:space="0" w:color="auto"/>
        <w:right w:val="none" w:sz="0" w:space="0" w:color="auto"/>
      </w:divBdr>
    </w:div>
    <w:div w:id="1330913731">
      <w:bodyDiv w:val="1"/>
      <w:marLeft w:val="0"/>
      <w:marRight w:val="0"/>
      <w:marTop w:val="0"/>
      <w:marBottom w:val="0"/>
      <w:divBdr>
        <w:top w:val="none" w:sz="0" w:space="0" w:color="auto"/>
        <w:left w:val="none" w:sz="0" w:space="0" w:color="auto"/>
        <w:bottom w:val="none" w:sz="0" w:space="0" w:color="auto"/>
        <w:right w:val="none" w:sz="0" w:space="0" w:color="auto"/>
      </w:divBdr>
    </w:div>
    <w:div w:id="14777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ourts.gov/reporter/3dseries/2024/2024_0096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courts.gov/reporter/3dseries/2025/2025_06004.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upport.ny.gov/pdfs/CSSA.pdf" TargetMode="External"/><Relationship Id="rId5" Type="http://schemas.openxmlformats.org/officeDocument/2006/relationships/footnotes" Target="footnotes.xml"/><Relationship Id="rId10" Type="http://schemas.openxmlformats.org/officeDocument/2006/relationships/hyperlink" Target="https://nycourts.gov/reporter/3dseries/2025/2025_06005.htm" TargetMode="External"/><Relationship Id="rId4" Type="http://schemas.openxmlformats.org/officeDocument/2006/relationships/webSettings" Target="webSettings.xml"/><Relationship Id="rId9" Type="http://schemas.openxmlformats.org/officeDocument/2006/relationships/hyperlink" Target="https://nycourts.gov/reporter/3dseries/2025/2025_0600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2026-03-02T13:45:00Z</cp:lastPrinted>
  <dcterms:created xsi:type="dcterms:W3CDTF">2026-03-02T13:47:00Z</dcterms:created>
  <dcterms:modified xsi:type="dcterms:W3CDTF">2026-03-02T13:47:00Z</dcterms:modified>
</cp:coreProperties>
</file>