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37ECEEC2" w:rsidR="00963446" w:rsidRPr="00D47511" w:rsidRDefault="002E1728" w:rsidP="00963446">
      <w:pPr>
        <w:pStyle w:val="Heading2"/>
        <w:numPr>
          <w:ilvl w:val="0"/>
          <w:numId w:val="0"/>
        </w:numPr>
        <w:rPr>
          <w:rFonts w:ascii="Stencil" w:hAnsi="Stencil" w:cs="Times New Roman"/>
          <w:b/>
        </w:rPr>
      </w:pPr>
      <w:r>
        <w:rPr>
          <w:rFonts w:ascii="Stencil" w:hAnsi="Stencil" w:cs="Times New Roman"/>
          <w:b/>
          <w:u w:val="single"/>
        </w:rPr>
        <w:t>NYSBA FAMILY LAW SECTION UPDATE</w:t>
      </w:r>
      <w:r w:rsidR="002F23FB" w:rsidRPr="00D47511">
        <w:rPr>
          <w:rFonts w:ascii="Stencil" w:hAnsi="Stencil" w:cs="Times New Roman"/>
          <w:b/>
        </w:rPr>
        <w:t xml:space="preserve">, </w:t>
      </w:r>
      <w:r w:rsidR="00CF11FB">
        <w:rPr>
          <w:rFonts w:ascii="Stencil" w:hAnsi="Stencil" w:cs="Times New Roman"/>
          <w:b/>
        </w:rPr>
        <w:t>May</w:t>
      </w:r>
      <w:r w:rsidR="001D5634">
        <w:rPr>
          <w:rFonts w:ascii="Stencil" w:hAnsi="Stencil" w:cs="Times New Roman"/>
          <w:b/>
        </w:rPr>
        <w:t xml:space="preserve"> </w:t>
      </w:r>
      <w:r w:rsidR="00654971" w:rsidRPr="00D47511">
        <w:rPr>
          <w:rFonts w:ascii="Stencil" w:hAnsi="Stencil" w:cs="Times New Roman"/>
          <w:b/>
        </w:rPr>
        <w:t>2</w:t>
      </w:r>
      <w:r w:rsidR="00963446" w:rsidRPr="00D47511">
        <w:rPr>
          <w:rFonts w:ascii="Stencil" w:hAnsi="Stencil" w:cs="Times New Roman"/>
          <w:b/>
        </w:rPr>
        <w:t>02</w:t>
      </w:r>
      <w:r w:rsidR="00654971" w:rsidRPr="00D47511">
        <w:rPr>
          <w:rFonts w:ascii="Stencil" w:hAnsi="Stencil" w:cs="Times New Roman"/>
          <w:b/>
        </w:rPr>
        <w:t>5</w:t>
      </w:r>
    </w:p>
    <w:p w14:paraId="09CCB385" w14:textId="77777777" w:rsidR="00963446" w:rsidRPr="00F77769" w:rsidRDefault="00963446" w:rsidP="00963446">
      <w:pPr>
        <w:pStyle w:val="Heading2"/>
        <w:numPr>
          <w:ilvl w:val="0"/>
          <w:numId w:val="0"/>
        </w:numPr>
        <w:spacing w:line="240" w:lineRule="auto"/>
        <w:rPr>
          <w:rFonts w:ascii="Verdana" w:hAnsi="Verdana" w:cs="Times New Roman"/>
          <w:b/>
          <w:bCs/>
        </w:rPr>
      </w:pPr>
      <w:r w:rsidRPr="00F77769">
        <w:rPr>
          <w:rFonts w:ascii="Verdana" w:hAnsi="Verdana" w:cs="Times New Roman"/>
          <w:b/>
          <w:bCs/>
        </w:rPr>
        <w:t>By Bruce J. Wagner</w:t>
      </w:r>
    </w:p>
    <w:p w14:paraId="0F6DA547" w14:textId="3F8A80D4" w:rsidR="00AE6954" w:rsidRDefault="00963446" w:rsidP="00963446">
      <w:pPr>
        <w:pStyle w:val="Heading2"/>
        <w:numPr>
          <w:ilvl w:val="0"/>
          <w:numId w:val="0"/>
        </w:numPr>
        <w:jc w:val="both"/>
        <w:rPr>
          <w:b/>
          <w:bCs/>
        </w:rPr>
      </w:pPr>
      <w:r w:rsidRPr="00F77769">
        <w:rPr>
          <w:rFonts w:ascii="Verdana" w:hAnsi="Verdana" w:cs="Times New Roman"/>
          <w:b/>
          <w:bCs/>
        </w:rPr>
        <w:t>Support Magistrate, Schenectady &amp; Montgomery County Family Courts</w:t>
      </w:r>
    </w:p>
    <w:p w14:paraId="44179C0C" w14:textId="2C35B1C7" w:rsidR="00FF359A" w:rsidRDefault="00FF359A" w:rsidP="00FF359A">
      <w:pPr>
        <w:pStyle w:val="Heading2"/>
        <w:numPr>
          <w:ilvl w:val="0"/>
          <w:numId w:val="0"/>
        </w:numPr>
        <w:spacing w:line="240" w:lineRule="auto"/>
        <w:jc w:val="both"/>
        <w:rPr>
          <w:rFonts w:ascii="Times New Roman" w:hAnsi="Times New Roman" w:cs="Times New Roman"/>
          <w:b/>
          <w:bCs/>
        </w:rPr>
      </w:pPr>
      <w:r w:rsidRPr="00FF359A">
        <w:rPr>
          <w:rFonts w:ascii="Times New Roman" w:hAnsi="Times New Roman" w:cs="Times New Roman"/>
          <w:b/>
          <w:bCs/>
        </w:rPr>
        <w:t>Agreements - Challenge to Agreement to Arbitrate Waived by Participation in Arbitration</w:t>
      </w:r>
      <w:r>
        <w:rPr>
          <w:rFonts w:ascii="Times New Roman" w:hAnsi="Times New Roman" w:cs="Times New Roman"/>
          <w:b/>
          <w:bCs/>
        </w:rPr>
        <w:t xml:space="preserve">; Pendente </w:t>
      </w:r>
      <w:r w:rsidRPr="00FF359A">
        <w:rPr>
          <w:rFonts w:ascii="Times New Roman" w:hAnsi="Times New Roman" w:cs="Times New Roman"/>
          <w:b/>
          <w:bCs/>
        </w:rPr>
        <w:t>Lite - Denial of Counsel Fees and Temporary Maintenance Remitted – No SNW</w:t>
      </w:r>
      <w:r>
        <w:rPr>
          <w:rFonts w:ascii="Times New Roman" w:hAnsi="Times New Roman" w:cs="Times New Roman"/>
          <w:b/>
          <w:bCs/>
        </w:rPr>
        <w:t>,</w:t>
      </w:r>
      <w:r w:rsidRPr="00FF359A">
        <w:rPr>
          <w:rFonts w:ascii="Times New Roman" w:hAnsi="Times New Roman" w:cs="Times New Roman"/>
          <w:b/>
          <w:bCs/>
        </w:rPr>
        <w:t xml:space="preserve"> Denial of Receivership Upheld</w:t>
      </w:r>
    </w:p>
    <w:p w14:paraId="381E6C7A" w14:textId="77777777" w:rsidR="00FF359A" w:rsidRPr="00FF359A" w:rsidRDefault="00FF359A" w:rsidP="00FF359A">
      <w:pPr>
        <w:pStyle w:val="Heading2"/>
        <w:numPr>
          <w:ilvl w:val="0"/>
          <w:numId w:val="0"/>
        </w:numPr>
        <w:spacing w:line="240" w:lineRule="auto"/>
        <w:jc w:val="both"/>
        <w:rPr>
          <w:b/>
          <w:bCs/>
        </w:rPr>
      </w:pPr>
    </w:p>
    <w:p w14:paraId="00E22E32" w14:textId="58CA5D5D" w:rsidR="00FF359A" w:rsidRDefault="00FF359A" w:rsidP="00FF359A">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rPr>
        <w:tab/>
        <w:t xml:space="preserve">In </w:t>
      </w:r>
      <w:r w:rsidRPr="00FF359A">
        <w:rPr>
          <w:rFonts w:ascii="Times New Roman" w:hAnsi="Times New Roman" w:cs="Times New Roman"/>
          <w:b/>
          <w:bCs/>
          <w:i/>
          <w:iCs/>
        </w:rPr>
        <w:t>Hussaini v. Hussaini</w:t>
      </w:r>
      <w:r>
        <w:rPr>
          <w:rFonts w:ascii="Times New Roman" w:hAnsi="Times New Roman" w:cs="Times New Roman"/>
        </w:rPr>
        <w:t xml:space="preserve">, 2025 Westlaw 1173245 (2d Dept. Apr. 23, 2025), the husband appealed from a July 2020 Supreme Court order which, among other things, </w:t>
      </w:r>
      <w:r w:rsidRPr="004D4A02">
        <w:rPr>
          <w:rFonts w:ascii="Times New Roman" w:hAnsi="Times New Roman" w:cs="Times New Roman"/>
        </w:rPr>
        <w:t>denied th</w:t>
      </w:r>
      <w:r>
        <w:rPr>
          <w:rFonts w:ascii="Times New Roman" w:hAnsi="Times New Roman" w:cs="Times New Roman"/>
        </w:rPr>
        <w:t xml:space="preserve">e husband’s motion </w:t>
      </w:r>
      <w:r w:rsidRPr="004D4A02">
        <w:rPr>
          <w:rFonts w:ascii="Times New Roman" w:hAnsi="Times New Roman" w:cs="Times New Roman"/>
        </w:rPr>
        <w:t xml:space="preserve">to appoint </w:t>
      </w:r>
      <w:r>
        <w:rPr>
          <w:rFonts w:ascii="Times New Roman" w:hAnsi="Times New Roman" w:cs="Times New Roman"/>
        </w:rPr>
        <w:t xml:space="preserve">him </w:t>
      </w:r>
      <w:r w:rsidRPr="004D4A02">
        <w:rPr>
          <w:rFonts w:ascii="Times New Roman" w:hAnsi="Times New Roman" w:cs="Times New Roman"/>
        </w:rPr>
        <w:t>as temporary receiver of certain property</w:t>
      </w:r>
      <w:r>
        <w:rPr>
          <w:rFonts w:ascii="Times New Roman" w:hAnsi="Times New Roman" w:cs="Times New Roman"/>
        </w:rPr>
        <w:t>, for</w:t>
      </w:r>
      <w:r w:rsidRPr="004D4A02">
        <w:rPr>
          <w:rFonts w:ascii="Times New Roman" w:hAnsi="Times New Roman" w:cs="Times New Roman"/>
        </w:rPr>
        <w:t xml:space="preserve"> temporary spousal maintenance</w:t>
      </w:r>
      <w:r>
        <w:rPr>
          <w:rFonts w:ascii="Times New Roman" w:hAnsi="Times New Roman" w:cs="Times New Roman"/>
        </w:rPr>
        <w:t xml:space="preserve"> and counsel fees, and </w:t>
      </w:r>
      <w:r w:rsidRPr="004D4A02">
        <w:rPr>
          <w:rFonts w:ascii="Times New Roman" w:hAnsi="Times New Roman" w:cs="Times New Roman"/>
        </w:rPr>
        <w:t>for summary judgment declaring that an arbitration agreement is null and void.</w:t>
      </w:r>
      <w:r>
        <w:rPr>
          <w:rFonts w:ascii="Times New Roman" w:hAnsi="Times New Roman" w:cs="Times New Roman"/>
        </w:rPr>
        <w:t xml:space="preserve"> The parties were married in 1983 and entered into a May 2018 agreement “to have arbitrators resolve their dispute over *** the ownership of businesses and real properties.” In June 2018, an arbitration award was rendered. The wife thereafter commenced an action for separation, “in which she sought *** the distribution of marital property in accordance with the arbitration award.” The wife’s separation action was consolidated with the husband’s divorce action. The wife also commenced a separate proceeding to confirm the arbitration award. The Second Department upheld Supreme Court’s denial of the husband’s motion for summary judgment, which sought to declare that the arbitration agreement was null and void, finding that the husband “is precluded from now challenging the arbitration agreement by having fully participated in the arbitration without objection.” As to the husband’s argument “that the arbitration agreement is a nuptial agreement under [DRL 236(B)(3)] that is unenforceable because it was not acknowledged or proven in a form required for the recording of a deed,” the Appellate Division recognized “a distinction between a matrimonial agreement requiring proper acknowledgements under [DRL 236(B)(3)] for </w:t>
      </w:r>
      <w:proofErr w:type="spellStart"/>
      <w:r>
        <w:rPr>
          <w:rFonts w:ascii="Times New Roman" w:hAnsi="Times New Roman" w:cs="Times New Roman"/>
        </w:rPr>
        <w:t>enforceably</w:t>
      </w:r>
      <w:proofErr w:type="spellEnd"/>
      <w:r>
        <w:rPr>
          <w:rFonts w:ascii="Times New Roman" w:hAnsi="Times New Roman" w:cs="Times New Roman"/>
        </w:rPr>
        <w:t xml:space="preserve"> resolving contested issues *** and a substantively different agreement where the parties merely agree to refer such issues to arbitration for future resolution on the merits.” The Second Department held that “Supreme Court providently exercised its discretion in denying *** [the husband’s] motion *** to appoint himself as temporary receiver of certain property” because he “failed to make a clear evidentiary showing of the necessity for conservation of the property at issue and the protection of his interests” and “made only conclusory allegations of economic misconduct by [the wife] *** [which] were insufficient to warrant the appointment of a temporary receiver.” The Appellate Division modified, on the law, by reversing the denial of temporary maintenance and counsel fees and remitting the issues, holding that where the wife “failed to file a statement of net worth despite a court order requiring her to do so, the Supreme Court lacked sufficient information to determine *** [the husband’s] motion[s] *** for *** attorneys’ fees” and temporary spousal maintenance.</w:t>
      </w:r>
    </w:p>
    <w:p w14:paraId="6F5BDB1D" w14:textId="77777777" w:rsidR="00FF359A" w:rsidRDefault="00FF359A" w:rsidP="008E3966">
      <w:pPr>
        <w:pStyle w:val="Heading2"/>
        <w:numPr>
          <w:ilvl w:val="0"/>
          <w:numId w:val="0"/>
        </w:numPr>
        <w:spacing w:line="240" w:lineRule="auto"/>
        <w:jc w:val="both"/>
        <w:rPr>
          <w:rFonts w:ascii="Times New Roman" w:hAnsi="Times New Roman" w:cs="Times New Roman"/>
          <w:b/>
          <w:bCs/>
        </w:rPr>
      </w:pPr>
    </w:p>
    <w:p w14:paraId="7F5EA9FB" w14:textId="0012E15A" w:rsidR="00B044D8" w:rsidRDefault="00B044D8" w:rsidP="008E3966">
      <w:pPr>
        <w:pStyle w:val="Heading2"/>
        <w:numPr>
          <w:ilvl w:val="0"/>
          <w:numId w:val="0"/>
        </w:numPr>
        <w:spacing w:line="240" w:lineRule="auto"/>
        <w:jc w:val="both"/>
        <w:rPr>
          <w:rFonts w:ascii="Times New Roman" w:hAnsi="Times New Roman" w:cs="Times New Roman"/>
          <w:b/>
          <w:bCs/>
        </w:rPr>
      </w:pPr>
      <w:r w:rsidRPr="00B044D8">
        <w:rPr>
          <w:rFonts w:ascii="Times New Roman" w:hAnsi="Times New Roman" w:cs="Times New Roman"/>
          <w:b/>
          <w:bCs/>
        </w:rPr>
        <w:t>Child Support - CSSA – Downward Deviation</w:t>
      </w:r>
      <w:r w:rsidR="00DA227A">
        <w:rPr>
          <w:rFonts w:ascii="Times New Roman" w:hAnsi="Times New Roman" w:cs="Times New Roman"/>
          <w:b/>
          <w:bCs/>
        </w:rPr>
        <w:t xml:space="preserve">; Equitable </w:t>
      </w:r>
      <w:r w:rsidR="00DA227A" w:rsidRPr="00DA227A">
        <w:rPr>
          <w:rFonts w:ascii="Times New Roman" w:hAnsi="Times New Roman" w:cs="Times New Roman"/>
          <w:b/>
          <w:bCs/>
        </w:rPr>
        <w:t>Distribution - Debt – (70% H/30%W); Retirement – W Share Reduced (30% to 10%); Sale of Residence (50/50)</w:t>
      </w:r>
      <w:r w:rsidR="00543617">
        <w:rPr>
          <w:rFonts w:ascii="Times New Roman" w:hAnsi="Times New Roman" w:cs="Times New Roman"/>
          <w:b/>
          <w:bCs/>
        </w:rPr>
        <w:t>; Maintenance – Denial Affirmed</w:t>
      </w:r>
    </w:p>
    <w:p w14:paraId="429C9BF1" w14:textId="77777777" w:rsidR="00DE6FC8" w:rsidRPr="00B044D8" w:rsidRDefault="00DE6FC8" w:rsidP="008E3966">
      <w:pPr>
        <w:pStyle w:val="Heading2"/>
        <w:numPr>
          <w:ilvl w:val="0"/>
          <w:numId w:val="0"/>
        </w:numPr>
        <w:spacing w:line="240" w:lineRule="auto"/>
        <w:jc w:val="both"/>
        <w:rPr>
          <w:rFonts w:ascii="Times New Roman" w:hAnsi="Times New Roman" w:cs="Times New Roman"/>
          <w:b/>
          <w:bCs/>
        </w:rPr>
      </w:pPr>
    </w:p>
    <w:p w14:paraId="6DABEF5A" w14:textId="4B796866" w:rsidR="00B044D8" w:rsidRDefault="00B044D8" w:rsidP="008E396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B044D8">
        <w:rPr>
          <w:rFonts w:ascii="Times New Roman" w:hAnsi="Times New Roman" w:cs="Times New Roman"/>
          <w:b/>
          <w:bCs/>
          <w:i/>
          <w:iCs/>
        </w:rPr>
        <w:t>Diop v. Gueye</w:t>
      </w:r>
      <w:r>
        <w:rPr>
          <w:rFonts w:ascii="Times New Roman" w:hAnsi="Times New Roman" w:cs="Times New Roman"/>
        </w:rPr>
        <w:t xml:space="preserve">, 2025 Westlaw 993382 (3d Dept. Apr. 3, 2025), the parties were married in 2005 and have 2 children born in 2009 and 2015. The wife was born in </w:t>
      </w:r>
      <w:proofErr w:type="gramStart"/>
      <w:r>
        <w:rPr>
          <w:rFonts w:ascii="Times New Roman" w:hAnsi="Times New Roman" w:cs="Times New Roman"/>
        </w:rPr>
        <w:t>1983</w:t>
      </w:r>
      <w:proofErr w:type="gramEnd"/>
      <w:r>
        <w:rPr>
          <w:rFonts w:ascii="Times New Roman" w:hAnsi="Times New Roman" w:cs="Times New Roman"/>
        </w:rPr>
        <w:t xml:space="preserve"> and the husband was born in 1957. Both parties appealed from a February 2024 Supreme Court Judgment which, </w:t>
      </w:r>
      <w:r>
        <w:rPr>
          <w:rFonts w:ascii="Times New Roman" w:hAnsi="Times New Roman" w:cs="Times New Roman"/>
        </w:rPr>
        <w:lastRenderedPageBreak/>
        <w:t>upon a decision of the Court following trial of the wife’s 2019 action, directed the wife to pay the husband $800 monthly in child support, denied maintenance, and rendered a judgment which:</w:t>
      </w:r>
      <w:r w:rsidRPr="00561EB0">
        <w:rPr>
          <w:rFonts w:ascii="Times New Roman" w:hAnsi="Times New Roman" w:cs="Times New Roman"/>
        </w:rPr>
        <w:t xml:space="preserve"> ordered the sale of the marital residence and equally distributed the net equity upon the sale; awarded the wife 30% of the </w:t>
      </w:r>
      <w:proofErr w:type="spellStart"/>
      <w:r w:rsidRPr="00561EB0">
        <w:rPr>
          <w:rFonts w:ascii="Times New Roman" w:hAnsi="Times New Roman" w:cs="Times New Roman"/>
          <w:i/>
          <w:iCs/>
        </w:rPr>
        <w:t>Majauskas</w:t>
      </w:r>
      <w:proofErr w:type="spellEnd"/>
      <w:r w:rsidRPr="00561EB0">
        <w:rPr>
          <w:rFonts w:ascii="Times New Roman" w:hAnsi="Times New Roman" w:cs="Times New Roman"/>
          <w:i/>
          <w:iCs/>
        </w:rPr>
        <w:t> </w:t>
      </w:r>
      <w:r w:rsidRPr="00561EB0">
        <w:rPr>
          <w:rFonts w:ascii="Times New Roman" w:hAnsi="Times New Roman" w:cs="Times New Roman"/>
        </w:rPr>
        <w:t>share in the husband's retirement account; and di</w:t>
      </w:r>
      <w:r>
        <w:rPr>
          <w:rFonts w:ascii="Times New Roman" w:hAnsi="Times New Roman" w:cs="Times New Roman"/>
        </w:rPr>
        <w:t xml:space="preserve">rected the husband to pay 70% and the wife 30% of certain </w:t>
      </w:r>
      <w:r w:rsidRPr="00561EB0">
        <w:rPr>
          <w:rFonts w:ascii="Times New Roman" w:hAnsi="Times New Roman" w:cs="Times New Roman"/>
        </w:rPr>
        <w:t>marital debts</w:t>
      </w:r>
      <w:r>
        <w:rPr>
          <w:rFonts w:ascii="Times New Roman" w:hAnsi="Times New Roman" w:cs="Times New Roman"/>
        </w:rPr>
        <w:t>. The Third Department rejected the husband’s argument that Supreme Court erred in ordering the sale of the marital residence, finding that “</w:t>
      </w:r>
      <w:r w:rsidRPr="00561EB0">
        <w:rPr>
          <w:rFonts w:ascii="Times New Roman" w:hAnsi="Times New Roman" w:cs="Times New Roman"/>
        </w:rPr>
        <w:t>Supreme Court was within its discretion to consider the parties' entire financial situation, including the husband's ability to carry the costs of maintaining the marital home on his limited income alone, in determining that a sale of the property was appropriate</w:t>
      </w:r>
      <w:r>
        <w:rPr>
          <w:rFonts w:ascii="Times New Roman" w:hAnsi="Times New Roman" w:cs="Times New Roman"/>
        </w:rPr>
        <w:t>.” The Court further “</w:t>
      </w:r>
      <w:r w:rsidRPr="00561EB0">
        <w:rPr>
          <w:rFonts w:ascii="Times New Roman" w:hAnsi="Times New Roman" w:cs="Times New Roman"/>
        </w:rPr>
        <w:t>disagree</w:t>
      </w:r>
      <w:r>
        <w:rPr>
          <w:rFonts w:ascii="Times New Roman" w:hAnsi="Times New Roman" w:cs="Times New Roman"/>
        </w:rPr>
        <w:t>[d]</w:t>
      </w:r>
      <w:r w:rsidRPr="00561EB0">
        <w:rPr>
          <w:rFonts w:ascii="Times New Roman" w:hAnsi="Times New Roman" w:cs="Times New Roman"/>
        </w:rPr>
        <w:t xml:space="preserve"> with the husband that the court should have credited him for payments made after the wife had vacated the home</w:t>
      </w:r>
      <w:r>
        <w:rPr>
          <w:rFonts w:ascii="Times New Roman" w:hAnsi="Times New Roman" w:cs="Times New Roman"/>
        </w:rPr>
        <w:t xml:space="preserve">,” noting that </w:t>
      </w:r>
      <w:r w:rsidRPr="00561EB0">
        <w:rPr>
          <w:rFonts w:ascii="Times New Roman" w:hAnsi="Times New Roman" w:cs="Times New Roman"/>
        </w:rPr>
        <w:t>"[t]he use of separate funds [directed toward the] purchase [of] a marital asset does not mandate that a court give a credit, [as] the court may consider the use of separate property when exercising its discretion in arriving at an equitable distribution of that asset</w:t>
      </w:r>
      <w:r>
        <w:rPr>
          <w:rFonts w:ascii="Times New Roman" w:hAnsi="Times New Roman" w:cs="Times New Roman"/>
        </w:rPr>
        <w:t>.</w:t>
      </w:r>
      <w:r w:rsidRPr="00561EB0">
        <w:rPr>
          <w:rFonts w:ascii="Times New Roman" w:hAnsi="Times New Roman" w:cs="Times New Roman"/>
        </w:rPr>
        <w:t>"</w:t>
      </w:r>
      <w:r>
        <w:rPr>
          <w:rFonts w:ascii="Times New Roman" w:hAnsi="Times New Roman" w:cs="Times New Roman"/>
        </w:rPr>
        <w:t xml:space="preserve"> (Citations omitted). </w:t>
      </w:r>
      <w:r w:rsidRPr="00561EB0">
        <w:rPr>
          <w:rFonts w:ascii="Times New Roman" w:hAnsi="Times New Roman" w:cs="Times New Roman"/>
        </w:rPr>
        <w:t xml:space="preserve"> </w:t>
      </w:r>
      <w:r>
        <w:rPr>
          <w:rFonts w:ascii="Times New Roman" w:hAnsi="Times New Roman" w:cs="Times New Roman"/>
        </w:rPr>
        <w:t>As to the husband’s challenge to the equal distribution of sale proceeds, the Appellate Division held that Supreme Court “</w:t>
      </w:r>
      <w:r w:rsidRPr="00561EB0">
        <w:rPr>
          <w:rFonts w:ascii="Times New Roman" w:hAnsi="Times New Roman" w:cs="Times New Roman"/>
        </w:rPr>
        <w:t>properly accounted for the wife's efforts to maintain the home after the parties were married until she graduated college in 2012, as well as her financial contributions to the household after such time, and the court's determination clearly considered the entirety of the parties' assets in its decision</w:t>
      </w:r>
      <w:r>
        <w:rPr>
          <w:rFonts w:ascii="Times New Roman" w:hAnsi="Times New Roman" w:cs="Times New Roman"/>
        </w:rPr>
        <w:t>.” On the issue of marital debt, the Third Department: found “</w:t>
      </w:r>
      <w:r w:rsidRPr="00561EB0">
        <w:rPr>
          <w:rFonts w:ascii="Times New Roman" w:hAnsi="Times New Roman" w:cs="Times New Roman"/>
        </w:rPr>
        <w:t>no abuse of discretion in Supreme Court's apportionment of the marital debts, which was proper under the circumstances, considering that the husband had retained the assets and furniture in the marital home that were associated with such debt</w:t>
      </w:r>
      <w:r>
        <w:rPr>
          <w:rFonts w:ascii="Times New Roman" w:hAnsi="Times New Roman" w:cs="Times New Roman"/>
        </w:rPr>
        <w:t>”; but determined it was “</w:t>
      </w:r>
      <w:r w:rsidRPr="00561EB0">
        <w:rPr>
          <w:rFonts w:ascii="Times New Roman" w:hAnsi="Times New Roman" w:cs="Times New Roman"/>
        </w:rPr>
        <w:t>appropriate to modify Supreme Court's distribution of the husband's retirement account</w:t>
      </w:r>
      <w:r>
        <w:rPr>
          <w:rFonts w:ascii="Times New Roman" w:hAnsi="Times New Roman" w:cs="Times New Roman"/>
        </w:rPr>
        <w:t>,” observing that “</w:t>
      </w:r>
      <w:r w:rsidRPr="00561EB0">
        <w:rPr>
          <w:rFonts w:ascii="Times New Roman" w:hAnsi="Times New Roman" w:cs="Times New Roman"/>
        </w:rPr>
        <w:t>the husband worked in his teaching role prior to the marriage</w:t>
      </w:r>
      <w:r>
        <w:rPr>
          <w:rFonts w:ascii="Times New Roman" w:hAnsi="Times New Roman" w:cs="Times New Roman"/>
        </w:rPr>
        <w:t>” and “</w:t>
      </w:r>
      <w:r w:rsidRPr="00561EB0">
        <w:rPr>
          <w:rFonts w:ascii="Times New Roman" w:hAnsi="Times New Roman" w:cs="Times New Roman"/>
        </w:rPr>
        <w:t>the factors that Supreme Court considered in forgoing an award of maintenance are also relevant here</w:t>
      </w:r>
      <w:r>
        <w:rPr>
          <w:rFonts w:ascii="Times New Roman" w:hAnsi="Times New Roman" w:cs="Times New Roman"/>
        </w:rPr>
        <w:t>”; noted  “</w:t>
      </w:r>
      <w:r w:rsidRPr="00561EB0">
        <w:rPr>
          <w:rFonts w:ascii="Times New Roman" w:hAnsi="Times New Roman" w:cs="Times New Roman"/>
        </w:rPr>
        <w:t>the wife's age and her ability to advance in her career and increase her earnings as compared to the limitations on income placed on the husband based upon his retirement</w:t>
      </w:r>
      <w:r>
        <w:rPr>
          <w:rFonts w:ascii="Times New Roman" w:hAnsi="Times New Roman" w:cs="Times New Roman"/>
        </w:rPr>
        <w:t>” and that “</w:t>
      </w:r>
      <w:r w:rsidRPr="00561EB0">
        <w:rPr>
          <w:rFonts w:ascii="Times New Roman" w:hAnsi="Times New Roman" w:cs="Times New Roman"/>
        </w:rPr>
        <w:t xml:space="preserve">the wife retained the entirety of her retirement account with her employer at the time of trial, and further </w:t>
      </w:r>
      <w:r>
        <w:rPr>
          <w:rFonts w:ascii="Times New Roman" w:hAnsi="Times New Roman" w:cs="Times New Roman"/>
        </w:rPr>
        <w:t>acknowledge[ed]</w:t>
      </w:r>
      <w:r w:rsidRPr="00561EB0">
        <w:rPr>
          <w:rFonts w:ascii="Times New Roman" w:hAnsi="Times New Roman" w:cs="Times New Roman"/>
        </w:rPr>
        <w:t xml:space="preserve"> the division of marital debt</w:t>
      </w:r>
      <w:r>
        <w:rPr>
          <w:rFonts w:ascii="Times New Roman" w:hAnsi="Times New Roman" w:cs="Times New Roman"/>
        </w:rPr>
        <w:t>.”</w:t>
      </w:r>
      <w:r w:rsidRPr="00561EB0">
        <w:rPr>
          <w:rFonts w:ascii="Times New Roman" w:hAnsi="Times New Roman" w:cs="Times New Roman"/>
        </w:rPr>
        <w:t xml:space="preserve"> </w:t>
      </w:r>
      <w:r>
        <w:rPr>
          <w:rFonts w:ascii="Times New Roman" w:hAnsi="Times New Roman" w:cs="Times New Roman"/>
        </w:rPr>
        <w:t>The Court modified the judgment, on the law and the facts, by reducing the wife’s “</w:t>
      </w:r>
      <w:proofErr w:type="spellStart"/>
      <w:r w:rsidRPr="00561EB0">
        <w:rPr>
          <w:rFonts w:ascii="Times New Roman" w:hAnsi="Times New Roman" w:cs="Times New Roman"/>
          <w:i/>
          <w:iCs/>
        </w:rPr>
        <w:t>Majauskas</w:t>
      </w:r>
      <w:proofErr w:type="spellEnd"/>
      <w:r w:rsidRPr="00561EB0">
        <w:rPr>
          <w:rFonts w:ascii="Times New Roman" w:hAnsi="Times New Roman" w:cs="Times New Roman"/>
        </w:rPr>
        <w:t> share of the husband's retirement account to 10%.</w:t>
      </w:r>
      <w:bookmarkStart w:id="0" w:name="3CASE"/>
      <w:r>
        <w:rPr>
          <w:rFonts w:ascii="Times New Roman" w:hAnsi="Times New Roman" w:cs="Times New Roman"/>
        </w:rPr>
        <w:t>”</w:t>
      </w:r>
      <w:bookmarkEnd w:id="0"/>
      <w:r>
        <w:rPr>
          <w:rFonts w:ascii="Times New Roman" w:hAnsi="Times New Roman" w:cs="Times New Roman"/>
        </w:rPr>
        <w:t xml:space="preserve"> </w:t>
      </w:r>
      <w:r w:rsidRPr="00561EB0">
        <w:rPr>
          <w:rFonts w:ascii="Times New Roman" w:hAnsi="Times New Roman" w:cs="Times New Roman"/>
        </w:rPr>
        <w:t xml:space="preserve">With respect </w:t>
      </w:r>
      <w:r>
        <w:rPr>
          <w:rFonts w:ascii="Times New Roman" w:hAnsi="Times New Roman" w:cs="Times New Roman"/>
        </w:rPr>
        <w:t xml:space="preserve">to the judgment which awarded </w:t>
      </w:r>
      <w:r w:rsidRPr="00561EB0">
        <w:rPr>
          <w:rFonts w:ascii="Times New Roman" w:hAnsi="Times New Roman" w:cs="Times New Roman"/>
        </w:rPr>
        <w:t xml:space="preserve">maintenance to </w:t>
      </w:r>
      <w:r>
        <w:rPr>
          <w:rFonts w:ascii="Times New Roman" w:hAnsi="Times New Roman" w:cs="Times New Roman"/>
        </w:rPr>
        <w:t>n</w:t>
      </w:r>
      <w:r w:rsidRPr="00561EB0">
        <w:rPr>
          <w:rFonts w:ascii="Times New Roman" w:hAnsi="Times New Roman" w:cs="Times New Roman"/>
        </w:rPr>
        <w:t>either party,</w:t>
      </w:r>
      <w:r>
        <w:rPr>
          <w:rFonts w:ascii="Times New Roman" w:hAnsi="Times New Roman" w:cs="Times New Roman"/>
        </w:rPr>
        <w:t xml:space="preserve"> the Third Department first observed that no income was imputed </w:t>
      </w:r>
      <w:r w:rsidRPr="00561EB0">
        <w:rPr>
          <w:rFonts w:ascii="Times New Roman" w:hAnsi="Times New Roman" w:cs="Times New Roman"/>
        </w:rPr>
        <w:t>to the husband based upon his past earnings</w:t>
      </w:r>
      <w:r>
        <w:rPr>
          <w:rFonts w:ascii="Times New Roman" w:hAnsi="Times New Roman" w:cs="Times New Roman"/>
        </w:rPr>
        <w:t>, finding that while there is “</w:t>
      </w:r>
      <w:r w:rsidRPr="00561EB0">
        <w:rPr>
          <w:rFonts w:ascii="Times New Roman" w:hAnsi="Times New Roman" w:cs="Times New Roman"/>
        </w:rPr>
        <w:t>no dispute that the husband was lawfully permitted to retire and, though that may have been ill advised under the circumstances, we do not find that he did so improperly. Considering the husband's continuing financial obligations and his retirement savings as modified, we find no reason to deviate from the determination not to impute any income to him</w:t>
      </w:r>
      <w:r>
        <w:rPr>
          <w:rFonts w:ascii="Times New Roman" w:hAnsi="Times New Roman" w:cs="Times New Roman"/>
        </w:rPr>
        <w:t>.” The Appellate Division noted that “</w:t>
      </w:r>
      <w:r w:rsidRPr="00561EB0">
        <w:rPr>
          <w:rFonts w:ascii="Times New Roman" w:hAnsi="Times New Roman" w:cs="Times New Roman"/>
        </w:rPr>
        <w:t>Supreme Court failed to set forth the presumptive maintenance amount prior to articulating its rationale for declining to award maintenance to either party, as required by statute</w:t>
      </w:r>
      <w:r>
        <w:rPr>
          <w:rFonts w:ascii="Times New Roman" w:hAnsi="Times New Roman" w:cs="Times New Roman"/>
        </w:rPr>
        <w:t>,” but found that</w:t>
      </w:r>
      <w:r w:rsidRPr="00561EB0">
        <w:rPr>
          <w:rFonts w:ascii="Times New Roman" w:hAnsi="Times New Roman" w:cs="Times New Roman"/>
        </w:rPr>
        <w:t xml:space="preserve"> </w:t>
      </w:r>
      <w:r>
        <w:rPr>
          <w:rFonts w:ascii="Times New Roman" w:hAnsi="Times New Roman" w:cs="Times New Roman"/>
        </w:rPr>
        <w:t>“</w:t>
      </w:r>
      <w:r w:rsidRPr="00561EB0">
        <w:rPr>
          <w:rFonts w:ascii="Times New Roman" w:hAnsi="Times New Roman" w:cs="Times New Roman"/>
        </w:rPr>
        <w:t>the presumptive annual amount of maintenance due to the husband</w:t>
      </w:r>
      <w:r>
        <w:rPr>
          <w:rFonts w:ascii="Times New Roman" w:hAnsi="Times New Roman" w:cs="Times New Roman"/>
        </w:rPr>
        <w:t xml:space="preserve"> *** </w:t>
      </w:r>
      <w:r w:rsidRPr="00561EB0">
        <w:rPr>
          <w:rFonts w:ascii="Times New Roman" w:hAnsi="Times New Roman" w:cs="Times New Roman"/>
        </w:rPr>
        <w:t>is $8,593</w:t>
      </w:r>
      <w:r>
        <w:rPr>
          <w:rFonts w:ascii="Times New Roman" w:hAnsi="Times New Roman" w:cs="Times New Roman"/>
        </w:rPr>
        <w:t>.” The Third Department concluded: “</w:t>
      </w:r>
      <w:r w:rsidRPr="00561EB0">
        <w:rPr>
          <w:rFonts w:ascii="Times New Roman" w:hAnsi="Times New Roman" w:cs="Times New Roman"/>
        </w:rPr>
        <w:t xml:space="preserve">Contrary to the husband's contention, in assessing whether a deviation from the presumptive maintenance award is appropriate, it is fair to consider his choice to retire at the time of trial, particularly </w:t>
      </w:r>
      <w:proofErr w:type="gramStart"/>
      <w:r w:rsidRPr="00561EB0">
        <w:rPr>
          <w:rFonts w:ascii="Times New Roman" w:hAnsi="Times New Roman" w:cs="Times New Roman"/>
        </w:rPr>
        <w:t>in light of</w:t>
      </w:r>
      <w:proofErr w:type="gramEnd"/>
      <w:r w:rsidRPr="00561EB0">
        <w:rPr>
          <w:rFonts w:ascii="Times New Roman" w:hAnsi="Times New Roman" w:cs="Times New Roman"/>
        </w:rPr>
        <w:t xml:space="preserve"> his remaining financial obligations, including those associated with the care of his children. </w:t>
      </w:r>
      <w:proofErr w:type="gramStart"/>
      <w:r w:rsidRPr="00561EB0">
        <w:rPr>
          <w:rFonts w:ascii="Times New Roman" w:hAnsi="Times New Roman" w:cs="Times New Roman"/>
        </w:rPr>
        <w:t>That being said, his</w:t>
      </w:r>
      <w:proofErr w:type="gramEnd"/>
      <w:r w:rsidRPr="00561EB0">
        <w:rPr>
          <w:rFonts w:ascii="Times New Roman" w:hAnsi="Times New Roman" w:cs="Times New Roman"/>
        </w:rPr>
        <w:t xml:space="preserve"> choice to retire does not entirely limit him from supplementing his income without affecting his social security eligibility, as the husband acknowledged that he would be able to earn some income by lecturing or teaching in an adjunct role. Accordingly, considering the appropriate factors for deviating from the maintenance guideline obligation — particularly, the limited proof suggesting </w:t>
      </w:r>
      <w:r w:rsidRPr="00561EB0">
        <w:rPr>
          <w:rFonts w:ascii="Times New Roman" w:hAnsi="Times New Roman" w:cs="Times New Roman"/>
        </w:rPr>
        <w:lastRenderedPageBreak/>
        <w:t>the need for more to enjoy the standard of living during the marriage, our modification to the equitable distribution of the husband's retirement account, the income available to him from social security and his ability to earn a limited amount of income from working in addition to such payments — we find that declining to award maintenance to the husband was not an abuse of discretion</w:t>
      </w:r>
      <w:r>
        <w:rPr>
          <w:rFonts w:ascii="Times New Roman" w:hAnsi="Times New Roman" w:cs="Times New Roman"/>
        </w:rPr>
        <w:t xml:space="preserve"> (citations omitted).” The Appellate Division found “</w:t>
      </w:r>
      <w:r w:rsidRPr="00561EB0">
        <w:rPr>
          <w:rFonts w:ascii="Times New Roman" w:hAnsi="Times New Roman" w:cs="Times New Roman"/>
        </w:rPr>
        <w:t>no abuse of discretion in Supreme Court's determination to deviate from the presumptive child support award</w:t>
      </w:r>
      <w:r>
        <w:rPr>
          <w:rFonts w:ascii="Times New Roman" w:hAnsi="Times New Roman" w:cs="Times New Roman"/>
        </w:rPr>
        <w:t>” of $1,400 per month, holding that Supreme Court “</w:t>
      </w:r>
      <w:r w:rsidRPr="00561EB0">
        <w:rPr>
          <w:rFonts w:ascii="Times New Roman" w:hAnsi="Times New Roman" w:cs="Times New Roman"/>
        </w:rPr>
        <w:t>noted the shared custodial schedule, the parties' expenses and the derivative social security benefits that the husband received for the children.</w:t>
      </w:r>
      <w:r>
        <w:rPr>
          <w:rFonts w:ascii="Times New Roman" w:hAnsi="Times New Roman" w:cs="Times New Roman"/>
        </w:rPr>
        <w:t>”</w:t>
      </w:r>
    </w:p>
    <w:p w14:paraId="51DD1186" w14:textId="77777777" w:rsidR="00DE6FC8" w:rsidRDefault="00DE6FC8" w:rsidP="008E3966">
      <w:pPr>
        <w:pStyle w:val="Heading2"/>
        <w:numPr>
          <w:ilvl w:val="0"/>
          <w:numId w:val="0"/>
        </w:numPr>
        <w:spacing w:line="240" w:lineRule="auto"/>
        <w:jc w:val="both"/>
        <w:rPr>
          <w:rFonts w:ascii="Times New Roman" w:hAnsi="Times New Roman" w:cs="Times New Roman"/>
        </w:rPr>
      </w:pPr>
    </w:p>
    <w:p w14:paraId="4E6551BD" w14:textId="2F04BCE6" w:rsidR="00543617" w:rsidRDefault="00AB2711" w:rsidP="008E3966">
      <w:pPr>
        <w:pStyle w:val="Heading2"/>
        <w:numPr>
          <w:ilvl w:val="0"/>
          <w:numId w:val="0"/>
        </w:numPr>
        <w:spacing w:line="240" w:lineRule="auto"/>
        <w:jc w:val="both"/>
        <w:rPr>
          <w:rFonts w:ascii="Times New Roman" w:hAnsi="Times New Roman" w:cs="Times New Roman"/>
          <w:b/>
          <w:bCs/>
        </w:rPr>
      </w:pPr>
      <w:r w:rsidRPr="00AB2711">
        <w:rPr>
          <w:rFonts w:ascii="Times New Roman" w:hAnsi="Times New Roman" w:cs="Times New Roman"/>
          <w:b/>
          <w:bCs/>
        </w:rPr>
        <w:t>Child Support – CSSA - Downward Deviation - “Essentially Equal Custody” Argument Rejected</w:t>
      </w:r>
      <w:r w:rsidR="005D137C">
        <w:rPr>
          <w:rFonts w:ascii="Times New Roman" w:hAnsi="Times New Roman" w:cs="Times New Roman"/>
          <w:b/>
          <w:bCs/>
        </w:rPr>
        <w:t xml:space="preserve">; Procedure </w:t>
      </w:r>
      <w:r w:rsidR="005D137C" w:rsidRPr="005D137C">
        <w:rPr>
          <w:rFonts w:ascii="Times New Roman" w:hAnsi="Times New Roman" w:cs="Times New Roman"/>
          <w:b/>
          <w:bCs/>
        </w:rPr>
        <w:t>- Denial of Equitable Distribution Trial Adjournment – Reversed</w:t>
      </w:r>
    </w:p>
    <w:p w14:paraId="06311BFB" w14:textId="77777777" w:rsidR="00DE6FC8" w:rsidRDefault="00DE6FC8" w:rsidP="008E3966">
      <w:pPr>
        <w:pStyle w:val="Heading2"/>
        <w:numPr>
          <w:ilvl w:val="0"/>
          <w:numId w:val="0"/>
        </w:numPr>
        <w:spacing w:line="240" w:lineRule="auto"/>
        <w:jc w:val="both"/>
        <w:rPr>
          <w:rFonts w:ascii="Times New Roman" w:hAnsi="Times New Roman" w:cs="Times New Roman"/>
          <w:b/>
          <w:bCs/>
        </w:rPr>
      </w:pPr>
    </w:p>
    <w:p w14:paraId="1253C0EA" w14:textId="20B2BDB7" w:rsidR="00AB2711" w:rsidRDefault="00AB2711" w:rsidP="008E396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5D137C">
        <w:rPr>
          <w:rFonts w:ascii="Times New Roman" w:hAnsi="Times New Roman" w:cs="Times New Roman"/>
          <w:b/>
          <w:bCs/>
          <w:i/>
          <w:iCs/>
        </w:rPr>
        <w:t>Heber v. Heber</w:t>
      </w:r>
      <w:r>
        <w:rPr>
          <w:rFonts w:ascii="Times New Roman" w:hAnsi="Times New Roman" w:cs="Times New Roman"/>
        </w:rPr>
        <w:t xml:space="preserve">, 2025 Westlaw 993362 (3d Dept. Apr. 3, 2025), the parties were married in 2015 and have 3 children (born in 2014, 2016 and 2018). The husband appealed from a December 2023 Supreme Court judgment which, following trial of the wife’s February 2021 divorce action, among other things, directed him to pay the wife $1,523.20 per month in child support, and determined equitable distribution following his failure to appear for a November 2023 trial date, denying his counsel’s request for adjournment and deeming him to have rested his financial case. The trial began in July 2022, the husband’s first counsel was relieved upon motion, new counsel was appointed on custody and the parties reached an agreement on that issue in March 2023. </w:t>
      </w:r>
      <w:r w:rsidRPr="004F68A0">
        <w:rPr>
          <w:rFonts w:ascii="Times New Roman" w:hAnsi="Times New Roman" w:cs="Times New Roman"/>
        </w:rPr>
        <w:t xml:space="preserve">The trial continued </w:t>
      </w:r>
      <w:r>
        <w:rPr>
          <w:rFonts w:ascii="Times New Roman" w:hAnsi="Times New Roman" w:cs="Times New Roman"/>
        </w:rPr>
        <w:t xml:space="preserve">over several more dates, and the husband </w:t>
      </w:r>
      <w:r w:rsidRPr="004F68A0">
        <w:rPr>
          <w:rFonts w:ascii="Times New Roman" w:hAnsi="Times New Roman" w:cs="Times New Roman"/>
        </w:rPr>
        <w:t xml:space="preserve">failed to appear for a September </w:t>
      </w:r>
      <w:r>
        <w:rPr>
          <w:rFonts w:ascii="Times New Roman" w:hAnsi="Times New Roman" w:cs="Times New Roman"/>
        </w:rPr>
        <w:t xml:space="preserve">25, </w:t>
      </w:r>
      <w:proofErr w:type="gramStart"/>
      <w:r w:rsidRPr="004F68A0">
        <w:rPr>
          <w:rFonts w:ascii="Times New Roman" w:hAnsi="Times New Roman" w:cs="Times New Roman"/>
        </w:rPr>
        <w:t>2023</w:t>
      </w:r>
      <w:proofErr w:type="gramEnd"/>
      <w:r w:rsidRPr="004F68A0">
        <w:rPr>
          <w:rFonts w:ascii="Times New Roman" w:hAnsi="Times New Roman" w:cs="Times New Roman"/>
        </w:rPr>
        <w:t xml:space="preserve"> trial date on financial issues because he was purportedly at a hospital emergency room seeking treatment following a fainting spell. Supreme Court directed counsel for the husband to produce the discharge summary from the hospital and warned that it would deem the husband to have rested on his financial</w:t>
      </w:r>
      <w:r w:rsidR="00E008CE">
        <w:rPr>
          <w:rFonts w:ascii="Times New Roman" w:hAnsi="Times New Roman" w:cs="Times New Roman"/>
        </w:rPr>
        <w:t xml:space="preserve"> case</w:t>
      </w:r>
      <w:r w:rsidRPr="004F68A0">
        <w:rPr>
          <w:rFonts w:ascii="Times New Roman" w:hAnsi="Times New Roman" w:cs="Times New Roman"/>
        </w:rPr>
        <w:t xml:space="preserve"> if he could not demonstrate a good excuse for his absence. No documentation was provided and, two days later, Supreme Court notified the parties by letter that it deemed the husband to have rested on all financial issues. The husband's subsequent attempts to revisit the issue were rejected by Supreme Court, and the trial concluded in October 2023.</w:t>
      </w:r>
      <w:r>
        <w:rPr>
          <w:rFonts w:ascii="Times New Roman" w:hAnsi="Times New Roman" w:cs="Times New Roman"/>
        </w:rPr>
        <w:t xml:space="preserve"> </w:t>
      </w:r>
      <w:r w:rsidRPr="004F68A0">
        <w:rPr>
          <w:rFonts w:ascii="Times New Roman" w:hAnsi="Times New Roman" w:cs="Times New Roman"/>
        </w:rPr>
        <w:t xml:space="preserve">Supreme Court thereafter issued a December 2023 decision in which it, among other things, resolved issues of equitable distribution, determined that the April 2023 custody order should be incorporated into the divorce judgment and directed the husband to pay the wife child support in the amount of $1,523.20 per month as </w:t>
      </w:r>
      <w:r>
        <w:rPr>
          <w:rFonts w:ascii="Times New Roman" w:hAnsi="Times New Roman" w:cs="Times New Roman"/>
        </w:rPr>
        <w:t>above stated. As to child support, the Third Department noted that “</w:t>
      </w:r>
      <w:r w:rsidRPr="004F68A0">
        <w:rPr>
          <w:rFonts w:ascii="Times New Roman" w:hAnsi="Times New Roman" w:cs="Times New Roman"/>
        </w:rPr>
        <w:t>Supreme Court found that the wife earned approximately $80,000 per year</w:t>
      </w:r>
      <w:r>
        <w:rPr>
          <w:rFonts w:ascii="Times New Roman" w:hAnsi="Times New Roman" w:cs="Times New Roman"/>
        </w:rPr>
        <w:t xml:space="preserve"> [and] ***</w:t>
      </w:r>
      <w:r w:rsidRPr="004F68A0">
        <w:rPr>
          <w:rFonts w:ascii="Times New Roman" w:hAnsi="Times New Roman" w:cs="Times New Roman"/>
        </w:rPr>
        <w:t xml:space="preserve"> the husband earned approximately</w:t>
      </w:r>
      <w:r>
        <w:rPr>
          <w:rFonts w:ascii="Times New Roman" w:hAnsi="Times New Roman" w:cs="Times New Roman"/>
        </w:rPr>
        <w:t xml:space="preserve"> </w:t>
      </w:r>
      <w:r w:rsidRPr="004F68A0">
        <w:rPr>
          <w:rFonts w:ascii="Times New Roman" w:hAnsi="Times New Roman" w:cs="Times New Roman"/>
        </w:rPr>
        <w:t xml:space="preserve">$35,000 per year working for his parents </w:t>
      </w:r>
      <w:r>
        <w:rPr>
          <w:rFonts w:ascii="Times New Roman" w:hAnsi="Times New Roman" w:cs="Times New Roman"/>
        </w:rPr>
        <w:t xml:space="preserve">*** </w:t>
      </w:r>
      <w:r w:rsidRPr="004F68A0">
        <w:rPr>
          <w:rFonts w:ascii="Times New Roman" w:hAnsi="Times New Roman" w:cs="Times New Roman"/>
        </w:rPr>
        <w:t>but imputed an income of $68,250 to him because he was fired for cause from a job where he earned that amount in July 2022.</w:t>
      </w:r>
      <w:r>
        <w:rPr>
          <w:rFonts w:ascii="Times New Roman" w:hAnsi="Times New Roman" w:cs="Times New Roman"/>
        </w:rPr>
        <w:t xml:space="preserve">” The husband </w:t>
      </w:r>
      <w:r w:rsidRPr="004F68A0">
        <w:rPr>
          <w:rFonts w:ascii="Times New Roman" w:hAnsi="Times New Roman" w:cs="Times New Roman"/>
        </w:rPr>
        <w:t xml:space="preserve">argues </w:t>
      </w:r>
      <w:r>
        <w:rPr>
          <w:rFonts w:ascii="Times New Roman" w:hAnsi="Times New Roman" w:cs="Times New Roman"/>
        </w:rPr>
        <w:t>on appeal that Supreme Court “</w:t>
      </w:r>
      <w:r w:rsidRPr="004F68A0">
        <w:rPr>
          <w:rFonts w:ascii="Times New Roman" w:hAnsi="Times New Roman" w:cs="Times New Roman"/>
        </w:rPr>
        <w:t>erred in directing him to pay any child support because he and the wife have essentially equal parenting time and she makes more money than him</w:t>
      </w:r>
      <w:r>
        <w:rPr>
          <w:rFonts w:ascii="Times New Roman" w:hAnsi="Times New Roman" w:cs="Times New Roman"/>
        </w:rPr>
        <w:t xml:space="preserve">,” but the parties’ April 2023 </w:t>
      </w:r>
      <w:r w:rsidRPr="004F68A0">
        <w:rPr>
          <w:rFonts w:ascii="Times New Roman" w:hAnsi="Times New Roman" w:cs="Times New Roman"/>
        </w:rPr>
        <w:t>order</w:t>
      </w:r>
      <w:r>
        <w:rPr>
          <w:rFonts w:ascii="Times New Roman" w:hAnsi="Times New Roman" w:cs="Times New Roman"/>
        </w:rPr>
        <w:t xml:space="preserve"> provided that the wife had </w:t>
      </w:r>
      <w:r w:rsidRPr="004F68A0">
        <w:rPr>
          <w:rFonts w:ascii="Times New Roman" w:hAnsi="Times New Roman" w:cs="Times New Roman"/>
        </w:rPr>
        <w:t xml:space="preserve">"primary physical custody." </w:t>
      </w:r>
      <w:r>
        <w:rPr>
          <w:rFonts w:ascii="Times New Roman" w:hAnsi="Times New Roman" w:cs="Times New Roman"/>
        </w:rPr>
        <w:t>The Third Department concluded that “</w:t>
      </w:r>
      <w:r w:rsidRPr="004F68A0">
        <w:rPr>
          <w:rFonts w:ascii="Times New Roman" w:hAnsi="Times New Roman" w:cs="Times New Roman"/>
        </w:rPr>
        <w:t>Supreme Court properly calculated the husband's support obligation under the Child Support Standards Act and directed him to pay that amount to her</w:t>
      </w:r>
      <w:r>
        <w:rPr>
          <w:rFonts w:ascii="Times New Roman" w:hAnsi="Times New Roman" w:cs="Times New Roman"/>
        </w:rPr>
        <w:t>.”  The Appellate Division addressed Supreme Court’s decision to deem the husband to have rested his case by failing to appear on September 25, 2023: “</w:t>
      </w:r>
      <w:r w:rsidRPr="004F68A0">
        <w:rPr>
          <w:rFonts w:ascii="Times New Roman" w:hAnsi="Times New Roman" w:cs="Times New Roman"/>
        </w:rPr>
        <w:t xml:space="preserve">We do agree with the husband that the issue of equitable distribution must be reconsidered. </w:t>
      </w:r>
      <w:r>
        <w:rPr>
          <w:rFonts w:ascii="Times New Roman" w:hAnsi="Times New Roman" w:cs="Times New Roman"/>
        </w:rPr>
        <w:t>***</w:t>
      </w:r>
      <w:r w:rsidRPr="004F68A0">
        <w:rPr>
          <w:rFonts w:ascii="Times New Roman" w:hAnsi="Times New Roman" w:cs="Times New Roman"/>
        </w:rPr>
        <w:t xml:space="preserve"> On September 28, 2023, counsel for the husband</w:t>
      </w:r>
      <w:r>
        <w:rPr>
          <w:rFonts w:ascii="Times New Roman" w:hAnsi="Times New Roman" w:cs="Times New Roman"/>
        </w:rPr>
        <w:t xml:space="preserve"> </w:t>
      </w:r>
      <w:r w:rsidRPr="004F68A0">
        <w:rPr>
          <w:rFonts w:ascii="Times New Roman" w:hAnsi="Times New Roman" w:cs="Times New Roman"/>
        </w:rPr>
        <w:t xml:space="preserve">asked the court to reconsider and provided paperwork from the hospital showing that the husband had, in fact, been in the emergency room on September 25 to get checked out after he had purportedly fainted and fell that morning. Under these circumstances, Supreme Court should have </w:t>
      </w:r>
      <w:r w:rsidRPr="004F68A0">
        <w:rPr>
          <w:rFonts w:ascii="Times New Roman" w:hAnsi="Times New Roman" w:cs="Times New Roman"/>
        </w:rPr>
        <w:lastRenderedPageBreak/>
        <w:t xml:space="preserve">revisited its initial determination and allowed the husband to present his financial proof at the next trial date </w:t>
      </w:r>
      <w:r>
        <w:rPr>
          <w:rFonts w:ascii="Times New Roman" w:hAnsi="Times New Roman" w:cs="Times New Roman"/>
        </w:rPr>
        <w:t xml:space="preserve">(citations omitted).” The Third Department modified, on the law and the facts, by reversing so much of the judgment as awarded equitable </w:t>
      </w:r>
      <w:proofErr w:type="gramStart"/>
      <w:r>
        <w:rPr>
          <w:rFonts w:ascii="Times New Roman" w:hAnsi="Times New Roman" w:cs="Times New Roman"/>
        </w:rPr>
        <w:t>distribution, and</w:t>
      </w:r>
      <w:proofErr w:type="gramEnd"/>
      <w:r>
        <w:rPr>
          <w:rFonts w:ascii="Times New Roman" w:hAnsi="Times New Roman" w:cs="Times New Roman"/>
        </w:rPr>
        <w:t xml:space="preserve"> remitted to Supreme Court </w:t>
      </w:r>
      <w:r w:rsidRPr="004F68A0">
        <w:rPr>
          <w:rFonts w:ascii="Times New Roman" w:hAnsi="Times New Roman" w:cs="Times New Roman"/>
        </w:rPr>
        <w:t>for a hearing and new determination on that subject</w:t>
      </w:r>
      <w:r>
        <w:rPr>
          <w:rFonts w:ascii="Times New Roman" w:hAnsi="Times New Roman" w:cs="Times New Roman"/>
        </w:rPr>
        <w:t>.”</w:t>
      </w:r>
    </w:p>
    <w:p w14:paraId="37ECBB01" w14:textId="77777777" w:rsidR="00DE6FC8" w:rsidRDefault="00DE6FC8" w:rsidP="008E3966">
      <w:pPr>
        <w:pStyle w:val="Heading2"/>
        <w:numPr>
          <w:ilvl w:val="0"/>
          <w:numId w:val="0"/>
        </w:numPr>
        <w:spacing w:line="240" w:lineRule="auto"/>
        <w:jc w:val="both"/>
        <w:rPr>
          <w:rFonts w:ascii="Times New Roman" w:hAnsi="Times New Roman" w:cs="Times New Roman"/>
        </w:rPr>
      </w:pPr>
    </w:p>
    <w:p w14:paraId="5E5F16ED" w14:textId="60D7F9DB" w:rsidR="00086653" w:rsidRDefault="00086653" w:rsidP="008E3966">
      <w:pPr>
        <w:pStyle w:val="Heading2"/>
        <w:numPr>
          <w:ilvl w:val="0"/>
          <w:numId w:val="0"/>
        </w:numPr>
        <w:spacing w:line="240" w:lineRule="auto"/>
        <w:jc w:val="both"/>
        <w:rPr>
          <w:rFonts w:ascii="Times New Roman" w:hAnsi="Times New Roman" w:cs="Times New Roman"/>
          <w:b/>
          <w:bCs/>
        </w:rPr>
      </w:pPr>
      <w:r w:rsidRPr="00A15BC1">
        <w:rPr>
          <w:rFonts w:ascii="Times New Roman" w:hAnsi="Times New Roman" w:cs="Times New Roman"/>
          <w:b/>
          <w:bCs/>
        </w:rPr>
        <w:t xml:space="preserve">Counsel Fees – After Trial – Denied; </w:t>
      </w:r>
      <w:r w:rsidR="00EA6515" w:rsidRPr="00A15BC1">
        <w:rPr>
          <w:rFonts w:ascii="Times New Roman" w:hAnsi="Times New Roman" w:cs="Times New Roman"/>
          <w:b/>
          <w:bCs/>
        </w:rPr>
        <w:t>Equitable Distribution - Sale of Business and Residence, Satisfy Debts, Valuation Date – Business – Date of Trial, Wasteful Dissipation – Refusal to Sell Business</w:t>
      </w:r>
      <w:r w:rsidR="00BE1AFA" w:rsidRPr="00A15BC1">
        <w:rPr>
          <w:rFonts w:ascii="Times New Roman" w:hAnsi="Times New Roman" w:cs="Times New Roman"/>
          <w:b/>
          <w:bCs/>
        </w:rPr>
        <w:t>; Maintenance - Durational – Downward Deviation from Guidelines Amount and Duration, Imputed Income</w:t>
      </w:r>
    </w:p>
    <w:p w14:paraId="11878662" w14:textId="77777777" w:rsidR="00DE6FC8" w:rsidRDefault="00DE6FC8" w:rsidP="008E3966">
      <w:pPr>
        <w:pStyle w:val="Heading2"/>
        <w:numPr>
          <w:ilvl w:val="0"/>
          <w:numId w:val="0"/>
        </w:numPr>
        <w:spacing w:line="240" w:lineRule="auto"/>
        <w:jc w:val="both"/>
        <w:rPr>
          <w:rFonts w:ascii="Times New Roman" w:hAnsi="Times New Roman" w:cs="Times New Roman"/>
          <w:b/>
          <w:bCs/>
        </w:rPr>
      </w:pPr>
    </w:p>
    <w:p w14:paraId="080AF511" w14:textId="20CC84A9" w:rsidR="00E63C06" w:rsidRDefault="00B36F1B" w:rsidP="008E396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r>
      <w:r w:rsidR="00E63C06">
        <w:rPr>
          <w:rFonts w:ascii="Times New Roman" w:hAnsi="Times New Roman" w:cs="Times New Roman"/>
        </w:rPr>
        <w:t xml:space="preserve">In </w:t>
      </w:r>
      <w:proofErr w:type="spellStart"/>
      <w:r w:rsidR="00E63C06" w:rsidRPr="00300748">
        <w:rPr>
          <w:rFonts w:ascii="Times New Roman" w:hAnsi="Times New Roman" w:cs="Times New Roman"/>
          <w:b/>
          <w:bCs/>
          <w:i/>
          <w:iCs/>
        </w:rPr>
        <w:t>Angello</w:t>
      </w:r>
      <w:proofErr w:type="spellEnd"/>
      <w:r w:rsidR="00E63C06" w:rsidRPr="00300748">
        <w:rPr>
          <w:rFonts w:ascii="Times New Roman" w:hAnsi="Times New Roman" w:cs="Times New Roman"/>
          <w:b/>
          <w:bCs/>
          <w:i/>
          <w:iCs/>
        </w:rPr>
        <w:t xml:space="preserve"> v. </w:t>
      </w:r>
      <w:proofErr w:type="spellStart"/>
      <w:r w:rsidR="00E63C06" w:rsidRPr="00300748">
        <w:rPr>
          <w:rFonts w:ascii="Times New Roman" w:hAnsi="Times New Roman" w:cs="Times New Roman"/>
          <w:b/>
          <w:bCs/>
          <w:i/>
          <w:iCs/>
        </w:rPr>
        <w:t>Angello</w:t>
      </w:r>
      <w:proofErr w:type="spellEnd"/>
      <w:r w:rsidR="00E63C06">
        <w:rPr>
          <w:rFonts w:ascii="Times New Roman" w:hAnsi="Times New Roman" w:cs="Times New Roman"/>
        </w:rPr>
        <w:t>, 2025 Westlaw 1073268 (3d Dept. Apr. 10, 2025), the parties were married in 1989 and have 1 adult child. The Appellate Division noted: “The marital property at issue included a local, organic grocery distribution business primarily operated by the husband, which had incurred significant debt and had ceased operations by the time of trial, a warehouse associated with the business, and the marital residence.”  Supreme Court “</w:t>
      </w:r>
      <w:r w:rsidR="00E63C06" w:rsidRPr="001D3BB9">
        <w:rPr>
          <w:rFonts w:ascii="Times New Roman" w:hAnsi="Times New Roman" w:cs="Times New Roman"/>
        </w:rPr>
        <w:t>found that the wife had wastefully dissipated marital assets by refusing to agree to a 2018 arrangement in which one of the marital business' competitors would have acquired the business and its customer list, assumed responsibility for $900,000 in business debt and hired its staff.</w:t>
      </w:r>
      <w:r w:rsidR="00E63C06">
        <w:rPr>
          <w:rFonts w:ascii="Times New Roman" w:hAnsi="Times New Roman" w:cs="Times New Roman"/>
        </w:rPr>
        <w:t xml:space="preserve">”  The wife appealed from an August 2021 Supreme Court judgment which, following a trial of the husband’s 2016 divorce action: (1) </w:t>
      </w:r>
      <w:r w:rsidR="00E63C06" w:rsidRPr="001D3270">
        <w:rPr>
          <w:rFonts w:ascii="Times New Roman" w:hAnsi="Times New Roman" w:cs="Times New Roman"/>
        </w:rPr>
        <w:t>valued the business as of the date of trial</w:t>
      </w:r>
      <w:r w:rsidR="00E63C06">
        <w:rPr>
          <w:rFonts w:ascii="Times New Roman" w:hAnsi="Times New Roman" w:cs="Times New Roman"/>
        </w:rPr>
        <w:t xml:space="preserve">; (2) </w:t>
      </w:r>
      <w:r w:rsidR="00E63C06" w:rsidRPr="001D3270">
        <w:rPr>
          <w:rFonts w:ascii="Times New Roman" w:hAnsi="Times New Roman" w:cs="Times New Roman"/>
        </w:rPr>
        <w:t xml:space="preserve">directed that </w:t>
      </w:r>
      <w:r w:rsidR="00E63C06">
        <w:rPr>
          <w:rFonts w:ascii="Times New Roman" w:hAnsi="Times New Roman" w:cs="Times New Roman"/>
        </w:rPr>
        <w:t xml:space="preserve">she </w:t>
      </w:r>
      <w:r w:rsidR="00E63C06" w:rsidRPr="001D3270">
        <w:rPr>
          <w:rFonts w:ascii="Times New Roman" w:hAnsi="Times New Roman" w:cs="Times New Roman"/>
        </w:rPr>
        <w:t xml:space="preserve">be responsible for half of </w:t>
      </w:r>
      <w:r w:rsidR="00E63C06">
        <w:rPr>
          <w:rFonts w:ascii="Times New Roman" w:hAnsi="Times New Roman" w:cs="Times New Roman"/>
        </w:rPr>
        <w:t>the</w:t>
      </w:r>
      <w:r w:rsidR="00E63C06" w:rsidRPr="001D3270">
        <w:rPr>
          <w:rFonts w:ascii="Times New Roman" w:hAnsi="Times New Roman" w:cs="Times New Roman"/>
        </w:rPr>
        <w:t xml:space="preserve"> $995,000 in </w:t>
      </w:r>
      <w:r w:rsidR="00E63C06">
        <w:rPr>
          <w:rFonts w:ascii="Times New Roman" w:hAnsi="Times New Roman" w:cs="Times New Roman"/>
        </w:rPr>
        <w:t xml:space="preserve">business </w:t>
      </w:r>
      <w:r w:rsidR="00E63C06" w:rsidRPr="001D3270">
        <w:rPr>
          <w:rFonts w:ascii="Times New Roman" w:hAnsi="Times New Roman" w:cs="Times New Roman"/>
        </w:rPr>
        <w:t>debt</w:t>
      </w:r>
      <w:r w:rsidR="00E63C06">
        <w:rPr>
          <w:rFonts w:ascii="Times New Roman" w:hAnsi="Times New Roman" w:cs="Times New Roman"/>
        </w:rPr>
        <w:t xml:space="preserve">; (3) </w:t>
      </w:r>
      <w:r w:rsidR="00E63C06" w:rsidRPr="001D3270">
        <w:rPr>
          <w:rFonts w:ascii="Times New Roman" w:hAnsi="Times New Roman" w:cs="Times New Roman"/>
        </w:rPr>
        <w:t>direct</w:t>
      </w:r>
      <w:r w:rsidR="00E63C06">
        <w:rPr>
          <w:rFonts w:ascii="Times New Roman" w:hAnsi="Times New Roman" w:cs="Times New Roman"/>
        </w:rPr>
        <w:t>ed</w:t>
      </w:r>
      <w:r w:rsidR="00E63C06" w:rsidRPr="001D3270">
        <w:rPr>
          <w:rFonts w:ascii="Times New Roman" w:hAnsi="Times New Roman" w:cs="Times New Roman"/>
        </w:rPr>
        <w:t xml:space="preserve"> that the warehouse be sold and </w:t>
      </w:r>
      <w:r w:rsidR="00E63C06">
        <w:rPr>
          <w:rFonts w:ascii="Times New Roman" w:hAnsi="Times New Roman" w:cs="Times New Roman"/>
        </w:rPr>
        <w:t xml:space="preserve">the </w:t>
      </w:r>
      <w:r w:rsidR="00E63C06" w:rsidRPr="001D3270">
        <w:rPr>
          <w:rFonts w:ascii="Times New Roman" w:hAnsi="Times New Roman" w:cs="Times New Roman"/>
        </w:rPr>
        <w:t>proceeds be applied first to the debts secured by liens on the warehouse and then to the remaining business debt</w:t>
      </w:r>
      <w:r w:rsidR="00E63C06">
        <w:rPr>
          <w:rFonts w:ascii="Times New Roman" w:hAnsi="Times New Roman" w:cs="Times New Roman"/>
        </w:rPr>
        <w:t xml:space="preserve">; (4) </w:t>
      </w:r>
      <w:r w:rsidR="00E63C06" w:rsidRPr="001D3270">
        <w:rPr>
          <w:rFonts w:ascii="Times New Roman" w:hAnsi="Times New Roman" w:cs="Times New Roman"/>
        </w:rPr>
        <w:t>directed that the marital residence be sold and the net proceeds be equally divided</w:t>
      </w:r>
      <w:r w:rsidR="00E63C06">
        <w:rPr>
          <w:rFonts w:ascii="Times New Roman" w:hAnsi="Times New Roman" w:cs="Times New Roman"/>
        </w:rPr>
        <w:t xml:space="preserve">, </w:t>
      </w:r>
      <w:r w:rsidR="00E63C06" w:rsidRPr="001D3270">
        <w:rPr>
          <w:rFonts w:ascii="Times New Roman" w:hAnsi="Times New Roman" w:cs="Times New Roman"/>
        </w:rPr>
        <w:t>after adjustment to reflect temporary maintenance and counsel fee arrearages owed by the husband</w:t>
      </w:r>
      <w:r w:rsidR="00E63C06">
        <w:rPr>
          <w:rFonts w:ascii="Times New Roman" w:hAnsi="Times New Roman" w:cs="Times New Roman"/>
        </w:rPr>
        <w:t>; (5) based upon the husband’s annual earnings of $50,000 (derived from working for the competitor who made the parties the 2018 offer) and $12,500 of imputed income to the wife,</w:t>
      </w:r>
      <w:r w:rsidR="00E63C06" w:rsidRPr="001D3270">
        <w:rPr>
          <w:rFonts w:ascii="Times New Roman" w:hAnsi="Times New Roman" w:cs="Times New Roman"/>
        </w:rPr>
        <w:t xml:space="preserve"> calculated the </w:t>
      </w:r>
      <w:r w:rsidR="00E63C06">
        <w:rPr>
          <w:rFonts w:ascii="Times New Roman" w:hAnsi="Times New Roman" w:cs="Times New Roman"/>
        </w:rPr>
        <w:t xml:space="preserve">wife’s </w:t>
      </w:r>
      <w:r w:rsidR="00E63C06" w:rsidRPr="001D3270">
        <w:rPr>
          <w:rFonts w:ascii="Times New Roman" w:hAnsi="Times New Roman" w:cs="Times New Roman"/>
        </w:rPr>
        <w:t xml:space="preserve">presumptive amount of maintenance as $914 </w:t>
      </w:r>
      <w:r w:rsidR="00E63C06">
        <w:rPr>
          <w:rFonts w:ascii="Times New Roman" w:hAnsi="Times New Roman" w:cs="Times New Roman"/>
        </w:rPr>
        <w:t xml:space="preserve">per month for a period of 9.5 to 13 years, </w:t>
      </w:r>
      <w:r w:rsidR="00E63C06" w:rsidRPr="001D3270">
        <w:rPr>
          <w:rFonts w:ascii="Times New Roman" w:hAnsi="Times New Roman" w:cs="Times New Roman"/>
        </w:rPr>
        <w:t xml:space="preserve">but </w:t>
      </w:r>
      <w:r w:rsidR="00E63C06">
        <w:rPr>
          <w:rFonts w:ascii="Times New Roman" w:hAnsi="Times New Roman" w:cs="Times New Roman"/>
        </w:rPr>
        <w:t xml:space="preserve">deviated downward to </w:t>
      </w:r>
      <w:r w:rsidR="00E63C06" w:rsidRPr="001D3270">
        <w:rPr>
          <w:rFonts w:ascii="Times New Roman" w:hAnsi="Times New Roman" w:cs="Times New Roman"/>
        </w:rPr>
        <w:t xml:space="preserve">$305 </w:t>
      </w:r>
      <w:r w:rsidR="00E63C06">
        <w:rPr>
          <w:rFonts w:ascii="Times New Roman" w:hAnsi="Times New Roman" w:cs="Times New Roman"/>
        </w:rPr>
        <w:t xml:space="preserve">per </w:t>
      </w:r>
      <w:r w:rsidR="00E63C06" w:rsidRPr="001D3270">
        <w:rPr>
          <w:rFonts w:ascii="Times New Roman" w:hAnsi="Times New Roman" w:cs="Times New Roman"/>
        </w:rPr>
        <w:t xml:space="preserve">month for </w:t>
      </w:r>
      <w:r w:rsidR="00E63C06">
        <w:rPr>
          <w:rFonts w:ascii="Times New Roman" w:hAnsi="Times New Roman" w:cs="Times New Roman"/>
        </w:rPr>
        <w:t xml:space="preserve">5 </w:t>
      </w:r>
      <w:r w:rsidR="00E63C06" w:rsidRPr="001D3270">
        <w:rPr>
          <w:rFonts w:ascii="Times New Roman" w:hAnsi="Times New Roman" w:cs="Times New Roman"/>
        </w:rPr>
        <w:t>years</w:t>
      </w:r>
      <w:r w:rsidR="00E63C06">
        <w:rPr>
          <w:rFonts w:ascii="Times New Roman" w:hAnsi="Times New Roman" w:cs="Times New Roman"/>
        </w:rPr>
        <w:t xml:space="preserve">; and (6) </w:t>
      </w:r>
      <w:r w:rsidR="00E63C06" w:rsidRPr="001D3270">
        <w:rPr>
          <w:rFonts w:ascii="Times New Roman" w:hAnsi="Times New Roman" w:cs="Times New Roman"/>
        </w:rPr>
        <w:t xml:space="preserve">directed the wife to pay the husband $20,000 in counsel fees </w:t>
      </w:r>
      <w:r w:rsidR="00E63C06">
        <w:rPr>
          <w:rFonts w:ascii="Times New Roman" w:hAnsi="Times New Roman" w:cs="Times New Roman"/>
        </w:rPr>
        <w:t xml:space="preserve">from </w:t>
      </w:r>
      <w:r w:rsidR="00E63C06" w:rsidRPr="001D3270">
        <w:rPr>
          <w:rFonts w:ascii="Times New Roman" w:hAnsi="Times New Roman" w:cs="Times New Roman"/>
        </w:rPr>
        <w:t xml:space="preserve">her share of the </w:t>
      </w:r>
      <w:r w:rsidR="00E63C06">
        <w:rPr>
          <w:rFonts w:ascii="Times New Roman" w:hAnsi="Times New Roman" w:cs="Times New Roman"/>
        </w:rPr>
        <w:t xml:space="preserve">marital residence sale </w:t>
      </w:r>
      <w:r w:rsidR="00E63C06" w:rsidRPr="001D3270">
        <w:rPr>
          <w:rFonts w:ascii="Times New Roman" w:hAnsi="Times New Roman" w:cs="Times New Roman"/>
        </w:rPr>
        <w:t xml:space="preserve">proceeds </w:t>
      </w:r>
      <w:r w:rsidR="00E63C06">
        <w:rPr>
          <w:rFonts w:ascii="Times New Roman" w:hAnsi="Times New Roman" w:cs="Times New Roman"/>
        </w:rPr>
        <w:t>“</w:t>
      </w:r>
      <w:r w:rsidR="00E63C06" w:rsidRPr="001D3270">
        <w:rPr>
          <w:rFonts w:ascii="Times New Roman" w:hAnsi="Times New Roman" w:cs="Times New Roman"/>
        </w:rPr>
        <w:t xml:space="preserve">finding that, while the husband was the more monied spouse, he had already incurred significant legal fees on the wife's behalf and she, in turn, had </w:t>
      </w:r>
      <w:r w:rsidR="00E63C06">
        <w:rPr>
          <w:rFonts w:ascii="Times New Roman" w:hAnsi="Times New Roman" w:cs="Times New Roman"/>
        </w:rPr>
        <w:t>‘</w:t>
      </w:r>
      <w:proofErr w:type="spellStart"/>
      <w:r w:rsidR="00E63C06" w:rsidRPr="001D3270">
        <w:rPr>
          <w:rFonts w:ascii="Times New Roman" w:hAnsi="Times New Roman" w:cs="Times New Roman"/>
        </w:rPr>
        <w:t>refus</w:t>
      </w:r>
      <w:proofErr w:type="spellEnd"/>
      <w:r w:rsidR="00E63C06" w:rsidRPr="001D3270">
        <w:rPr>
          <w:rFonts w:ascii="Times New Roman" w:hAnsi="Times New Roman" w:cs="Times New Roman"/>
        </w:rPr>
        <w:t>[ed] to settle the matter on any terms</w:t>
      </w:r>
      <w:r w:rsidR="00E63C06">
        <w:rPr>
          <w:rFonts w:ascii="Times New Roman" w:hAnsi="Times New Roman" w:cs="Times New Roman"/>
        </w:rPr>
        <w:t>’</w:t>
      </w:r>
      <w:r w:rsidR="00E63C06" w:rsidRPr="001D3270">
        <w:rPr>
          <w:rFonts w:ascii="Times New Roman" w:hAnsi="Times New Roman" w:cs="Times New Roman"/>
        </w:rPr>
        <w:t xml:space="preserve"> and behaved in a manner that severely impacted the parties' assets</w:t>
      </w:r>
      <w:r w:rsidR="00E63C06">
        <w:rPr>
          <w:rFonts w:ascii="Times New Roman" w:hAnsi="Times New Roman" w:cs="Times New Roman"/>
        </w:rPr>
        <w:t>.”  The Third Department: (1) upheld the date of trial valuation of the business, holding that “</w:t>
      </w:r>
      <w:r w:rsidR="00E63C06" w:rsidRPr="00A63A67">
        <w:rPr>
          <w:rFonts w:ascii="Times New Roman" w:hAnsi="Times New Roman" w:cs="Times New Roman"/>
        </w:rPr>
        <w:t>the credible proof here reflected that the business had ceased operations during the pendency of this action due to legitimate financial problems that were not attributable to the husband and were not going to improve,</w:t>
      </w:r>
      <w:r w:rsidR="00E63C06">
        <w:rPr>
          <w:rFonts w:ascii="Times New Roman" w:hAnsi="Times New Roman" w:cs="Times New Roman"/>
        </w:rPr>
        <w:t xml:space="preserve"> ***”; (2) upheld the equal responsibility for the business debt, noting “as </w:t>
      </w:r>
      <w:r w:rsidR="00E63C06" w:rsidRPr="0097604D">
        <w:rPr>
          <w:rFonts w:ascii="Times New Roman" w:hAnsi="Times New Roman" w:cs="Times New Roman"/>
        </w:rPr>
        <w:t>the proof also reflected that the wife's refusal to agree to the 2018 offer to sell the business was unreasonable, Supreme Court properly determined that she had wastefully dissipated marital assets and took that fact into account in distributing an equal share of the business debt to her</w:t>
      </w:r>
      <w:r w:rsidR="00E63C06">
        <w:rPr>
          <w:rFonts w:ascii="Times New Roman" w:hAnsi="Times New Roman" w:cs="Times New Roman"/>
        </w:rPr>
        <w:t>”; (3 and 4) as to the wife’s challenge to the sale of assets, noted: “</w:t>
      </w:r>
      <w:r w:rsidR="00E63C06" w:rsidRPr="00AA7DCE">
        <w:rPr>
          <w:rFonts w:ascii="Times New Roman" w:hAnsi="Times New Roman" w:cs="Times New Roman"/>
        </w:rPr>
        <w:t>The parties are in serious financial trouble because of her refusal to agree to the 2018 offer, and their other assets, which were also depleted to some degree due to the prolonged litigation in this matter, cannot cover their debts. A sale of the two major assets remaining in the marital estate — a warehouse used</w:t>
      </w:r>
      <w:r w:rsidR="00E63C06">
        <w:rPr>
          <w:rFonts w:ascii="Times New Roman" w:hAnsi="Times New Roman" w:cs="Times New Roman"/>
        </w:rPr>
        <w:t xml:space="preserve"> </w:t>
      </w:r>
      <w:r w:rsidR="00E63C06" w:rsidRPr="00AA7DCE">
        <w:rPr>
          <w:rFonts w:ascii="Times New Roman" w:hAnsi="Times New Roman" w:cs="Times New Roman"/>
        </w:rPr>
        <w:t>in the business that a realtor testified should have an asking price of $595,000 and a marital residence that was assessed for tax purposes at $224,731 — would be the only way to generate funds to put a significant dent in that debt and provide some much-needed cash to the parties</w:t>
      </w:r>
      <w:r w:rsidR="00E63C06">
        <w:rPr>
          <w:rFonts w:ascii="Times New Roman" w:hAnsi="Times New Roman" w:cs="Times New Roman"/>
        </w:rPr>
        <w:t>”; (5) as to maintenance, noted “</w:t>
      </w:r>
      <w:r w:rsidR="00E63C06" w:rsidRPr="009F0A3F">
        <w:rPr>
          <w:rFonts w:ascii="Times New Roman" w:hAnsi="Times New Roman" w:cs="Times New Roman"/>
        </w:rPr>
        <w:t xml:space="preserve">the husband was earning approximately $74,000 a year </w:t>
      </w:r>
      <w:r w:rsidR="00E63C06" w:rsidRPr="009F0A3F">
        <w:rPr>
          <w:rFonts w:ascii="Times New Roman" w:hAnsi="Times New Roman" w:cs="Times New Roman"/>
        </w:rPr>
        <w:lastRenderedPageBreak/>
        <w:t>from the marital business when it became insolvent, but was only earning $50,000 a year working for</w:t>
      </w:r>
      <w:r w:rsidR="00E63C06">
        <w:rPr>
          <w:rFonts w:ascii="Times New Roman" w:hAnsi="Times New Roman" w:cs="Times New Roman"/>
        </w:rPr>
        <w:t xml:space="preserve"> [the competitor] </w:t>
      </w:r>
      <w:r w:rsidR="00E63C06" w:rsidRPr="009F0A3F">
        <w:rPr>
          <w:rFonts w:ascii="Times New Roman" w:hAnsi="Times New Roman" w:cs="Times New Roman"/>
        </w:rPr>
        <w:t>by the time of tria</w:t>
      </w:r>
      <w:r w:rsidR="00E63C06">
        <w:rPr>
          <w:rFonts w:ascii="Times New Roman" w:hAnsi="Times New Roman" w:cs="Times New Roman"/>
        </w:rPr>
        <w:t>l,” and “</w:t>
      </w:r>
      <w:r w:rsidR="00E63C06" w:rsidRPr="009F0A3F">
        <w:rPr>
          <w:rFonts w:ascii="Times New Roman" w:hAnsi="Times New Roman" w:cs="Times New Roman"/>
        </w:rPr>
        <w:t>testified that he could theoretically increase that income with sales commissions, but did not expect that to happen because he owed money to many of the vendors in the wake of the marital business' closure and those vendors refused to do business with him</w:t>
      </w:r>
      <w:r w:rsidR="00E63C06">
        <w:rPr>
          <w:rFonts w:ascii="Times New Roman" w:hAnsi="Times New Roman" w:cs="Times New Roman"/>
        </w:rPr>
        <w:t xml:space="preserve"> ***[and] *** he </w:t>
      </w:r>
      <w:r w:rsidR="00E63C06" w:rsidRPr="009F0A3F">
        <w:rPr>
          <w:rFonts w:ascii="Times New Roman" w:hAnsi="Times New Roman" w:cs="Times New Roman"/>
        </w:rPr>
        <w:t>could well lose his job if the federal license he needed to perform it was revoked as a result of the debts he owed to those vendors (</w:t>
      </w:r>
      <w:r w:rsidR="00E63C06" w:rsidRPr="009F0A3F">
        <w:rPr>
          <w:rFonts w:ascii="Times New Roman" w:hAnsi="Times New Roman" w:cs="Times New Roman"/>
          <w:i/>
          <w:iCs/>
        </w:rPr>
        <w:t>see</w:t>
      </w:r>
      <w:r w:rsidR="00E63C06" w:rsidRPr="009F0A3F">
        <w:rPr>
          <w:rFonts w:ascii="Times New Roman" w:hAnsi="Times New Roman" w:cs="Times New Roman"/>
        </w:rPr>
        <w:t> 7 USC §§ 499b, 499c [a]; 499f). Supreme Court accordingly declined to impute additional income to the husband and calculated maintenance based upon his actual income of $50,000 a year. Supreme Court further found that, as the unemployed wife was a licensed massage therapist and had demonstrated a variety of employable skills in the course of her work for the marital business, income of $12,500 a year should be imputed to her.</w:t>
      </w:r>
      <w:r w:rsidR="00E63C06">
        <w:rPr>
          <w:rFonts w:ascii="Times New Roman" w:hAnsi="Times New Roman" w:cs="Times New Roman"/>
        </w:rPr>
        <w:t>” The Appellate Division upheld both income determinations, while citing Supreme Court’s findings including “the wi</w:t>
      </w:r>
      <w:r w:rsidR="00E63C06" w:rsidRPr="00414237">
        <w:rPr>
          <w:rFonts w:ascii="Times New Roman" w:hAnsi="Times New Roman" w:cs="Times New Roman"/>
        </w:rPr>
        <w:t>fe's wasteful dissipation of marital assets that had financially harmed both parties, the role her actions had played in harming the husband's earning capacity, the lack of any indication that she required additional education or training to find work, and her eligibility for Social Security benefits and Medicare</w:t>
      </w:r>
      <w:r w:rsidR="00E63C06">
        <w:rPr>
          <w:rFonts w:ascii="Times New Roman" w:hAnsi="Times New Roman" w:cs="Times New Roman"/>
        </w:rPr>
        <w:t>,” which “</w:t>
      </w:r>
      <w:r w:rsidR="00E63C06" w:rsidRPr="00414237">
        <w:rPr>
          <w:rFonts w:ascii="Times New Roman" w:hAnsi="Times New Roman" w:cs="Times New Roman"/>
        </w:rPr>
        <w:t>justified a downward deviation</w:t>
      </w:r>
      <w:r w:rsidR="00E63C06">
        <w:rPr>
          <w:rFonts w:ascii="Times New Roman" w:hAnsi="Times New Roman" w:cs="Times New Roman"/>
        </w:rPr>
        <w:t xml:space="preserve"> (citation omitted)” but modified, on the law, finding that “</w:t>
      </w:r>
      <w:r w:rsidR="00E63C06" w:rsidRPr="00414237">
        <w:rPr>
          <w:rFonts w:ascii="Times New Roman" w:hAnsi="Times New Roman" w:cs="Times New Roman"/>
        </w:rPr>
        <w:t>a lesser downward deviation is warranted based upon our review of the record and direct</w:t>
      </w:r>
      <w:r w:rsidR="00E63C06">
        <w:rPr>
          <w:rFonts w:ascii="Times New Roman" w:hAnsi="Times New Roman" w:cs="Times New Roman"/>
        </w:rPr>
        <w:t>[ed]</w:t>
      </w:r>
      <w:r w:rsidR="00E63C06" w:rsidRPr="00414237">
        <w:rPr>
          <w:rFonts w:ascii="Times New Roman" w:hAnsi="Times New Roman" w:cs="Times New Roman"/>
        </w:rPr>
        <w:t xml:space="preserve"> that the husband pay maintenance to the wife in the amount of $500 a month for a period of five years</w:t>
      </w:r>
      <w:r w:rsidR="00E63C06">
        <w:rPr>
          <w:rFonts w:ascii="Times New Roman" w:hAnsi="Times New Roman" w:cs="Times New Roman"/>
        </w:rPr>
        <w:t xml:space="preserve"> (internal quotation marks omitted)”; and (6) reversed the counsel fee award, on the law, concluding: “</w:t>
      </w:r>
      <w:r w:rsidR="00E63C06" w:rsidRPr="002B0BBF">
        <w:rPr>
          <w:rFonts w:ascii="Times New Roman" w:hAnsi="Times New Roman" w:cs="Times New Roman"/>
        </w:rPr>
        <w:t>An award of counsel fees pursuant to Domestic Relations Law §237 is accordingly unjustified where financial need is not the primary driver, such as where the party seeking counsel fees is better off financially than the nonmoving party or where the parties are similarly situated financially and [the moving party] has failed to establish any financial inability to pay [his or] her own counsel fees</w:t>
      </w:r>
      <w:r w:rsidR="00E63C06">
        <w:rPr>
          <w:rFonts w:ascii="Times New Roman" w:hAnsi="Times New Roman" w:cs="Times New Roman"/>
        </w:rPr>
        <w:t xml:space="preserve"> </w:t>
      </w:r>
      <w:r w:rsidR="00E63C06" w:rsidRPr="002B0BBF">
        <w:rPr>
          <w:rFonts w:ascii="Times New Roman" w:hAnsi="Times New Roman" w:cs="Times New Roman"/>
        </w:rPr>
        <w:t>(</w:t>
      </w:r>
      <w:r w:rsidR="00E63C06">
        <w:rPr>
          <w:rFonts w:ascii="Times New Roman" w:hAnsi="Times New Roman" w:cs="Times New Roman"/>
        </w:rPr>
        <w:t>citations and internal quotation marks omitted)</w:t>
      </w:r>
      <w:r w:rsidR="00E63C06" w:rsidRPr="002B0BBF">
        <w:rPr>
          <w:rFonts w:ascii="Times New Roman" w:hAnsi="Times New Roman" w:cs="Times New Roman"/>
        </w:rPr>
        <w:t>. There is no dispute here that the husband is in a better financial position than the wife, and his motion for counsel fees was based upon the wife's allegedly obstructive conduct during litigation as opposed to any difficulty on his part in covering his counsel fees. Supreme Court abused its discretion in granting the husband's motion for counsel fees under these circumstances</w:t>
      </w:r>
      <w:r w:rsidR="00E63C06">
        <w:rPr>
          <w:rFonts w:ascii="Times New Roman" w:hAnsi="Times New Roman" w:cs="Times New Roman"/>
        </w:rPr>
        <w:t>.”</w:t>
      </w:r>
    </w:p>
    <w:p w14:paraId="4E15D15E" w14:textId="77777777" w:rsidR="00E30A69" w:rsidRDefault="00E30A69" w:rsidP="008E3966">
      <w:pPr>
        <w:pStyle w:val="Heading2"/>
        <w:numPr>
          <w:ilvl w:val="0"/>
          <w:numId w:val="0"/>
        </w:numPr>
        <w:spacing w:line="240" w:lineRule="auto"/>
        <w:jc w:val="both"/>
        <w:rPr>
          <w:rFonts w:ascii="Times New Roman" w:hAnsi="Times New Roman" w:cs="Times New Roman"/>
        </w:rPr>
      </w:pPr>
    </w:p>
    <w:p w14:paraId="4E031AA6" w14:textId="6380CF4C" w:rsidR="00E30A69" w:rsidRDefault="00E30A69" w:rsidP="008E3966">
      <w:pPr>
        <w:pStyle w:val="Heading2"/>
        <w:numPr>
          <w:ilvl w:val="0"/>
          <w:numId w:val="0"/>
        </w:numPr>
        <w:spacing w:line="240" w:lineRule="auto"/>
        <w:jc w:val="both"/>
        <w:rPr>
          <w:rFonts w:ascii="Times New Roman" w:hAnsi="Times New Roman" w:cs="Times New Roman"/>
          <w:b/>
          <w:bCs/>
        </w:rPr>
      </w:pPr>
      <w:r w:rsidRPr="00E30A69">
        <w:rPr>
          <w:rFonts w:ascii="Times New Roman" w:hAnsi="Times New Roman" w:cs="Times New Roman"/>
          <w:b/>
          <w:bCs/>
        </w:rPr>
        <w:t>Custody – Modification – Dismissal Reversed</w:t>
      </w:r>
    </w:p>
    <w:p w14:paraId="36379A38" w14:textId="77777777" w:rsidR="00E30A69" w:rsidRDefault="00E30A69" w:rsidP="008E3966">
      <w:pPr>
        <w:pStyle w:val="Heading2"/>
        <w:numPr>
          <w:ilvl w:val="0"/>
          <w:numId w:val="0"/>
        </w:numPr>
        <w:spacing w:line="240" w:lineRule="auto"/>
        <w:jc w:val="both"/>
        <w:rPr>
          <w:rFonts w:ascii="Times New Roman" w:hAnsi="Times New Roman" w:cs="Times New Roman"/>
          <w:b/>
          <w:bCs/>
        </w:rPr>
      </w:pPr>
    </w:p>
    <w:p w14:paraId="19571AEB" w14:textId="2496B1B6" w:rsidR="00E30A69" w:rsidRPr="00E30A69" w:rsidRDefault="00E30A69" w:rsidP="008E3966">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rPr>
        <w:tab/>
        <w:t xml:space="preserve">In </w:t>
      </w:r>
      <w:r w:rsidRPr="00E30A69">
        <w:rPr>
          <w:rFonts w:ascii="Times New Roman" w:hAnsi="Times New Roman" w:cs="Times New Roman"/>
          <w:b/>
          <w:bCs/>
          <w:i/>
          <w:iCs/>
        </w:rPr>
        <w:t>Matter of Catherine M.C. v. Matthew P.C.</w:t>
      </w:r>
      <w:r>
        <w:rPr>
          <w:rFonts w:ascii="Times New Roman" w:hAnsi="Times New Roman" w:cs="Times New Roman"/>
        </w:rPr>
        <w:t>, 2025 Westlaw 1200728 (4</w:t>
      </w:r>
      <w:r w:rsidRPr="002973DC">
        <w:rPr>
          <w:rFonts w:ascii="Times New Roman" w:hAnsi="Times New Roman" w:cs="Times New Roman"/>
          <w:vertAlign w:val="superscript"/>
        </w:rPr>
        <w:t>th</w:t>
      </w:r>
      <w:r>
        <w:rPr>
          <w:rFonts w:ascii="Times New Roman" w:hAnsi="Times New Roman" w:cs="Times New Roman"/>
        </w:rPr>
        <w:t xml:space="preserve"> Dept. Apr. 25, 2025), the mother and the attorney for the children appealed from a July 2023 Family Court order, which, without a hearing, granted the father motion to dismiss the mother’s petition seeking to modify a prior consent order (joint legal, primary to mother, supervised visitation to father), so as to award her sole legal custody and terminate the father’s visitation. The Fourth Department reversed, on the law, reinstated the mother’s petition, and remitted to Family Court. The Appellate Division held that “Family Court erred in summarily dismissing the petition inasmuch as the mother otherwise alleged a change in circumstances sufficient to survive the father’s motion to dismiss and warrant a hearing.”  The mother’s modification petition alleged: the father had neglected to exercise his right to supervised visitation and had not seen or spoken with the children in over two years; the older child newly disclosed that in addition to previously known sexual abuse by the paternal uncle, the father had also sexually abused him; both children had been diagnosed with PTSD; the father and his paramour had engaged in conduct leading to the removal of the father’s other children from his care; and increasing animus between the parties, the deterioration of the father’s relationship with the children, and the psychological issues that had </w:t>
      </w:r>
      <w:r>
        <w:rPr>
          <w:rFonts w:ascii="Times New Roman" w:hAnsi="Times New Roman" w:cs="Times New Roman"/>
        </w:rPr>
        <w:lastRenderedPageBreak/>
        <w:t>arisen with the children.</w:t>
      </w:r>
    </w:p>
    <w:p w14:paraId="579686EC" w14:textId="77777777" w:rsidR="00B36F1B" w:rsidRPr="00A15BC1" w:rsidRDefault="00B36F1B" w:rsidP="008E3966">
      <w:pPr>
        <w:pStyle w:val="Heading2"/>
        <w:numPr>
          <w:ilvl w:val="0"/>
          <w:numId w:val="0"/>
        </w:numPr>
        <w:spacing w:line="240" w:lineRule="auto"/>
        <w:jc w:val="both"/>
        <w:rPr>
          <w:rFonts w:ascii="Times New Roman" w:hAnsi="Times New Roman" w:cs="Times New Roman"/>
          <w:b/>
          <w:bCs/>
        </w:rPr>
      </w:pPr>
    </w:p>
    <w:p w14:paraId="515D3D9E" w14:textId="77777777" w:rsidR="007D5697" w:rsidRDefault="007D5697" w:rsidP="008E3966">
      <w:pPr>
        <w:pStyle w:val="Heading2"/>
        <w:numPr>
          <w:ilvl w:val="0"/>
          <w:numId w:val="0"/>
        </w:numPr>
        <w:spacing w:line="240" w:lineRule="auto"/>
        <w:rPr>
          <w:rFonts w:ascii="Times New Roman" w:hAnsi="Times New Roman" w:cs="Times New Roman"/>
          <w:b/>
          <w:bCs/>
        </w:rPr>
      </w:pPr>
      <w:r w:rsidRPr="005061E0">
        <w:rPr>
          <w:rFonts w:ascii="Times New Roman" w:hAnsi="Times New Roman" w:cs="Times New Roman"/>
          <w:b/>
          <w:bCs/>
        </w:rPr>
        <w:t>Custody - Relocation (FL) – Denied</w:t>
      </w:r>
    </w:p>
    <w:p w14:paraId="070D2620" w14:textId="77777777" w:rsidR="00B36F1B" w:rsidRPr="005061E0" w:rsidRDefault="00B36F1B" w:rsidP="008E3966">
      <w:pPr>
        <w:pStyle w:val="Heading2"/>
        <w:numPr>
          <w:ilvl w:val="0"/>
          <w:numId w:val="0"/>
        </w:numPr>
        <w:spacing w:line="240" w:lineRule="auto"/>
        <w:rPr>
          <w:b/>
          <w:bCs/>
        </w:rPr>
      </w:pPr>
    </w:p>
    <w:p w14:paraId="51950E02" w14:textId="0111A7A0" w:rsidR="007D5697" w:rsidRDefault="007D5697" w:rsidP="008E396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5061E0">
        <w:rPr>
          <w:rFonts w:ascii="Times New Roman" w:hAnsi="Times New Roman" w:cs="Times New Roman"/>
          <w:b/>
          <w:bCs/>
          <w:i/>
          <w:iCs/>
        </w:rPr>
        <w:t>Matter of Christopher MM. v. Mackenzie NN</w:t>
      </w:r>
      <w:r>
        <w:rPr>
          <w:rFonts w:ascii="Times New Roman" w:hAnsi="Times New Roman" w:cs="Times New Roman"/>
        </w:rPr>
        <w:t>., 2025 Westlaw 993350 (3d Dept. Apr. 3, 2025), the mother appealed from a February 2023 Family Court order which, after a hearing, granted the father’s January 2022 petition for custody of the parties’ child born in 2022, and denied her August 2022 cross-petition seeking custody and to relocate with the child to Florida. The Appellate Division found that the hearing evidence showed that the parties’ “</w:t>
      </w:r>
      <w:r w:rsidRPr="00593B47">
        <w:rPr>
          <w:rFonts w:ascii="Times New Roman" w:hAnsi="Times New Roman" w:cs="Times New Roman"/>
        </w:rPr>
        <w:t xml:space="preserve">numerous attempts at reconciliation </w:t>
      </w:r>
      <w:r>
        <w:rPr>
          <w:rFonts w:ascii="Times New Roman" w:hAnsi="Times New Roman" w:cs="Times New Roman"/>
        </w:rPr>
        <w:t xml:space="preserve">*** </w:t>
      </w:r>
      <w:r w:rsidRPr="00593B47">
        <w:rPr>
          <w:rFonts w:ascii="Times New Roman" w:hAnsi="Times New Roman" w:cs="Times New Roman"/>
        </w:rPr>
        <w:t>devolved to verbal or physical argument</w:t>
      </w:r>
      <w:r>
        <w:rPr>
          <w:rFonts w:ascii="Times New Roman" w:hAnsi="Times New Roman" w:cs="Times New Roman"/>
        </w:rPr>
        <w:t>s” and “</w:t>
      </w:r>
      <w:r w:rsidRPr="00593B47">
        <w:rPr>
          <w:rFonts w:ascii="Times New Roman" w:hAnsi="Times New Roman" w:cs="Times New Roman"/>
        </w:rPr>
        <w:t>that the mother, who had been the child's primary caretaker, was prone to hasty decision-making, and that the child's presence in New York would allow the father to provide the child with a more stable environment.</w:t>
      </w:r>
      <w:r>
        <w:rPr>
          <w:rFonts w:ascii="Times New Roman" w:hAnsi="Times New Roman" w:cs="Times New Roman"/>
        </w:rPr>
        <w:t>” The Third Department determined that “</w:t>
      </w:r>
      <w:r w:rsidRPr="00593B47">
        <w:rPr>
          <w:rFonts w:ascii="Times New Roman" w:hAnsi="Times New Roman" w:cs="Times New Roman"/>
        </w:rPr>
        <w:t xml:space="preserve">the record contradicted the mother's assertion that she was willing and able to maintain contact and work to foster a positive relationship between the father and the child if she could relocate to Florida. Specifically, after the child was hospitalized for two days in December 2022, the mother testified that she was </w:t>
      </w:r>
      <w:r>
        <w:rPr>
          <w:rFonts w:ascii="Times New Roman" w:hAnsi="Times New Roman" w:cs="Times New Roman"/>
        </w:rPr>
        <w:t>‘</w:t>
      </w:r>
      <w:r w:rsidRPr="00593B47">
        <w:rPr>
          <w:rFonts w:ascii="Times New Roman" w:hAnsi="Times New Roman" w:cs="Times New Roman"/>
        </w:rPr>
        <w:t>tired</w:t>
      </w:r>
      <w:r>
        <w:rPr>
          <w:rFonts w:ascii="Times New Roman" w:hAnsi="Times New Roman" w:cs="Times New Roman"/>
        </w:rPr>
        <w:t>’</w:t>
      </w:r>
      <w:r w:rsidRPr="00593B47">
        <w:rPr>
          <w:rFonts w:ascii="Times New Roman" w:hAnsi="Times New Roman" w:cs="Times New Roman"/>
        </w:rPr>
        <w:t xml:space="preserve"> from the ordeal and had not purposely ignored the father's requests for information; </w:t>
      </w:r>
      <w:proofErr w:type="gramStart"/>
      <w:r w:rsidRPr="00593B47">
        <w:rPr>
          <w:rFonts w:ascii="Times New Roman" w:hAnsi="Times New Roman" w:cs="Times New Roman"/>
        </w:rPr>
        <w:t>yet,</w:t>
      </w:r>
      <w:proofErr w:type="gramEnd"/>
      <w:r w:rsidRPr="00593B47">
        <w:rPr>
          <w:rFonts w:ascii="Times New Roman" w:hAnsi="Times New Roman" w:cs="Times New Roman"/>
        </w:rPr>
        <w:t xml:space="preserve"> she admitted that, as of her testimony four to five days later, she still had not provided the father with any details.</w:t>
      </w:r>
      <w:r>
        <w:rPr>
          <w:rFonts w:ascii="Times New Roman" w:hAnsi="Times New Roman" w:cs="Times New Roman"/>
        </w:rPr>
        <w:t>” The Court concluded that “</w:t>
      </w:r>
      <w:r w:rsidRPr="00593B47">
        <w:rPr>
          <w:rFonts w:ascii="Times New Roman" w:hAnsi="Times New Roman" w:cs="Times New Roman"/>
        </w:rPr>
        <w:t>Family Court properly considered the mother's history of exposing the child to concerning and unstable environments, as well as instances where the father was ultimately unable to spend time with the child due to the mother's actions</w:t>
      </w:r>
      <w:r>
        <w:rPr>
          <w:rFonts w:ascii="Times New Roman" w:hAnsi="Times New Roman" w:cs="Times New Roman"/>
        </w:rPr>
        <w:t>,” such that “</w:t>
      </w:r>
      <w:r w:rsidRPr="00593B47">
        <w:rPr>
          <w:rFonts w:ascii="Times New Roman" w:hAnsi="Times New Roman" w:cs="Times New Roman"/>
        </w:rPr>
        <w:t xml:space="preserve">a sound and substantial basis exists to support the determination that the child's best interests were served by denying the mother permission to relocate </w:t>
      </w:r>
      <w:r>
        <w:rPr>
          <w:rFonts w:ascii="Times New Roman" w:hAnsi="Times New Roman" w:cs="Times New Roman"/>
        </w:rPr>
        <w:t>***.”</w:t>
      </w:r>
    </w:p>
    <w:p w14:paraId="73D62D48" w14:textId="77777777" w:rsidR="00E30A69" w:rsidRDefault="00E30A69" w:rsidP="008E3966">
      <w:pPr>
        <w:pStyle w:val="Heading2"/>
        <w:numPr>
          <w:ilvl w:val="0"/>
          <w:numId w:val="0"/>
        </w:numPr>
        <w:spacing w:line="240" w:lineRule="auto"/>
        <w:jc w:val="both"/>
        <w:rPr>
          <w:rFonts w:ascii="Times New Roman" w:hAnsi="Times New Roman" w:cs="Times New Roman"/>
        </w:rPr>
      </w:pPr>
    </w:p>
    <w:p w14:paraId="1E7F64CB" w14:textId="4CA4407A" w:rsidR="00E30A69" w:rsidRDefault="00E30A69" w:rsidP="008E3966">
      <w:pPr>
        <w:pStyle w:val="Heading2"/>
        <w:numPr>
          <w:ilvl w:val="0"/>
          <w:numId w:val="0"/>
        </w:numPr>
        <w:spacing w:line="240" w:lineRule="auto"/>
        <w:jc w:val="both"/>
        <w:rPr>
          <w:rFonts w:ascii="Times New Roman" w:hAnsi="Times New Roman" w:cs="Times New Roman"/>
          <w:b/>
          <w:bCs/>
        </w:rPr>
      </w:pPr>
      <w:r w:rsidRPr="00E30A69">
        <w:rPr>
          <w:rFonts w:ascii="Times New Roman" w:hAnsi="Times New Roman" w:cs="Times New Roman"/>
          <w:b/>
          <w:bCs/>
        </w:rPr>
        <w:t xml:space="preserve">Custody – Relocation (NC) </w:t>
      </w:r>
      <w:r>
        <w:rPr>
          <w:rFonts w:ascii="Times New Roman" w:hAnsi="Times New Roman" w:cs="Times New Roman"/>
          <w:b/>
          <w:bCs/>
        </w:rPr>
        <w:t>–</w:t>
      </w:r>
      <w:r w:rsidRPr="00E30A69">
        <w:rPr>
          <w:rFonts w:ascii="Times New Roman" w:hAnsi="Times New Roman" w:cs="Times New Roman"/>
          <w:b/>
          <w:bCs/>
        </w:rPr>
        <w:t xml:space="preserve"> Denied</w:t>
      </w:r>
    </w:p>
    <w:p w14:paraId="1FCC0C6B" w14:textId="77777777" w:rsidR="00E30A69" w:rsidRDefault="00E30A69" w:rsidP="008E3966">
      <w:pPr>
        <w:pStyle w:val="Heading2"/>
        <w:numPr>
          <w:ilvl w:val="0"/>
          <w:numId w:val="0"/>
        </w:numPr>
        <w:spacing w:line="240" w:lineRule="auto"/>
        <w:jc w:val="both"/>
        <w:rPr>
          <w:rFonts w:ascii="Times New Roman" w:hAnsi="Times New Roman" w:cs="Times New Roman"/>
          <w:b/>
          <w:bCs/>
        </w:rPr>
      </w:pPr>
    </w:p>
    <w:p w14:paraId="44B5CFCA" w14:textId="2E60520E" w:rsidR="00E30A69" w:rsidRPr="00E30A69" w:rsidRDefault="00E30A69" w:rsidP="008E3966">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rPr>
        <w:tab/>
        <w:t xml:space="preserve">In </w:t>
      </w:r>
      <w:r w:rsidRPr="004B7F14">
        <w:rPr>
          <w:rFonts w:ascii="Times New Roman" w:hAnsi="Times New Roman" w:cs="Times New Roman"/>
          <w:u w:val="single"/>
        </w:rPr>
        <w:t xml:space="preserve">Matter of </w:t>
      </w:r>
      <w:proofErr w:type="spellStart"/>
      <w:r w:rsidRPr="004B7F14">
        <w:rPr>
          <w:rFonts w:ascii="Times New Roman" w:hAnsi="Times New Roman" w:cs="Times New Roman"/>
          <w:u w:val="single"/>
        </w:rPr>
        <w:t>Jiggetts</w:t>
      </w:r>
      <w:proofErr w:type="spellEnd"/>
      <w:r w:rsidRPr="004B7F14">
        <w:rPr>
          <w:rFonts w:ascii="Times New Roman" w:hAnsi="Times New Roman" w:cs="Times New Roman"/>
          <w:u w:val="single"/>
        </w:rPr>
        <w:t xml:space="preserve"> v. Thomas</w:t>
      </w:r>
      <w:r>
        <w:rPr>
          <w:rFonts w:ascii="Times New Roman" w:hAnsi="Times New Roman" w:cs="Times New Roman"/>
        </w:rPr>
        <w:t>, 2025 Westlaw 1201252 (4</w:t>
      </w:r>
      <w:r w:rsidRPr="004B7F14">
        <w:rPr>
          <w:rFonts w:ascii="Times New Roman" w:hAnsi="Times New Roman" w:cs="Times New Roman"/>
          <w:vertAlign w:val="superscript"/>
        </w:rPr>
        <w:t>th</w:t>
      </w:r>
      <w:r>
        <w:rPr>
          <w:rFonts w:ascii="Times New Roman" w:hAnsi="Times New Roman" w:cs="Times New Roman"/>
        </w:rPr>
        <w:t xml:space="preserve"> Dept. Apr. 25, 2025), the mother appealed from a December 2023 Family Court order which, after a hearing, dismissed her petition seeking to relocate with the subject children to North Carolina.  The Fourth Department affirmed, holding that “Family Court properly considered the factors set forth in [</w:t>
      </w:r>
      <w:proofErr w:type="spellStart"/>
      <w:r w:rsidRPr="004B7F14">
        <w:rPr>
          <w:rFonts w:ascii="Times New Roman" w:hAnsi="Times New Roman" w:cs="Times New Roman"/>
          <w:u w:val="single"/>
        </w:rPr>
        <w:t>Tropea</w:t>
      </w:r>
      <w:proofErr w:type="spellEnd"/>
      <w:r>
        <w:rPr>
          <w:rFonts w:ascii="Times New Roman" w:hAnsi="Times New Roman" w:cs="Times New Roman"/>
        </w:rPr>
        <w:t>, 87 NY2d 727 (1996)] in determining that the mother failed to meet her burden of establishing *** that the proposed relocation is in the subject children’s best interests.”  The Appellate Division noted: the mother’s proposed plan was to transfer to a college in NC, but she had not applied to any college therein and had not investigated financial assistance; while the mother testified that she and the children would reside with the maternal grandmother, she submitted no proof of her mother’s financial ability to support her and declined to disclose her mother’s income or employment information; the mother failed to establish that the children would receive a better education in North Carolina; and the mother “lacked a feasible plan for preserving the relationships between respondent father and the subject children *** inasmuch as her proposed visitation arrangement *** required the father, who did not have a motor vehicle, to provide transportation to and from North Carolina.”</w:t>
      </w:r>
    </w:p>
    <w:p w14:paraId="225EA7D8" w14:textId="77777777" w:rsidR="00B36F1B" w:rsidRDefault="00B36F1B" w:rsidP="008E3966">
      <w:pPr>
        <w:pStyle w:val="Heading2"/>
        <w:numPr>
          <w:ilvl w:val="0"/>
          <w:numId w:val="0"/>
        </w:numPr>
        <w:spacing w:line="240" w:lineRule="auto"/>
        <w:jc w:val="both"/>
        <w:rPr>
          <w:rFonts w:ascii="Times New Roman" w:hAnsi="Times New Roman" w:cs="Times New Roman"/>
        </w:rPr>
      </w:pPr>
    </w:p>
    <w:p w14:paraId="18065D56" w14:textId="77777777" w:rsidR="00A75B6F" w:rsidRDefault="00BC5EDB" w:rsidP="008E3966">
      <w:pPr>
        <w:pStyle w:val="Heading2"/>
        <w:numPr>
          <w:ilvl w:val="0"/>
          <w:numId w:val="0"/>
        </w:numPr>
        <w:spacing w:line="240" w:lineRule="auto"/>
        <w:jc w:val="both"/>
        <w:rPr>
          <w:rFonts w:ascii="Times New Roman" w:hAnsi="Times New Roman" w:cs="Times New Roman"/>
          <w:b/>
          <w:bCs/>
        </w:rPr>
      </w:pPr>
      <w:r w:rsidRPr="005C7097">
        <w:rPr>
          <w:rFonts w:ascii="Times New Roman" w:hAnsi="Times New Roman" w:cs="Times New Roman"/>
          <w:b/>
          <w:bCs/>
        </w:rPr>
        <w:t xml:space="preserve">Custody - </w:t>
      </w:r>
      <w:r w:rsidR="00A75B6F" w:rsidRPr="005C7097">
        <w:rPr>
          <w:rFonts w:ascii="Times New Roman" w:hAnsi="Times New Roman" w:cs="Times New Roman"/>
          <w:b/>
          <w:bCs/>
        </w:rPr>
        <w:t>Remitted for In Camera and Forensic Evaluation; Wishes of Child (11 y/o) Not Determinative</w:t>
      </w:r>
    </w:p>
    <w:p w14:paraId="22591A16" w14:textId="77777777" w:rsidR="00B36F1B" w:rsidRPr="005C7097" w:rsidRDefault="00B36F1B" w:rsidP="008E3966">
      <w:pPr>
        <w:pStyle w:val="Heading2"/>
        <w:numPr>
          <w:ilvl w:val="0"/>
          <w:numId w:val="0"/>
        </w:numPr>
        <w:spacing w:line="240" w:lineRule="auto"/>
        <w:jc w:val="both"/>
        <w:rPr>
          <w:b/>
          <w:bCs/>
        </w:rPr>
      </w:pPr>
    </w:p>
    <w:p w14:paraId="217C9546" w14:textId="473768C9" w:rsidR="00BC5EDB" w:rsidRDefault="00A75B6F" w:rsidP="008E396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5C7097">
        <w:rPr>
          <w:rFonts w:ascii="Times New Roman" w:hAnsi="Times New Roman" w:cs="Times New Roman"/>
          <w:b/>
          <w:bCs/>
          <w:i/>
          <w:iCs/>
        </w:rPr>
        <w:t>Matter of Miller v. Norton</w:t>
      </w:r>
      <w:r>
        <w:rPr>
          <w:rFonts w:ascii="Times New Roman" w:hAnsi="Times New Roman" w:cs="Times New Roman"/>
        </w:rPr>
        <w:t xml:space="preserve">, 2025 Westlaw 979866 (2d Dept. Apr. 2, 2025), the mother </w:t>
      </w:r>
      <w:r>
        <w:rPr>
          <w:rFonts w:ascii="Times New Roman" w:hAnsi="Times New Roman" w:cs="Times New Roman"/>
        </w:rPr>
        <w:lastRenderedPageBreak/>
        <w:t xml:space="preserve">appealed from a September 2021 Family Court order which, after a hearing, granted the father’s 2019 petition to modify a November 2017 consent order (joint legal, primary to mother, effectively equal time), so as to award him sole legal and physical custody of the subject child, with 5 hours every other week to the mother, plus other times as agreed after consultation with the child’s therapist. The Second Department </w:t>
      </w:r>
      <w:r w:rsidRPr="00F0293F">
        <w:rPr>
          <w:rFonts w:ascii="Times New Roman" w:hAnsi="Times New Roman" w:cs="Times New Roman"/>
        </w:rPr>
        <w:t xml:space="preserve">modified, on the law, on the facts, and in the exercise of discretion, </w:t>
      </w:r>
      <w:r>
        <w:rPr>
          <w:rFonts w:ascii="Times New Roman" w:hAnsi="Times New Roman" w:cs="Times New Roman"/>
        </w:rPr>
        <w:t>by vacating the custody and access provisions and remitting to Family Court for further  proceedings, and directing that pending the same and a further order of the Family Court,</w:t>
      </w:r>
      <w:r w:rsidRPr="002C548E">
        <w:rPr>
          <w:rFonts w:ascii="Times New Roman" w:hAnsi="Times New Roman" w:cs="Times New Roman"/>
        </w:rPr>
        <w:t xml:space="preserve"> </w:t>
      </w:r>
      <w:r w:rsidRPr="00F0293F">
        <w:rPr>
          <w:rFonts w:ascii="Times New Roman" w:hAnsi="Times New Roman" w:cs="Times New Roman"/>
        </w:rPr>
        <w:t>the father shall have temporary physical custody of the parties</w:t>
      </w:r>
      <w:r w:rsidRPr="002C548E">
        <w:rPr>
          <w:rFonts w:ascii="Times New Roman" w:hAnsi="Times New Roman" w:cs="Times New Roman"/>
        </w:rPr>
        <w:t>’</w:t>
      </w:r>
      <w:r w:rsidRPr="00F0293F">
        <w:rPr>
          <w:rFonts w:ascii="Times New Roman" w:hAnsi="Times New Roman" w:cs="Times New Roman"/>
        </w:rPr>
        <w:t xml:space="preserve"> child, the mother shall have the child on the first and third weekends of every month, from Friday after school until Saturday at 5:00 p.m., and at such other times as the parties can mutually agree</w:t>
      </w:r>
      <w:r>
        <w:rPr>
          <w:rFonts w:ascii="Times New Roman" w:hAnsi="Times New Roman" w:cs="Times New Roman"/>
        </w:rPr>
        <w:t xml:space="preserve">. The Appellate Division held that </w:t>
      </w:r>
      <w:r w:rsidRPr="00B430B9">
        <w:rPr>
          <w:rFonts w:ascii="Times New Roman" w:hAnsi="Times New Roman" w:cs="Times New Roman"/>
        </w:rPr>
        <w:t>“Family Court erred in granting the father's petition,” while noting</w:t>
      </w:r>
      <w:r>
        <w:rPr>
          <w:rFonts w:ascii="Times New Roman" w:hAnsi="Times New Roman" w:cs="Times New Roman"/>
        </w:rPr>
        <w:t>: the child’s wishes “</w:t>
      </w:r>
      <w:r w:rsidRPr="00B430B9">
        <w:rPr>
          <w:rFonts w:ascii="Times New Roman" w:hAnsi="Times New Roman" w:cs="Times New Roman"/>
        </w:rPr>
        <w:t>should not have been given significant weight under the circumstances</w:t>
      </w:r>
      <w:r>
        <w:rPr>
          <w:rFonts w:ascii="Times New Roman" w:hAnsi="Times New Roman" w:cs="Times New Roman"/>
        </w:rPr>
        <w:t>”;</w:t>
      </w:r>
      <w:r w:rsidRPr="00B430B9">
        <w:rPr>
          <w:rFonts w:ascii="Times New Roman" w:hAnsi="Times New Roman" w:cs="Times New Roman"/>
        </w:rPr>
        <w:t xml:space="preserve"> </w:t>
      </w:r>
      <w:r>
        <w:rPr>
          <w:rFonts w:ascii="Times New Roman" w:hAnsi="Times New Roman" w:cs="Times New Roman"/>
        </w:rPr>
        <w:t>“t</w:t>
      </w:r>
      <w:r w:rsidRPr="00B430B9">
        <w:rPr>
          <w:rFonts w:ascii="Times New Roman" w:hAnsi="Times New Roman" w:cs="Times New Roman"/>
        </w:rPr>
        <w:t>he child was less than 11 years old when the hearing was conducted and she was never interviewed in camera by the Family Court, which is the preferred method for ascertaining a child's wishes</w:t>
      </w:r>
      <w:r>
        <w:rPr>
          <w:rFonts w:ascii="Times New Roman" w:hAnsi="Times New Roman" w:cs="Times New Roman"/>
        </w:rPr>
        <w:t>” and</w:t>
      </w:r>
      <w:r w:rsidRPr="00B430B9">
        <w:rPr>
          <w:rFonts w:ascii="Times New Roman" w:hAnsi="Times New Roman" w:cs="Times New Roman"/>
        </w:rPr>
        <w:t xml:space="preserve"> “the child is now approaching 15 years of age and has been, in effect, in the father's sole physical custody for more than five years.”  The Court remitted to Family Court “for the appointment of a forensic evaluator to conduct evaluations of the parties and the child and a new hearing, including an </w:t>
      </w:r>
      <w:proofErr w:type="gramStart"/>
      <w:r w:rsidRPr="00B430B9">
        <w:rPr>
          <w:rFonts w:ascii="Times New Roman" w:hAnsi="Times New Roman" w:cs="Times New Roman"/>
        </w:rPr>
        <w:t>in camera</w:t>
      </w:r>
      <w:proofErr w:type="gramEnd"/>
      <w:r w:rsidRPr="00B430B9">
        <w:rPr>
          <w:rFonts w:ascii="Times New Roman" w:hAnsi="Times New Roman" w:cs="Times New Roman"/>
        </w:rPr>
        <w:t xml:space="preserve"> interview with the child, *** to be conducted with all convenient speed.”</w:t>
      </w:r>
    </w:p>
    <w:p w14:paraId="1102B6EF" w14:textId="77777777" w:rsidR="003B3BC9" w:rsidRDefault="003B3BC9" w:rsidP="008E3966">
      <w:pPr>
        <w:pStyle w:val="Heading2"/>
        <w:numPr>
          <w:ilvl w:val="0"/>
          <w:numId w:val="0"/>
        </w:numPr>
        <w:spacing w:line="240" w:lineRule="auto"/>
        <w:jc w:val="both"/>
        <w:rPr>
          <w:rFonts w:ascii="Times New Roman" w:hAnsi="Times New Roman" w:cs="Times New Roman"/>
        </w:rPr>
      </w:pPr>
    </w:p>
    <w:p w14:paraId="55A46AB9" w14:textId="67DE1B59" w:rsidR="003B3BC9" w:rsidRPr="003B3BC9" w:rsidRDefault="003B3BC9" w:rsidP="003B3BC9">
      <w:pPr>
        <w:pStyle w:val="Heading2"/>
        <w:numPr>
          <w:ilvl w:val="0"/>
          <w:numId w:val="0"/>
        </w:numPr>
        <w:rPr>
          <w:b/>
          <w:bCs/>
        </w:rPr>
      </w:pPr>
      <w:r w:rsidRPr="003B3BC9">
        <w:rPr>
          <w:rFonts w:ascii="Times New Roman" w:hAnsi="Times New Roman" w:cs="Times New Roman"/>
          <w:b/>
          <w:bCs/>
        </w:rPr>
        <w:t>Custody – Sole, Counselling Directive Upheld, Delegation Directives Reversed</w:t>
      </w:r>
    </w:p>
    <w:p w14:paraId="53E6601E" w14:textId="1F9F1160" w:rsidR="003B3BC9" w:rsidRDefault="003B3BC9" w:rsidP="003B3BC9">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3B3BC9">
        <w:rPr>
          <w:rFonts w:ascii="Times New Roman" w:hAnsi="Times New Roman" w:cs="Times New Roman"/>
          <w:b/>
          <w:bCs/>
          <w:i/>
          <w:iCs/>
        </w:rPr>
        <w:t xml:space="preserve">Matter of Lopez v. </w:t>
      </w:r>
      <w:proofErr w:type="spellStart"/>
      <w:r w:rsidRPr="003B3BC9">
        <w:rPr>
          <w:rFonts w:ascii="Times New Roman" w:hAnsi="Times New Roman" w:cs="Times New Roman"/>
          <w:b/>
          <w:bCs/>
          <w:i/>
          <w:iCs/>
        </w:rPr>
        <w:t>Neira</w:t>
      </w:r>
      <w:proofErr w:type="spellEnd"/>
      <w:r>
        <w:rPr>
          <w:rFonts w:ascii="Times New Roman" w:hAnsi="Times New Roman" w:cs="Times New Roman"/>
        </w:rPr>
        <w:t>, 2025 Westlaw 1173272 (2d Dept. Apr. 23, 2025), the father appealed from a February 2024 Family Court order which, following a 2023 hearing, granted the mother’s April 2021 petition for sole legal custody of the parties’ children born in 2010 and 2017, and awarded access to the father to the extent of directing: “</w:t>
      </w:r>
      <w:r w:rsidRPr="00172F7F">
        <w:rPr>
          <w:rFonts w:ascii="Times New Roman" w:hAnsi="Times New Roman" w:cs="Times New Roman"/>
        </w:rPr>
        <w:t xml:space="preserve">(1) that the father was required to receive individual counseling for four months, during which time he was permitted to write letters to the children under certain conditions, (2) that the father could thereafter engage in a course of family therapy with the children </w:t>
      </w:r>
      <w:r>
        <w:rPr>
          <w:rFonts w:ascii="Times New Roman" w:hAnsi="Times New Roman" w:cs="Times New Roman"/>
        </w:rPr>
        <w:t>‘</w:t>
      </w:r>
      <w:r w:rsidRPr="00172F7F">
        <w:rPr>
          <w:rFonts w:ascii="Times New Roman" w:hAnsi="Times New Roman" w:cs="Times New Roman"/>
        </w:rPr>
        <w:t>provided the children's therapist do[es] not indicate it is detrimental to the children's psychological well-being,</w:t>
      </w:r>
      <w:r>
        <w:rPr>
          <w:rFonts w:ascii="Times New Roman" w:hAnsi="Times New Roman" w:cs="Times New Roman"/>
        </w:rPr>
        <w:t>’</w:t>
      </w:r>
      <w:r w:rsidRPr="00172F7F">
        <w:rPr>
          <w:rFonts w:ascii="Times New Roman" w:hAnsi="Times New Roman" w:cs="Times New Roman"/>
        </w:rPr>
        <w:t xml:space="preserve"> and (3) that upon commencing family therapy, the father </w:t>
      </w:r>
      <w:r>
        <w:rPr>
          <w:rFonts w:ascii="Times New Roman" w:hAnsi="Times New Roman" w:cs="Times New Roman"/>
        </w:rPr>
        <w:t>‘</w:t>
      </w:r>
      <w:r w:rsidRPr="00172F7F">
        <w:rPr>
          <w:rFonts w:ascii="Times New Roman" w:hAnsi="Times New Roman" w:cs="Times New Roman"/>
        </w:rPr>
        <w:t>shall be permitted to request of the mother . . . that the visits be expanded to allow for therapeutically supervised and/or resource supervised visits.</w:t>
      </w:r>
      <w:r>
        <w:rPr>
          <w:rFonts w:ascii="Times New Roman" w:hAnsi="Times New Roman" w:cs="Times New Roman"/>
        </w:rPr>
        <w:t xml:space="preserve">’” The father moved out of the marital residence after an incident in 2020 “in which [he] assaulted the mother and injured one of the children.” The Second Department modified, on the law, by: (1) </w:t>
      </w:r>
      <w:r w:rsidRPr="00172F7F">
        <w:rPr>
          <w:rFonts w:ascii="Times New Roman" w:hAnsi="Times New Roman" w:cs="Times New Roman"/>
        </w:rPr>
        <w:t xml:space="preserve">deleting the </w:t>
      </w:r>
      <w:r>
        <w:rPr>
          <w:rFonts w:ascii="Times New Roman" w:hAnsi="Times New Roman" w:cs="Times New Roman"/>
        </w:rPr>
        <w:t xml:space="preserve">aforesaid </w:t>
      </w:r>
      <w:r w:rsidRPr="00172F7F">
        <w:rPr>
          <w:rFonts w:ascii="Times New Roman" w:hAnsi="Times New Roman" w:cs="Times New Roman"/>
        </w:rPr>
        <w:t>provision directing the father to engage in a course of family therapy with the children</w:t>
      </w:r>
      <w:r>
        <w:rPr>
          <w:rFonts w:ascii="Times New Roman" w:hAnsi="Times New Roman" w:cs="Times New Roman"/>
        </w:rPr>
        <w:t xml:space="preserve"> ***; </w:t>
      </w:r>
      <w:r w:rsidRPr="00172F7F">
        <w:rPr>
          <w:rFonts w:ascii="Times New Roman" w:hAnsi="Times New Roman" w:cs="Times New Roman"/>
        </w:rPr>
        <w:t xml:space="preserve">and (2) </w:t>
      </w:r>
      <w:r>
        <w:rPr>
          <w:rFonts w:ascii="Times New Roman" w:hAnsi="Times New Roman" w:cs="Times New Roman"/>
        </w:rPr>
        <w:t>d</w:t>
      </w:r>
      <w:r w:rsidRPr="00172F7F">
        <w:rPr>
          <w:rFonts w:ascii="Times New Roman" w:hAnsi="Times New Roman" w:cs="Times New Roman"/>
        </w:rPr>
        <w:t xml:space="preserve">eleting the </w:t>
      </w:r>
      <w:r>
        <w:rPr>
          <w:rFonts w:ascii="Times New Roman" w:hAnsi="Times New Roman" w:cs="Times New Roman"/>
        </w:rPr>
        <w:t xml:space="preserve">aforesaid </w:t>
      </w:r>
      <w:r w:rsidRPr="00172F7F">
        <w:rPr>
          <w:rFonts w:ascii="Times New Roman" w:hAnsi="Times New Roman" w:cs="Times New Roman"/>
        </w:rPr>
        <w:t xml:space="preserve">provision directing that upon commencing family therapy, the father </w:t>
      </w:r>
      <w:r>
        <w:rPr>
          <w:rFonts w:ascii="Times New Roman" w:hAnsi="Times New Roman" w:cs="Times New Roman"/>
        </w:rPr>
        <w:t>“</w:t>
      </w:r>
      <w:r w:rsidRPr="00172F7F">
        <w:rPr>
          <w:rFonts w:ascii="Times New Roman" w:hAnsi="Times New Roman" w:cs="Times New Roman"/>
        </w:rPr>
        <w:t>shall be permitted to request of the mother</w:t>
      </w:r>
      <w:r>
        <w:rPr>
          <w:rFonts w:ascii="Times New Roman" w:hAnsi="Times New Roman" w:cs="Times New Roman"/>
        </w:rPr>
        <w:t xml:space="preserve"> ***” </w:t>
      </w:r>
      <w:r w:rsidRPr="00172F7F">
        <w:rPr>
          <w:rFonts w:ascii="Times New Roman" w:hAnsi="Times New Roman" w:cs="Times New Roman"/>
        </w:rPr>
        <w:t xml:space="preserve">and </w:t>
      </w:r>
      <w:r>
        <w:rPr>
          <w:rFonts w:ascii="Times New Roman" w:hAnsi="Times New Roman" w:cs="Times New Roman"/>
        </w:rPr>
        <w:t>r</w:t>
      </w:r>
      <w:r w:rsidRPr="00172F7F">
        <w:rPr>
          <w:rFonts w:ascii="Times New Roman" w:hAnsi="Times New Roman" w:cs="Times New Roman"/>
        </w:rPr>
        <w:t>emitted to Family Cour</w:t>
      </w:r>
      <w:r>
        <w:rPr>
          <w:rFonts w:ascii="Times New Roman" w:hAnsi="Times New Roman" w:cs="Times New Roman"/>
        </w:rPr>
        <w:t>t to set a</w:t>
      </w:r>
      <w:r w:rsidRPr="00172F7F">
        <w:rPr>
          <w:rFonts w:ascii="Times New Roman" w:hAnsi="Times New Roman" w:cs="Times New Roman"/>
        </w:rPr>
        <w:t xml:space="preserve"> schedule for </w:t>
      </w:r>
      <w:r>
        <w:rPr>
          <w:rFonts w:ascii="Times New Roman" w:hAnsi="Times New Roman" w:cs="Times New Roman"/>
        </w:rPr>
        <w:t>supervised time for the father</w:t>
      </w:r>
      <w:r w:rsidRPr="00172F7F">
        <w:rPr>
          <w:rFonts w:ascii="Times New Roman" w:hAnsi="Times New Roman" w:cs="Times New Roman"/>
        </w:rPr>
        <w:t>.</w:t>
      </w:r>
      <w:r>
        <w:rPr>
          <w:rFonts w:ascii="Times New Roman" w:hAnsi="Times New Roman" w:cs="Times New Roman"/>
        </w:rPr>
        <w:t xml:space="preserve"> The Appellate Division upheld the award of sole custody to the mother, finding that “the nature of the parties’ relationship effectively precluded joint decision-making.” The Court concluded that while Family Court “properly directed the father to complete a four-month course of i</w:t>
      </w:r>
      <w:r w:rsidRPr="00A333C7">
        <w:rPr>
          <w:rFonts w:ascii="Times New Roman" w:hAnsi="Times New Roman" w:cs="Times New Roman"/>
        </w:rPr>
        <w:t>ndividual counseling as a component of his parental access, during which time the father could write letters to the children</w:t>
      </w:r>
      <w:r>
        <w:rPr>
          <w:rFonts w:ascii="Times New Roman" w:hAnsi="Times New Roman" w:cs="Times New Roman"/>
        </w:rPr>
        <w:t xml:space="preserve"> (citations omitted) ***[,] </w:t>
      </w:r>
      <w:r w:rsidRPr="00A333C7">
        <w:rPr>
          <w:rFonts w:ascii="Times New Roman" w:hAnsi="Times New Roman" w:cs="Times New Roman"/>
        </w:rPr>
        <w:t>the court erred by delegating to the children's therapist the authority to determine the father's access to family therapy with the children following his course of counseling</w:t>
      </w:r>
      <w:r>
        <w:rPr>
          <w:rFonts w:ascii="Times New Roman" w:hAnsi="Times New Roman" w:cs="Times New Roman"/>
        </w:rPr>
        <w:t xml:space="preserve"> (citations omitted)” and “</w:t>
      </w:r>
      <w:r w:rsidRPr="00A333C7">
        <w:rPr>
          <w:rFonts w:ascii="Times New Roman" w:hAnsi="Times New Roman" w:cs="Times New Roman"/>
        </w:rPr>
        <w:t xml:space="preserve">incorrectly delegated to the mother the authority to determine the father's parental access when it directed that, upon commencing family therapy, the father </w:t>
      </w:r>
      <w:r>
        <w:rPr>
          <w:rFonts w:ascii="Times New Roman" w:hAnsi="Times New Roman" w:cs="Times New Roman"/>
        </w:rPr>
        <w:t>‘</w:t>
      </w:r>
      <w:r w:rsidRPr="00A333C7">
        <w:rPr>
          <w:rFonts w:ascii="Times New Roman" w:hAnsi="Times New Roman" w:cs="Times New Roman"/>
        </w:rPr>
        <w:t>shall be permitted to request of the mother . . . that the visits be expanded to allow for therapeutically supervised and/or resource supervised visits</w:t>
      </w:r>
      <w:r>
        <w:rPr>
          <w:rFonts w:ascii="Times New Roman" w:hAnsi="Times New Roman" w:cs="Times New Roman"/>
        </w:rPr>
        <w:t xml:space="preserve">’ </w:t>
      </w:r>
      <w:r>
        <w:rPr>
          <w:rFonts w:ascii="Times New Roman" w:hAnsi="Times New Roman" w:cs="Times New Roman"/>
        </w:rPr>
        <w:lastRenderedPageBreak/>
        <w:t>(citations omitted).”</w:t>
      </w:r>
    </w:p>
    <w:p w14:paraId="7A4B2815" w14:textId="77777777" w:rsidR="00B36F1B" w:rsidRDefault="00B36F1B" w:rsidP="008E3966">
      <w:pPr>
        <w:pStyle w:val="Heading2"/>
        <w:numPr>
          <w:ilvl w:val="0"/>
          <w:numId w:val="0"/>
        </w:numPr>
        <w:spacing w:line="240" w:lineRule="auto"/>
        <w:jc w:val="both"/>
        <w:rPr>
          <w:rFonts w:ascii="Times New Roman" w:hAnsi="Times New Roman" w:cs="Times New Roman"/>
        </w:rPr>
      </w:pPr>
    </w:p>
    <w:p w14:paraId="39F1DAF0" w14:textId="1CFD862A" w:rsidR="009E56A0" w:rsidRDefault="009E56A0" w:rsidP="008E3966">
      <w:pPr>
        <w:pStyle w:val="Heading2"/>
        <w:numPr>
          <w:ilvl w:val="0"/>
          <w:numId w:val="0"/>
        </w:numPr>
        <w:spacing w:line="240" w:lineRule="auto"/>
        <w:jc w:val="both"/>
        <w:rPr>
          <w:rFonts w:ascii="Times New Roman" w:hAnsi="Times New Roman" w:cs="Times New Roman"/>
          <w:b/>
          <w:bCs/>
        </w:rPr>
      </w:pPr>
      <w:r w:rsidRPr="004817E1">
        <w:rPr>
          <w:rFonts w:ascii="Times New Roman" w:hAnsi="Times New Roman" w:cs="Times New Roman"/>
          <w:b/>
          <w:bCs/>
        </w:rPr>
        <w:t xml:space="preserve">Custody – UCCJEA – NY Inconvenient Forum </w:t>
      </w:r>
      <w:r w:rsidR="004817E1" w:rsidRPr="004817E1">
        <w:rPr>
          <w:rFonts w:ascii="Times New Roman" w:hAnsi="Times New Roman" w:cs="Times New Roman"/>
          <w:b/>
          <w:bCs/>
        </w:rPr>
        <w:t>–</w:t>
      </w:r>
      <w:r w:rsidRPr="004817E1">
        <w:rPr>
          <w:rFonts w:ascii="Times New Roman" w:hAnsi="Times New Roman" w:cs="Times New Roman"/>
          <w:b/>
          <w:bCs/>
        </w:rPr>
        <w:t xml:space="preserve"> Dismissed</w:t>
      </w:r>
    </w:p>
    <w:p w14:paraId="30D8C1B2" w14:textId="77777777" w:rsidR="00B36F1B" w:rsidRPr="004817E1" w:rsidRDefault="00B36F1B" w:rsidP="008E3966">
      <w:pPr>
        <w:pStyle w:val="Heading2"/>
        <w:numPr>
          <w:ilvl w:val="0"/>
          <w:numId w:val="0"/>
        </w:numPr>
        <w:spacing w:line="240" w:lineRule="auto"/>
        <w:jc w:val="both"/>
        <w:rPr>
          <w:rFonts w:ascii="Times New Roman" w:hAnsi="Times New Roman" w:cs="Times New Roman"/>
          <w:b/>
          <w:bCs/>
        </w:rPr>
      </w:pPr>
    </w:p>
    <w:p w14:paraId="2C87B5B6" w14:textId="2EA0979F" w:rsidR="004817E1" w:rsidRDefault="004817E1" w:rsidP="008E396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300748">
        <w:rPr>
          <w:rFonts w:ascii="Times New Roman" w:hAnsi="Times New Roman" w:cs="Times New Roman"/>
          <w:b/>
          <w:bCs/>
          <w:i/>
          <w:iCs/>
        </w:rPr>
        <w:t>Matter of Guerrero v. Santiago</w:t>
      </w:r>
      <w:r>
        <w:rPr>
          <w:rFonts w:ascii="Times New Roman" w:hAnsi="Times New Roman" w:cs="Times New Roman"/>
        </w:rPr>
        <w:t>, 2025 Westlaw 1062490 (2d Dept. Apr. 9, 2025), the father appealed from a January 2023 Supreme Court (IDV Part) order, which granted the mother’s motion requesting that the Court decline jurisdiction over the parties’ custody petitions filed in June 2018 (mother) and July 2018 (father</w:t>
      </w:r>
      <w:proofErr w:type="gramStart"/>
      <w:r>
        <w:rPr>
          <w:rFonts w:ascii="Times New Roman" w:hAnsi="Times New Roman" w:cs="Times New Roman"/>
        </w:rPr>
        <w:t>), and</w:t>
      </w:r>
      <w:proofErr w:type="gramEnd"/>
      <w:r>
        <w:rPr>
          <w:rFonts w:ascii="Times New Roman" w:hAnsi="Times New Roman" w:cs="Times New Roman"/>
        </w:rPr>
        <w:t xml:space="preserve"> dismissed the petitions. The parties have one child. In May and June 2018, the mother and father, respectively, filed family offense petitions, which, along with their custody petitions, were transferred to the Supreme Court IDV Part in September 2018. At that time, the mother and child resided in Queens County and the father resided in New Jersey. In November 2020, the mother and child moved to New Jersey. In July 2021, the Court issued an order denying the mother’s oral motion to decline jurisdiction, which found: “although the court lacked exclusive continuing jurisdiction, the majority of the evidence required to resolve the custody petitions remained in New York.” The mother’s renewed application for the same relief resulted in the January 2023 order appealed from, in which Supreme Court found that “New York was an inconvenient </w:t>
      </w:r>
      <w:proofErr w:type="gramStart"/>
      <w:r>
        <w:rPr>
          <w:rFonts w:ascii="Times New Roman" w:hAnsi="Times New Roman" w:cs="Times New Roman"/>
        </w:rPr>
        <w:t>forum</w:t>
      </w:r>
      <w:proofErr w:type="gramEnd"/>
      <w:r>
        <w:rPr>
          <w:rFonts w:ascii="Times New Roman" w:hAnsi="Times New Roman" w:cs="Times New Roman"/>
        </w:rPr>
        <w:t xml:space="preserve"> and that New Jersey was a more appropriate forum due to substantial changes in circumstances since July 2021.” The Second Department affirmed, holding that “Supreme Court providently exercised its discretion in determining that i</w:t>
      </w:r>
      <w:r w:rsidR="00AA0AD2">
        <w:rPr>
          <w:rFonts w:ascii="Times New Roman" w:hAnsi="Times New Roman" w:cs="Times New Roman"/>
        </w:rPr>
        <w:t>t</w:t>
      </w:r>
      <w:r>
        <w:rPr>
          <w:rFonts w:ascii="Times New Roman" w:hAnsi="Times New Roman" w:cs="Times New Roman"/>
        </w:rPr>
        <w:t xml:space="preserve"> should relinquish jurisdiction to New Jersey ***.” The Appellate Division noted that: after the move to NJ, the child was “diagnosed with stage-four kidney cancer and was receiving ongoing medical treatment in New Jersey”; “had attended school in New Jersey for almost two years”; “neglect or abuse [allegations] *** had been investigated by *** New Jersey”; “in June 2022, the father voluntarily relocated to Florida, where he and other potential witnesses for his case continued to reside”;  and “given the pending retirement of the assigned Justice, the matter would proceed before a new judge, whether that was in New York or New Jersey.”</w:t>
      </w:r>
    </w:p>
    <w:p w14:paraId="316EF2B0" w14:textId="77777777" w:rsidR="00B36F1B" w:rsidRDefault="00B36F1B" w:rsidP="008E3966">
      <w:pPr>
        <w:pStyle w:val="Heading2"/>
        <w:numPr>
          <w:ilvl w:val="0"/>
          <w:numId w:val="0"/>
        </w:numPr>
        <w:spacing w:line="240" w:lineRule="auto"/>
        <w:jc w:val="both"/>
        <w:rPr>
          <w:rFonts w:ascii="Times New Roman" w:hAnsi="Times New Roman" w:cs="Times New Roman"/>
        </w:rPr>
      </w:pPr>
    </w:p>
    <w:p w14:paraId="443F29DB" w14:textId="66BDF8AE" w:rsidR="00374C34" w:rsidRDefault="00374C34" w:rsidP="008E3966">
      <w:pPr>
        <w:pStyle w:val="Heading2"/>
        <w:numPr>
          <w:ilvl w:val="0"/>
          <w:numId w:val="0"/>
        </w:numPr>
        <w:spacing w:line="240" w:lineRule="auto"/>
        <w:jc w:val="both"/>
        <w:rPr>
          <w:rFonts w:ascii="Times New Roman" w:hAnsi="Times New Roman" w:cs="Times New Roman"/>
          <w:b/>
          <w:bCs/>
        </w:rPr>
      </w:pPr>
      <w:r w:rsidRPr="00030C5E">
        <w:rPr>
          <w:rFonts w:ascii="Times New Roman" w:hAnsi="Times New Roman" w:cs="Times New Roman"/>
          <w:b/>
          <w:bCs/>
        </w:rPr>
        <w:t xml:space="preserve">Enforcement – Child Support - </w:t>
      </w:r>
      <w:r w:rsidR="00F81C08" w:rsidRPr="00030C5E">
        <w:rPr>
          <w:rFonts w:ascii="Times New Roman" w:hAnsi="Times New Roman" w:cs="Times New Roman"/>
          <w:b/>
          <w:bCs/>
        </w:rPr>
        <w:t>Willful Violation Finding Reversed – Medical Evidence of Inability to Work</w:t>
      </w:r>
    </w:p>
    <w:p w14:paraId="127271C9" w14:textId="77777777" w:rsidR="00B36F1B" w:rsidRDefault="00B36F1B" w:rsidP="008E3966">
      <w:pPr>
        <w:pStyle w:val="Heading2"/>
        <w:numPr>
          <w:ilvl w:val="0"/>
          <w:numId w:val="0"/>
        </w:numPr>
        <w:spacing w:line="240" w:lineRule="auto"/>
        <w:jc w:val="both"/>
        <w:rPr>
          <w:rFonts w:ascii="Times New Roman" w:hAnsi="Times New Roman" w:cs="Times New Roman"/>
          <w:b/>
          <w:bCs/>
        </w:rPr>
      </w:pPr>
    </w:p>
    <w:p w14:paraId="1F35A4E3" w14:textId="0742BDAE" w:rsidR="00B36F1B" w:rsidRDefault="000905EB" w:rsidP="008E396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r>
      <w:r w:rsidR="00030C5E">
        <w:rPr>
          <w:rFonts w:ascii="Times New Roman" w:hAnsi="Times New Roman" w:cs="Times New Roman"/>
        </w:rPr>
        <w:t xml:space="preserve">In </w:t>
      </w:r>
      <w:r w:rsidR="00030C5E" w:rsidRPr="00300748">
        <w:rPr>
          <w:rFonts w:ascii="Times New Roman" w:hAnsi="Times New Roman" w:cs="Times New Roman"/>
          <w:b/>
          <w:bCs/>
          <w:i/>
          <w:iCs/>
        </w:rPr>
        <w:t xml:space="preserve">Matter of </w:t>
      </w:r>
      <w:proofErr w:type="spellStart"/>
      <w:r w:rsidR="00030C5E" w:rsidRPr="00300748">
        <w:rPr>
          <w:rFonts w:ascii="Times New Roman" w:hAnsi="Times New Roman" w:cs="Times New Roman"/>
          <w:b/>
          <w:bCs/>
          <w:i/>
          <w:iCs/>
        </w:rPr>
        <w:t>Dukofsky</w:t>
      </w:r>
      <w:proofErr w:type="spellEnd"/>
      <w:r w:rsidR="00030C5E" w:rsidRPr="00300748">
        <w:rPr>
          <w:rFonts w:ascii="Times New Roman" w:hAnsi="Times New Roman" w:cs="Times New Roman"/>
          <w:b/>
          <w:bCs/>
          <w:i/>
          <w:iCs/>
        </w:rPr>
        <w:t xml:space="preserve"> v. </w:t>
      </w:r>
      <w:proofErr w:type="spellStart"/>
      <w:r w:rsidR="00030C5E" w:rsidRPr="00300748">
        <w:rPr>
          <w:rFonts w:ascii="Times New Roman" w:hAnsi="Times New Roman" w:cs="Times New Roman"/>
          <w:b/>
          <w:bCs/>
          <w:i/>
          <w:iCs/>
        </w:rPr>
        <w:t>Dukofsky</w:t>
      </w:r>
      <w:proofErr w:type="spellEnd"/>
      <w:r w:rsidR="00030C5E">
        <w:rPr>
          <w:rFonts w:ascii="Times New Roman" w:hAnsi="Times New Roman" w:cs="Times New Roman"/>
        </w:rPr>
        <w:t xml:space="preserve">, 2025 Westlaw 1062487 (2d Dept. Apr. 9, 2025), the mother appealed from: (1) an April 2023 Family Court Order of Commitment, which confirmed so much of an April 2023 Support Magistrate Order of Disposition as found, following a hearing upon the father’s December 2022 petition, that she willfully violated the provisions of a January 2020 judgment of divorce and incorporated January 2019 stipulation, directing her to pay $1,250 per month toward the support of the parties’ 2 children, and sentenced her to 30 days in jail, unless she paid a purge amount of $6,250; and (2) a separate April 2023 Order of the same Court, which denied her objections to so much of the aforesaid Order of Disposition as found her in willful violation. The Second Department: (a) dismissed, as academic, the mother’s appeal from so much of the order of commitment as sentenced her to jail unless she paid the purge amount; (b) reversed the order of commitment insofar as reviewed, on the facts, and vacated so much of the order of disposition as found the mother to be in willful violation; (c) vacated the separate April 2023 order which denied the mother’s objections;  (d) denied the father’s December 2022 petition to the extent that he sought a finding of willful violation; and (e) dismissed, as academic, the mother’s appeal from the separate April 2023 order which denied her objections, “in light of [the] determination on the appeal from the order of commitment.”  The Appellate Division found that the evidence of </w:t>
      </w:r>
      <w:r w:rsidR="00030C5E">
        <w:rPr>
          <w:rFonts w:ascii="Times New Roman" w:hAnsi="Times New Roman" w:cs="Times New Roman"/>
        </w:rPr>
        <w:lastRenderedPageBreak/>
        <w:t>the mother’s failure to pay child support between October 13 and December 14, 2022 “constituted prima facie evidence of a willful violation,” which “shifts the burden to the parent obligor to come forward with competent, credible evidence of his or her inability to make the payments as ordered.” The Court concluded that the mother “presented sufficient medical evidence to substantiate her assertion that she was unable to work for at least three months after a surgical procedure in October 2022” and testified that “she had no savings or assets and relied on her mother for support.”</w:t>
      </w:r>
    </w:p>
    <w:p w14:paraId="6CCEEEB9" w14:textId="77777777" w:rsidR="00E30A69" w:rsidRDefault="00E30A69" w:rsidP="008E3966">
      <w:pPr>
        <w:pStyle w:val="Heading2"/>
        <w:numPr>
          <w:ilvl w:val="0"/>
          <w:numId w:val="0"/>
        </w:numPr>
        <w:spacing w:line="240" w:lineRule="auto"/>
        <w:jc w:val="both"/>
        <w:rPr>
          <w:rFonts w:ascii="Times New Roman" w:hAnsi="Times New Roman" w:cs="Times New Roman"/>
        </w:rPr>
      </w:pPr>
    </w:p>
    <w:p w14:paraId="47D2203E" w14:textId="3252321C" w:rsidR="00E30A69" w:rsidRDefault="00E30A69" w:rsidP="008E396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E30A69">
        <w:rPr>
          <w:rFonts w:ascii="Times New Roman" w:hAnsi="Times New Roman" w:cs="Times New Roman"/>
          <w:b/>
          <w:bCs/>
          <w:i/>
          <w:iCs/>
        </w:rPr>
        <w:t>Matter of Arcuri v. Rubin</w:t>
      </w:r>
      <w:r>
        <w:rPr>
          <w:rFonts w:ascii="Times New Roman" w:hAnsi="Times New Roman" w:cs="Times New Roman"/>
        </w:rPr>
        <w:t>, 2025 Westlaw 1201255 (4</w:t>
      </w:r>
      <w:r w:rsidRPr="00C333EC">
        <w:rPr>
          <w:rFonts w:ascii="Times New Roman" w:hAnsi="Times New Roman" w:cs="Times New Roman"/>
          <w:vertAlign w:val="superscript"/>
        </w:rPr>
        <w:t>th</w:t>
      </w:r>
      <w:r>
        <w:rPr>
          <w:rFonts w:ascii="Times New Roman" w:hAnsi="Times New Roman" w:cs="Times New Roman"/>
        </w:rPr>
        <w:t xml:space="preserve"> Dept. Apr. 25, 2025), the father appealed from a July 2024 Family Court order confirming a Support Magistrate order which, following a hearing upon the mother’s October 2023 petition, found that he willfully violated a 2016 support order and committed him to jail for 20 days. The Fourth Department reversed, on the law, dismissed the violation petition and vacated the order of commitment, holding that Family Court “erred *** in determining that the father had not met his burden of demonstrating an inability to make the required payments due to a physical disability.”  The father testified that he had not been employed since January 2023 and had been “in and out of the hospital for six months for various ailments and had congestive heart failure.” Notably, the father’s testimony “was supported by competent medical evidence consisting of hospital records and records from a cardiology practice to support his contention that his medical condition prevented him maintaining employment.”  The Appellate Division concluded that the father submitted “extensive medical evidence to substantiate his claim” of inability to work.</w:t>
      </w:r>
    </w:p>
    <w:p w14:paraId="6C6098C8" w14:textId="77777777" w:rsidR="00662472" w:rsidRDefault="00662472" w:rsidP="008E3966">
      <w:pPr>
        <w:pStyle w:val="Heading2"/>
        <w:numPr>
          <w:ilvl w:val="0"/>
          <w:numId w:val="0"/>
        </w:numPr>
        <w:spacing w:line="240" w:lineRule="auto"/>
        <w:jc w:val="both"/>
        <w:rPr>
          <w:rFonts w:ascii="Times New Roman" w:hAnsi="Times New Roman" w:cs="Times New Roman"/>
        </w:rPr>
      </w:pPr>
    </w:p>
    <w:p w14:paraId="2AEC967F" w14:textId="77777777" w:rsidR="00A911AB" w:rsidRDefault="00A911AB" w:rsidP="00A911AB">
      <w:pPr>
        <w:pStyle w:val="Heading2"/>
        <w:numPr>
          <w:ilvl w:val="0"/>
          <w:numId w:val="0"/>
        </w:numPr>
        <w:spacing w:line="240" w:lineRule="auto"/>
        <w:jc w:val="both"/>
        <w:rPr>
          <w:rFonts w:ascii="Times New Roman" w:hAnsi="Times New Roman" w:cs="Times New Roman"/>
          <w:b/>
          <w:bCs/>
        </w:rPr>
      </w:pPr>
      <w:r w:rsidRPr="00A911AB">
        <w:rPr>
          <w:rFonts w:ascii="Times New Roman" w:hAnsi="Times New Roman" w:cs="Times New Roman"/>
          <w:b/>
          <w:bCs/>
        </w:rPr>
        <w:t>Enforcement - Child Support – Willful Violation Found; Inability to Pay not Established – No FDA, W-2s; Tax Return Not Credible</w:t>
      </w:r>
    </w:p>
    <w:p w14:paraId="2E1A43C3" w14:textId="77777777" w:rsidR="00A911AB" w:rsidRPr="00A911AB" w:rsidRDefault="00A911AB" w:rsidP="00A911AB">
      <w:pPr>
        <w:pStyle w:val="Heading2"/>
        <w:numPr>
          <w:ilvl w:val="0"/>
          <w:numId w:val="0"/>
        </w:numPr>
        <w:spacing w:line="240" w:lineRule="auto"/>
        <w:jc w:val="both"/>
        <w:rPr>
          <w:rFonts w:ascii="Times New Roman" w:hAnsi="Times New Roman" w:cs="Times New Roman"/>
          <w:b/>
          <w:bCs/>
        </w:rPr>
      </w:pPr>
    </w:p>
    <w:p w14:paraId="16035D85" w14:textId="77777777" w:rsidR="00A911AB" w:rsidRDefault="00A911AB" w:rsidP="00A911AB">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A911AB">
        <w:rPr>
          <w:rFonts w:ascii="Times New Roman" w:hAnsi="Times New Roman" w:cs="Times New Roman"/>
          <w:b/>
          <w:bCs/>
          <w:i/>
          <w:iCs/>
        </w:rPr>
        <w:t>Matter of Jamila-Kai M.R. v Lonnie L.M</w:t>
      </w:r>
      <w:r>
        <w:rPr>
          <w:rFonts w:ascii="Times New Roman" w:hAnsi="Times New Roman" w:cs="Times New Roman"/>
        </w:rPr>
        <w:t>., 2025 Westlaw 1107047 (1</w:t>
      </w:r>
      <w:r w:rsidRPr="00B810CC">
        <w:rPr>
          <w:rFonts w:ascii="Times New Roman" w:hAnsi="Times New Roman" w:cs="Times New Roman"/>
          <w:vertAlign w:val="superscript"/>
        </w:rPr>
        <w:t>st</w:t>
      </w:r>
      <w:r>
        <w:rPr>
          <w:rFonts w:ascii="Times New Roman" w:hAnsi="Times New Roman" w:cs="Times New Roman"/>
        </w:rPr>
        <w:t xml:space="preserve"> Dept. Apr. 15, 2025), the father appealed from a March 2023 Family Court order confirming a May 2022 Support Magistrate order finding he willfully violated a March 2020 order, committed him to a 90-day jail term, and set a $10,000 purge amount upon arrears of $49,021.41 through April 13, </w:t>
      </w:r>
      <w:proofErr w:type="gramStart"/>
      <w:r>
        <w:rPr>
          <w:rFonts w:ascii="Times New Roman" w:hAnsi="Times New Roman" w:cs="Times New Roman"/>
        </w:rPr>
        <w:t>2022</w:t>
      </w:r>
      <w:proofErr w:type="gramEnd"/>
      <w:r>
        <w:rPr>
          <w:rFonts w:ascii="Times New Roman" w:hAnsi="Times New Roman" w:cs="Times New Roman"/>
        </w:rPr>
        <w:t xml:space="preserve"> according to SCU records. The First Department affirmed, holding that the father failed “to rebut the mother’s prima facie showing that he willfully violated the order of support” and “to credibly establish that his income had been reduced, as he provided no Financial Disclosure Affidavit or W-2 Forms from the previous three years, and the sole tax return he did provide was not credible.” The Appellate Division concluded that although “the father apparently testified that he supported three other children, there was no proof offered at trial.”</w:t>
      </w:r>
    </w:p>
    <w:p w14:paraId="775AE6D8" w14:textId="77777777" w:rsidR="00A911AB" w:rsidRDefault="00A911AB" w:rsidP="00A911AB">
      <w:pPr>
        <w:pStyle w:val="Heading2"/>
        <w:numPr>
          <w:ilvl w:val="0"/>
          <w:numId w:val="0"/>
        </w:numPr>
        <w:spacing w:line="240" w:lineRule="auto"/>
        <w:jc w:val="both"/>
        <w:rPr>
          <w:rFonts w:ascii="Times New Roman" w:hAnsi="Times New Roman" w:cs="Times New Roman"/>
        </w:rPr>
      </w:pPr>
    </w:p>
    <w:p w14:paraId="03C0FE6E" w14:textId="1A277908" w:rsidR="00BD705E" w:rsidRDefault="00BD705E" w:rsidP="00A911AB">
      <w:pPr>
        <w:pStyle w:val="Heading2"/>
        <w:numPr>
          <w:ilvl w:val="0"/>
          <w:numId w:val="0"/>
        </w:numPr>
        <w:spacing w:line="240" w:lineRule="auto"/>
        <w:jc w:val="both"/>
        <w:rPr>
          <w:rFonts w:ascii="Times New Roman" w:hAnsi="Times New Roman" w:cs="Times New Roman"/>
          <w:b/>
          <w:bCs/>
        </w:rPr>
      </w:pPr>
      <w:r w:rsidRPr="00BD705E">
        <w:rPr>
          <w:rFonts w:ascii="Times New Roman" w:hAnsi="Times New Roman" w:cs="Times New Roman"/>
          <w:b/>
          <w:bCs/>
        </w:rPr>
        <w:t>Family Offense - Harassment 2d – Stay Away Order Granted on Appeal</w:t>
      </w:r>
    </w:p>
    <w:p w14:paraId="298406DD" w14:textId="77777777" w:rsidR="00662472" w:rsidRDefault="00662472" w:rsidP="008E3966">
      <w:pPr>
        <w:pStyle w:val="Heading2"/>
        <w:numPr>
          <w:ilvl w:val="0"/>
          <w:numId w:val="0"/>
        </w:numPr>
        <w:spacing w:line="240" w:lineRule="auto"/>
        <w:jc w:val="both"/>
        <w:rPr>
          <w:rFonts w:ascii="Times New Roman" w:hAnsi="Times New Roman" w:cs="Times New Roman"/>
          <w:b/>
          <w:bCs/>
        </w:rPr>
      </w:pPr>
    </w:p>
    <w:p w14:paraId="46FFEAB2" w14:textId="7B3A69B1" w:rsidR="00E6484A" w:rsidRDefault="00E6484A" w:rsidP="008E396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300748">
        <w:rPr>
          <w:rFonts w:ascii="Times New Roman" w:hAnsi="Times New Roman" w:cs="Times New Roman"/>
          <w:b/>
          <w:bCs/>
          <w:i/>
          <w:iCs/>
        </w:rPr>
        <w:t>Matter of Y.M.R.P. v. B.P</w:t>
      </w:r>
      <w:r>
        <w:rPr>
          <w:rFonts w:ascii="Times New Roman" w:hAnsi="Times New Roman" w:cs="Times New Roman"/>
        </w:rPr>
        <w:t>., 2025 Westlaw 1074067 (1</w:t>
      </w:r>
      <w:r w:rsidRPr="00262F71">
        <w:rPr>
          <w:rFonts w:ascii="Times New Roman" w:hAnsi="Times New Roman" w:cs="Times New Roman"/>
          <w:vertAlign w:val="superscript"/>
        </w:rPr>
        <w:t>st</w:t>
      </w:r>
      <w:r>
        <w:rPr>
          <w:rFonts w:ascii="Times New Roman" w:hAnsi="Times New Roman" w:cs="Times New Roman"/>
        </w:rPr>
        <w:t xml:space="preserve"> Dept. Apr. 10, 2025), petitioner ex-wife appealed from a March 2024 Family Court order which, upon acceptance of respondent ex-husband’s admission to harassment 2d, granted her a “refrain from” 2-year order of protection. The First Department reversed, on the law and the facts, and remitted to Family Court for issuance of 2-year stay away order of protection which requires him to vacate the shared residence. The Appellate Division held that Family Court, upon acceptance of respondent’s admission, “</w:t>
      </w:r>
      <w:r w:rsidRPr="002A1D4F">
        <w:rPr>
          <w:rFonts w:ascii="Times New Roman" w:hAnsi="Times New Roman" w:cs="Times New Roman"/>
        </w:rPr>
        <w:t>was empowered to issue an order of protection (Family Court Act §154</w:t>
      </w:r>
      <w:r>
        <w:rPr>
          <w:rFonts w:ascii="Times New Roman" w:hAnsi="Times New Roman" w:cs="Times New Roman"/>
        </w:rPr>
        <w:t>-</w:t>
      </w:r>
      <w:proofErr w:type="gramStart"/>
      <w:r w:rsidRPr="002A1D4F">
        <w:rPr>
          <w:rFonts w:ascii="Times New Roman" w:hAnsi="Times New Roman" w:cs="Times New Roman"/>
        </w:rPr>
        <w:t>c[</w:t>
      </w:r>
      <w:proofErr w:type="gramEnd"/>
      <w:r w:rsidRPr="002A1D4F">
        <w:rPr>
          <w:rFonts w:ascii="Times New Roman" w:hAnsi="Times New Roman" w:cs="Times New Roman"/>
        </w:rPr>
        <w:t xml:space="preserve">3]), which may set </w:t>
      </w:r>
      <w:r>
        <w:rPr>
          <w:rFonts w:ascii="Times New Roman" w:hAnsi="Times New Roman" w:cs="Times New Roman"/>
        </w:rPr>
        <w:t>‘</w:t>
      </w:r>
      <w:r w:rsidRPr="002A1D4F">
        <w:rPr>
          <w:rFonts w:ascii="Times New Roman" w:hAnsi="Times New Roman" w:cs="Times New Roman"/>
        </w:rPr>
        <w:t>reasonable conditions of behavior,</w:t>
      </w:r>
      <w:r>
        <w:rPr>
          <w:rFonts w:ascii="Times New Roman" w:hAnsi="Times New Roman" w:cs="Times New Roman"/>
        </w:rPr>
        <w:t>’</w:t>
      </w:r>
      <w:r w:rsidRPr="002A1D4F">
        <w:rPr>
          <w:rFonts w:ascii="Times New Roman" w:hAnsi="Times New Roman" w:cs="Times New Roman"/>
        </w:rPr>
        <w:t xml:space="preserve"> including that the respondent </w:t>
      </w:r>
      <w:r>
        <w:rPr>
          <w:rFonts w:ascii="Times New Roman" w:hAnsi="Times New Roman" w:cs="Times New Roman"/>
        </w:rPr>
        <w:t>‘</w:t>
      </w:r>
      <w:r w:rsidRPr="002A1D4F">
        <w:rPr>
          <w:rFonts w:ascii="Times New Roman" w:hAnsi="Times New Roman" w:cs="Times New Roman"/>
        </w:rPr>
        <w:t>stay away from the home . . . of the other spouse</w:t>
      </w:r>
      <w:r w:rsidR="00AA0AD2">
        <w:rPr>
          <w:rFonts w:ascii="Times New Roman" w:hAnsi="Times New Roman" w:cs="Times New Roman"/>
        </w:rPr>
        <w:t>’</w:t>
      </w:r>
      <w:r w:rsidRPr="002A1D4F">
        <w:rPr>
          <w:rFonts w:ascii="Times New Roman" w:hAnsi="Times New Roman" w:cs="Times New Roman"/>
        </w:rPr>
        <w:t xml:space="preserve"> (Family Court Act §842[a]; </w:t>
      </w:r>
      <w:r>
        <w:rPr>
          <w:rFonts w:ascii="Times New Roman" w:hAnsi="Times New Roman" w:cs="Times New Roman"/>
        </w:rPr>
        <w:t xml:space="preserve">other citations omitted).” The Court concluded </w:t>
      </w:r>
      <w:r>
        <w:rPr>
          <w:rFonts w:ascii="Times New Roman" w:hAnsi="Times New Roman" w:cs="Times New Roman"/>
        </w:rPr>
        <w:lastRenderedPageBreak/>
        <w:t>that based upon the allegations in the petition and the testimony at the dispositional hearing: Family Court “</w:t>
      </w:r>
      <w:r w:rsidRPr="001D243A">
        <w:rPr>
          <w:rFonts w:ascii="Times New Roman" w:hAnsi="Times New Roman" w:cs="Times New Roman"/>
        </w:rPr>
        <w:t>improvidently exercised its discretion by failing to direct respondent to stay away from petitioner and vacate the apartment that both parties leased and where they resided during the marriage</w:t>
      </w:r>
      <w:r>
        <w:rPr>
          <w:rFonts w:ascii="Times New Roman" w:hAnsi="Times New Roman" w:cs="Times New Roman"/>
        </w:rPr>
        <w:t>”’ and “</w:t>
      </w:r>
      <w:r w:rsidRPr="00CA4837">
        <w:rPr>
          <w:rFonts w:ascii="Times New Roman" w:hAnsi="Times New Roman" w:cs="Times New Roman"/>
        </w:rPr>
        <w:t xml:space="preserve">a full stay-away order with an order of exclusion will likely be helpful in eradicating the root of the family disturbance and fully protect </w:t>
      </w:r>
      <w:r>
        <w:rPr>
          <w:rFonts w:ascii="Times New Roman" w:hAnsi="Times New Roman" w:cs="Times New Roman"/>
        </w:rPr>
        <w:t>p</w:t>
      </w:r>
      <w:r w:rsidRPr="00CA4837">
        <w:rPr>
          <w:rFonts w:ascii="Times New Roman" w:hAnsi="Times New Roman" w:cs="Times New Roman"/>
        </w:rPr>
        <w:t>etitioner</w:t>
      </w:r>
      <w:r>
        <w:rPr>
          <w:rFonts w:ascii="Times New Roman" w:hAnsi="Times New Roman" w:cs="Times New Roman"/>
        </w:rPr>
        <w:t xml:space="preserve"> (citations and internal quotation marks omitted).”</w:t>
      </w:r>
    </w:p>
    <w:p w14:paraId="7E86488D" w14:textId="77777777" w:rsidR="00E30A69" w:rsidRDefault="00E30A69" w:rsidP="008E3966">
      <w:pPr>
        <w:pStyle w:val="Heading2"/>
        <w:numPr>
          <w:ilvl w:val="0"/>
          <w:numId w:val="0"/>
        </w:numPr>
        <w:spacing w:line="240" w:lineRule="auto"/>
        <w:jc w:val="both"/>
        <w:rPr>
          <w:rFonts w:ascii="Times New Roman" w:hAnsi="Times New Roman" w:cs="Times New Roman"/>
        </w:rPr>
      </w:pPr>
    </w:p>
    <w:p w14:paraId="3847E035" w14:textId="629E16C1" w:rsidR="00E30A69" w:rsidRDefault="00E30A69" w:rsidP="008E3966">
      <w:pPr>
        <w:pStyle w:val="Heading2"/>
        <w:numPr>
          <w:ilvl w:val="0"/>
          <w:numId w:val="0"/>
        </w:numPr>
        <w:spacing w:line="240" w:lineRule="auto"/>
        <w:jc w:val="both"/>
        <w:rPr>
          <w:rFonts w:ascii="Times New Roman" w:hAnsi="Times New Roman" w:cs="Times New Roman"/>
          <w:b/>
          <w:bCs/>
        </w:rPr>
      </w:pPr>
      <w:r w:rsidRPr="00E30A69">
        <w:rPr>
          <w:rFonts w:ascii="Times New Roman" w:hAnsi="Times New Roman" w:cs="Times New Roman"/>
          <w:b/>
          <w:bCs/>
        </w:rPr>
        <w:t>Paternity – Presumption of Legitimacy Rebutted</w:t>
      </w:r>
    </w:p>
    <w:p w14:paraId="79F6FF91" w14:textId="77777777" w:rsidR="00E30A69" w:rsidRDefault="00E30A69" w:rsidP="008E3966">
      <w:pPr>
        <w:pStyle w:val="Heading2"/>
        <w:numPr>
          <w:ilvl w:val="0"/>
          <w:numId w:val="0"/>
        </w:numPr>
        <w:spacing w:line="240" w:lineRule="auto"/>
        <w:jc w:val="both"/>
        <w:rPr>
          <w:rFonts w:ascii="Times New Roman" w:hAnsi="Times New Roman" w:cs="Times New Roman"/>
          <w:b/>
          <w:bCs/>
        </w:rPr>
      </w:pPr>
    </w:p>
    <w:p w14:paraId="79F8B0BE" w14:textId="1024C992" w:rsidR="00E30A69" w:rsidRPr="00E30A69" w:rsidRDefault="00E30A69" w:rsidP="008E3966">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E30A69">
        <w:rPr>
          <w:rFonts w:ascii="Times New Roman" w:hAnsi="Times New Roman" w:cs="Times New Roman"/>
          <w:b/>
          <w:bCs/>
          <w:i/>
          <w:iCs/>
        </w:rPr>
        <w:t>Matter of Kim A.F. v. Alexis M.R.</w:t>
      </w:r>
      <w:r>
        <w:rPr>
          <w:rFonts w:ascii="Times New Roman" w:hAnsi="Times New Roman" w:cs="Times New Roman"/>
        </w:rPr>
        <w:t>, 2025 Westlaw 1199569 (4</w:t>
      </w:r>
      <w:r w:rsidRPr="00D579F4">
        <w:rPr>
          <w:rFonts w:ascii="Times New Roman" w:hAnsi="Times New Roman" w:cs="Times New Roman"/>
          <w:vertAlign w:val="superscript"/>
        </w:rPr>
        <w:t>th</w:t>
      </w:r>
      <w:r>
        <w:rPr>
          <w:rFonts w:ascii="Times New Roman" w:hAnsi="Times New Roman" w:cs="Times New Roman"/>
        </w:rPr>
        <w:t xml:space="preserve"> Dept. Apr. 25, 2025), the mother appealed from a March 2023 Family Court order which, after a hearing, adjudged petitioner to be the father of the subject child. The Fourth Department affirmed, holding that Family Court “properly determined that petitioner overcame the presumption of legitimacy by demonstrating the existence of a non-frivolous controversy regarding paternity,” which then shifted the burden to the mother “to establish that ordering the paternity test would not be in the child’s best interest (citation omitted), which she failed to do.” The Appellate Division determined the while the mother “asserted that her husband held himself out as the father of the child, *** no father was listed on the child’s birth certificate, *** [she] and her husband had been separated since before the child was born, and *** [she] had previously consented to *** an order of custody and visitation pursuant to which she and her mother shared joint custody of the child, the child would reside with [her] mother, and no provisions were made for visitation with the husband.” The Fourth Department concluded that Family Court “properly determined that [the mother’s] proposed testimony [regarding petitioner’s alleged drug use and abusive behavior] is not relevant to whether genetic testing is not in the child’s bests interests on the basis of the presumption of legitimacy or equitable estoppel.”</w:t>
      </w:r>
    </w:p>
    <w:p w14:paraId="53A6851B" w14:textId="77777777" w:rsidR="00662472" w:rsidRDefault="00662472" w:rsidP="008E3966">
      <w:pPr>
        <w:pStyle w:val="Heading2"/>
        <w:numPr>
          <w:ilvl w:val="0"/>
          <w:numId w:val="0"/>
        </w:numPr>
        <w:spacing w:line="240" w:lineRule="auto"/>
        <w:jc w:val="both"/>
        <w:rPr>
          <w:rFonts w:ascii="Times New Roman" w:hAnsi="Times New Roman" w:cs="Times New Roman"/>
        </w:rPr>
      </w:pPr>
    </w:p>
    <w:p w14:paraId="1749F6ED" w14:textId="364D36E0" w:rsidR="00654EDC" w:rsidRDefault="00654EDC" w:rsidP="008E3966">
      <w:pPr>
        <w:pStyle w:val="Heading2"/>
        <w:numPr>
          <w:ilvl w:val="0"/>
          <w:numId w:val="0"/>
        </w:numPr>
        <w:spacing w:line="240" w:lineRule="auto"/>
        <w:jc w:val="both"/>
        <w:rPr>
          <w:rFonts w:ascii="Times New Roman" w:hAnsi="Times New Roman" w:cs="Times New Roman"/>
          <w:b/>
          <w:bCs/>
        </w:rPr>
      </w:pPr>
      <w:r w:rsidRPr="00654EDC">
        <w:rPr>
          <w:rFonts w:ascii="Times New Roman" w:hAnsi="Times New Roman" w:cs="Times New Roman"/>
          <w:b/>
          <w:bCs/>
        </w:rPr>
        <w:t>Pendente Lite - Counsel Fees – Reversed – Noncompliance with 60-day Billing</w:t>
      </w:r>
    </w:p>
    <w:p w14:paraId="487A40E2" w14:textId="77777777" w:rsidR="00662472" w:rsidRDefault="00662472" w:rsidP="008E3966">
      <w:pPr>
        <w:pStyle w:val="Heading2"/>
        <w:numPr>
          <w:ilvl w:val="0"/>
          <w:numId w:val="0"/>
        </w:numPr>
        <w:spacing w:line="240" w:lineRule="auto"/>
        <w:jc w:val="both"/>
        <w:rPr>
          <w:rFonts w:ascii="Times New Roman" w:hAnsi="Times New Roman" w:cs="Times New Roman"/>
          <w:b/>
          <w:bCs/>
        </w:rPr>
      </w:pPr>
    </w:p>
    <w:p w14:paraId="2B253CB6" w14:textId="1517ED74" w:rsidR="00654EDC" w:rsidRDefault="00662472" w:rsidP="008E3966">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r>
      <w:r w:rsidR="00916690">
        <w:rPr>
          <w:rFonts w:ascii="Times New Roman" w:hAnsi="Times New Roman" w:cs="Times New Roman"/>
        </w:rPr>
        <w:t xml:space="preserve">In </w:t>
      </w:r>
      <w:r w:rsidR="00916690" w:rsidRPr="00300748">
        <w:rPr>
          <w:rFonts w:ascii="Times New Roman" w:hAnsi="Times New Roman" w:cs="Times New Roman"/>
          <w:b/>
          <w:bCs/>
          <w:i/>
          <w:iCs/>
        </w:rPr>
        <w:t>Safir v. Safir</w:t>
      </w:r>
      <w:r w:rsidR="00916690">
        <w:rPr>
          <w:rFonts w:ascii="Times New Roman" w:hAnsi="Times New Roman" w:cs="Times New Roman"/>
        </w:rPr>
        <w:t>, 2025 Westlaw 1062573 (2d Dept. Apr. 9, 2025), the parties were married in August 2003 and have 4 children. The husband appealed from a June 2022 Supreme Court order, which, in the wife’s July 2020 divorce action, granted her cross-motion for temporary counsel fees, to the extent of directing him to pay $40,000 therefor. The Second Department reversed, on the law and denied the wife’s motion in its entirety, holding: “the evidence proffered by the [wife] in support of her cross-motion failed to demonstrate, prima facie, that her attorney substantially complied with the rules requiring periodic billing statements be sent at least every 60 days”; and she “could not remedy this issue by submitting evidence in reply, since a movant may not meet his or her burden on a motion by submitting evidence in reply.” (Internal quotation marks and citations omitted).</w:t>
      </w:r>
    </w:p>
    <w:p w14:paraId="64291B1A" w14:textId="77777777" w:rsidR="00E30A69" w:rsidRDefault="00E30A69" w:rsidP="008E3966">
      <w:pPr>
        <w:pStyle w:val="Heading2"/>
        <w:numPr>
          <w:ilvl w:val="0"/>
          <w:numId w:val="0"/>
        </w:numPr>
        <w:spacing w:line="240" w:lineRule="auto"/>
        <w:jc w:val="both"/>
        <w:rPr>
          <w:rFonts w:ascii="Times New Roman" w:hAnsi="Times New Roman" w:cs="Times New Roman"/>
        </w:rPr>
      </w:pPr>
    </w:p>
    <w:p w14:paraId="13B89EC6" w14:textId="29900642" w:rsidR="00E30A69" w:rsidRDefault="00E30A69" w:rsidP="008E3966">
      <w:pPr>
        <w:pStyle w:val="Heading2"/>
        <w:numPr>
          <w:ilvl w:val="0"/>
          <w:numId w:val="0"/>
        </w:numPr>
        <w:spacing w:line="240" w:lineRule="auto"/>
        <w:jc w:val="both"/>
        <w:rPr>
          <w:rFonts w:ascii="Times New Roman" w:hAnsi="Times New Roman" w:cs="Times New Roman"/>
          <w:b/>
          <w:bCs/>
        </w:rPr>
      </w:pPr>
      <w:r w:rsidRPr="0084456A">
        <w:rPr>
          <w:rFonts w:ascii="Times New Roman" w:hAnsi="Times New Roman" w:cs="Times New Roman"/>
          <w:b/>
          <w:bCs/>
        </w:rPr>
        <w:t xml:space="preserve">Procedure – Objections to Support Magistrate Order - </w:t>
      </w:r>
      <w:r w:rsidR="0084456A" w:rsidRPr="0084456A">
        <w:rPr>
          <w:rFonts w:ascii="Times New Roman" w:hAnsi="Times New Roman" w:cs="Times New Roman"/>
          <w:b/>
          <w:bCs/>
        </w:rPr>
        <w:t>Issues Not Raised Not Reviewable on Appeal</w:t>
      </w:r>
    </w:p>
    <w:p w14:paraId="18C21FCF" w14:textId="77777777" w:rsidR="0084456A" w:rsidRDefault="0084456A" w:rsidP="008E3966">
      <w:pPr>
        <w:pStyle w:val="Heading2"/>
        <w:numPr>
          <w:ilvl w:val="0"/>
          <w:numId w:val="0"/>
        </w:numPr>
        <w:spacing w:line="240" w:lineRule="auto"/>
        <w:jc w:val="both"/>
        <w:rPr>
          <w:rFonts w:ascii="Times New Roman" w:hAnsi="Times New Roman" w:cs="Times New Roman"/>
          <w:b/>
          <w:bCs/>
        </w:rPr>
      </w:pPr>
    </w:p>
    <w:p w14:paraId="5B12FD18" w14:textId="3CEB4849" w:rsidR="0084456A" w:rsidRPr="0084456A" w:rsidRDefault="0084456A" w:rsidP="008E3966">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901859">
        <w:rPr>
          <w:rFonts w:ascii="Times New Roman" w:hAnsi="Times New Roman" w:cs="Times New Roman"/>
          <w:u w:val="single"/>
        </w:rPr>
        <w:t xml:space="preserve">Matter of </w:t>
      </w:r>
      <w:proofErr w:type="spellStart"/>
      <w:r w:rsidRPr="00901859">
        <w:rPr>
          <w:rFonts w:ascii="Times New Roman" w:hAnsi="Times New Roman" w:cs="Times New Roman"/>
          <w:u w:val="single"/>
        </w:rPr>
        <w:t>Cavitt</w:t>
      </w:r>
      <w:proofErr w:type="spellEnd"/>
      <w:r w:rsidRPr="00901859">
        <w:rPr>
          <w:rFonts w:ascii="Times New Roman" w:hAnsi="Times New Roman" w:cs="Times New Roman"/>
          <w:u w:val="single"/>
        </w:rPr>
        <w:t xml:space="preserve"> v. </w:t>
      </w:r>
      <w:proofErr w:type="spellStart"/>
      <w:r w:rsidRPr="00901859">
        <w:rPr>
          <w:rFonts w:ascii="Times New Roman" w:hAnsi="Times New Roman" w:cs="Times New Roman"/>
          <w:u w:val="single"/>
        </w:rPr>
        <w:t>Cavitt</w:t>
      </w:r>
      <w:proofErr w:type="spellEnd"/>
      <w:r>
        <w:rPr>
          <w:rFonts w:ascii="Times New Roman" w:hAnsi="Times New Roman" w:cs="Times New Roman"/>
        </w:rPr>
        <w:t>, 2025 Westlaw 1200412 (4</w:t>
      </w:r>
      <w:r w:rsidRPr="00901859">
        <w:rPr>
          <w:rFonts w:ascii="Times New Roman" w:hAnsi="Times New Roman" w:cs="Times New Roman"/>
          <w:vertAlign w:val="superscript"/>
        </w:rPr>
        <w:t>th</w:t>
      </w:r>
      <w:r>
        <w:rPr>
          <w:rFonts w:ascii="Times New Roman" w:hAnsi="Times New Roman" w:cs="Times New Roman"/>
        </w:rPr>
        <w:t xml:space="preserve"> Dept. Apr. 25, 2025), the father appealed from a December 2023 Family Court order, which denied his objection to a Support Magistrate order. The Fourth Department affirmed, noting that “deference should be given to the credibility determinations of the support magistrate, who was in the best position to evaluate *** </w:t>
      </w:r>
      <w:r>
        <w:rPr>
          <w:rFonts w:ascii="Times New Roman" w:hAnsi="Times New Roman" w:cs="Times New Roman"/>
        </w:rPr>
        <w:lastRenderedPageBreak/>
        <w:t>the witnesses.” The Appellate Division concluded that “the father’s remaining contentions were not raised in his written objection *** [and] are not properly before us (citations omitted).”</w:t>
      </w:r>
    </w:p>
    <w:p w14:paraId="1B88FE23" w14:textId="77777777" w:rsidR="00FB3FB4" w:rsidRDefault="00FB3FB4" w:rsidP="00B47334">
      <w:pPr>
        <w:pStyle w:val="Heading2"/>
        <w:numPr>
          <w:ilvl w:val="0"/>
          <w:numId w:val="0"/>
        </w:numPr>
        <w:spacing w:line="240" w:lineRule="auto"/>
        <w:jc w:val="both"/>
        <w:rPr>
          <w:rFonts w:ascii="Times New Roman" w:hAnsi="Times New Roman" w:cs="Times New Roman"/>
        </w:rPr>
      </w:pPr>
    </w:p>
    <w:p w14:paraId="1B845589" w14:textId="275F37E8" w:rsidR="003C7137" w:rsidRDefault="00A16C7D" w:rsidP="003C7137">
      <w:pPr>
        <w:pStyle w:val="Heading2"/>
        <w:numPr>
          <w:ilvl w:val="0"/>
          <w:numId w:val="0"/>
        </w:numPr>
        <w:spacing w:line="240" w:lineRule="auto"/>
        <w:jc w:val="both"/>
        <w:rPr>
          <w:rFonts w:ascii="Times New Roman" w:hAnsi="Times New Roman" w:cs="Times New Roman"/>
          <w:b/>
          <w:bCs/>
          <w:u w:val="single"/>
        </w:rPr>
      </w:pPr>
      <w:r w:rsidRPr="00A16C7D">
        <w:rPr>
          <w:rFonts w:ascii="Times New Roman" w:hAnsi="Times New Roman" w:cs="Times New Roman"/>
          <w:b/>
          <w:bCs/>
          <w:u w:val="single"/>
        </w:rPr>
        <w:t>Legislative</w:t>
      </w:r>
      <w:r w:rsidR="0043007A">
        <w:rPr>
          <w:rFonts w:ascii="Times New Roman" w:hAnsi="Times New Roman" w:cs="Times New Roman"/>
          <w:b/>
          <w:bCs/>
          <w:u w:val="single"/>
        </w:rPr>
        <w:t xml:space="preserve"> </w:t>
      </w:r>
      <w:r w:rsidR="00F704FB">
        <w:rPr>
          <w:rFonts w:ascii="Times New Roman" w:hAnsi="Times New Roman" w:cs="Times New Roman"/>
          <w:b/>
          <w:bCs/>
          <w:u w:val="single"/>
        </w:rPr>
        <w:t xml:space="preserve">and Court Rule </w:t>
      </w:r>
      <w:r w:rsidRPr="00A16C7D">
        <w:rPr>
          <w:rFonts w:ascii="Times New Roman" w:hAnsi="Times New Roman" w:cs="Times New Roman"/>
          <w:b/>
          <w:bCs/>
          <w:u w:val="single"/>
        </w:rPr>
        <w:t>Items</w:t>
      </w:r>
    </w:p>
    <w:p w14:paraId="1F447B08" w14:textId="77777777" w:rsidR="003C7137" w:rsidRDefault="003C7137" w:rsidP="003C7137">
      <w:pPr>
        <w:pStyle w:val="Heading2"/>
        <w:numPr>
          <w:ilvl w:val="0"/>
          <w:numId w:val="0"/>
        </w:numPr>
        <w:spacing w:line="240" w:lineRule="auto"/>
        <w:jc w:val="both"/>
        <w:rPr>
          <w:rFonts w:ascii="Times New Roman" w:hAnsi="Times New Roman" w:cs="Times New Roman"/>
          <w:b/>
          <w:bCs/>
          <w:u w:val="single"/>
        </w:rPr>
      </w:pPr>
    </w:p>
    <w:p w14:paraId="45537955" w14:textId="42C12899" w:rsidR="00EF7175" w:rsidRPr="00224627" w:rsidRDefault="00EF7175" w:rsidP="00EF7175">
      <w:pPr>
        <w:pStyle w:val="Heading2"/>
        <w:numPr>
          <w:ilvl w:val="0"/>
          <w:numId w:val="0"/>
        </w:numPr>
        <w:rPr>
          <w:rFonts w:ascii="Times New Roman" w:hAnsi="Times New Roman" w:cs="Times New Roman"/>
          <w:b/>
          <w:bCs/>
        </w:rPr>
      </w:pPr>
      <w:r>
        <w:rPr>
          <w:rFonts w:ascii="Times New Roman" w:hAnsi="Times New Roman" w:cs="Times New Roman"/>
          <w:b/>
          <w:bCs/>
        </w:rPr>
        <w:t>Custody and Visitation – Kyra’s Law</w:t>
      </w:r>
      <w:r w:rsidR="00F86565">
        <w:rPr>
          <w:rFonts w:ascii="Times New Roman" w:hAnsi="Times New Roman" w:cs="Times New Roman"/>
          <w:b/>
          <w:bCs/>
        </w:rPr>
        <w:t xml:space="preserve"> - </w:t>
      </w:r>
      <w:r w:rsidR="00F86565" w:rsidRPr="00F86565">
        <w:rPr>
          <w:rFonts w:ascii="Times New Roman" w:hAnsi="Times New Roman" w:cs="Times New Roman"/>
          <w:b/>
          <w:bCs/>
          <w:u w:val="single"/>
        </w:rPr>
        <w:t>Updated</w:t>
      </w:r>
    </w:p>
    <w:p w14:paraId="4353B7C7" w14:textId="2E629922" w:rsidR="00EF7175" w:rsidRDefault="00EF7175" w:rsidP="00EF7175">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This legislation has been reintroduced February 27, 2025 (prior history, 2021-2022: A.5398, 2023-2024: A.3346), and </w:t>
      </w:r>
      <w:r w:rsidRPr="00AD608C">
        <w:rPr>
          <w:rFonts w:ascii="Times New Roman" w:hAnsi="Times New Roman" w:cs="Times New Roman"/>
          <w:b/>
          <w:bCs/>
          <w:u w:val="single"/>
        </w:rPr>
        <w:t>would amend</w:t>
      </w:r>
      <w:r>
        <w:rPr>
          <w:rFonts w:ascii="Times New Roman" w:hAnsi="Times New Roman" w:cs="Times New Roman"/>
        </w:rPr>
        <w:t xml:space="preserve"> the DRL, the FCA and the CPLR, according to the Assembly Memorandum in Support, “[t]o </w:t>
      </w:r>
      <w:proofErr w:type="gramStart"/>
      <w:r>
        <w:rPr>
          <w:rFonts w:ascii="Times New Roman" w:hAnsi="Times New Roman" w:cs="Times New Roman"/>
        </w:rPr>
        <w:t>protect</w:t>
      </w:r>
      <w:proofErr w:type="gramEnd"/>
      <w:r>
        <w:rPr>
          <w:rFonts w:ascii="Times New Roman" w:hAnsi="Times New Roman" w:cs="Times New Roman"/>
        </w:rPr>
        <w:t xml:space="preserve"> children by ensuring courts promote the safety of children in child custody and visitation proceedings.” On March 4, 2025, the legislation was introduced in the Senate, see bill number S.5998. </w:t>
      </w:r>
      <w:r w:rsidRPr="000A116B">
        <w:rPr>
          <w:rFonts w:ascii="Times New Roman" w:hAnsi="Times New Roman" w:cs="Times New Roman"/>
          <w:u w:val="single"/>
        </w:rPr>
        <w:t>See</w:t>
      </w:r>
      <w:r>
        <w:rPr>
          <w:rFonts w:ascii="Times New Roman" w:hAnsi="Times New Roman" w:cs="Times New Roman"/>
        </w:rPr>
        <w:t xml:space="preserve"> A.6194 by going to </w:t>
      </w:r>
      <w:hyperlink r:id="rId7" w:history="1">
        <w:r w:rsidRPr="000E6B9C">
          <w:rPr>
            <w:rStyle w:val="Hyperlink"/>
            <w:rFonts w:ascii="Times New Roman" w:hAnsi="Times New Roman" w:cs="Times New Roman"/>
          </w:rPr>
          <w:t>https://www.assembly.state.ny.us/leg/</w:t>
        </w:r>
      </w:hyperlink>
      <w:r>
        <w:rPr>
          <w:rFonts w:ascii="Times New Roman" w:hAnsi="Times New Roman" w:cs="Times New Roman"/>
        </w:rPr>
        <w:t xml:space="preserve"> and typing A6194 in the search box, or by going to the Senate website, </w:t>
      </w:r>
      <w:hyperlink r:id="rId8" w:history="1">
        <w:r w:rsidRPr="00887910">
          <w:rPr>
            <w:rStyle w:val="Hyperlink"/>
            <w:rFonts w:ascii="Times New Roman" w:hAnsi="Times New Roman" w:cs="Times New Roman"/>
          </w:rPr>
          <w:t>| NYSenate.gov</w:t>
        </w:r>
      </w:hyperlink>
      <w:r>
        <w:rPr>
          <w:rFonts w:ascii="Times New Roman" w:hAnsi="Times New Roman" w:cs="Times New Roman"/>
        </w:rPr>
        <w:t xml:space="preserve"> and typing S5998 in the search box and choosing the current legislative session.</w:t>
      </w:r>
    </w:p>
    <w:p w14:paraId="4A6E7499" w14:textId="77777777" w:rsidR="00F704FB" w:rsidRDefault="00F704FB" w:rsidP="00EF7175">
      <w:pPr>
        <w:pStyle w:val="Heading2"/>
        <w:numPr>
          <w:ilvl w:val="0"/>
          <w:numId w:val="0"/>
        </w:numPr>
        <w:spacing w:line="240" w:lineRule="auto"/>
        <w:jc w:val="both"/>
        <w:rPr>
          <w:rFonts w:ascii="Times New Roman" w:hAnsi="Times New Roman" w:cs="Times New Roman"/>
        </w:rPr>
      </w:pPr>
    </w:p>
    <w:p w14:paraId="5014739F" w14:textId="5ADD7BD7" w:rsidR="00F704FB" w:rsidRDefault="00F704FB" w:rsidP="00EF7175">
      <w:pPr>
        <w:pStyle w:val="Heading2"/>
        <w:numPr>
          <w:ilvl w:val="0"/>
          <w:numId w:val="0"/>
        </w:numPr>
        <w:spacing w:line="240" w:lineRule="auto"/>
        <w:jc w:val="both"/>
        <w:rPr>
          <w:rFonts w:ascii="Times New Roman" w:hAnsi="Times New Roman" w:cs="Times New Roman"/>
          <w:b/>
          <w:bCs/>
        </w:rPr>
      </w:pPr>
      <w:r w:rsidRPr="00F704FB">
        <w:rPr>
          <w:rFonts w:ascii="Times New Roman" w:hAnsi="Times New Roman" w:cs="Times New Roman"/>
          <w:b/>
          <w:bCs/>
        </w:rPr>
        <w:t>Electronic Filing</w:t>
      </w:r>
    </w:p>
    <w:p w14:paraId="4818A67C" w14:textId="4AF30D3A" w:rsidR="00F704FB" w:rsidRDefault="00F704FB" w:rsidP="00EF7175">
      <w:pPr>
        <w:pStyle w:val="Heading2"/>
        <w:numPr>
          <w:ilvl w:val="0"/>
          <w:numId w:val="0"/>
        </w:numPr>
        <w:spacing w:line="240" w:lineRule="auto"/>
        <w:jc w:val="both"/>
        <w:rPr>
          <w:rFonts w:ascii="Times New Roman" w:hAnsi="Times New Roman" w:cs="Times New Roman"/>
          <w:b/>
          <w:bCs/>
        </w:rPr>
      </w:pPr>
    </w:p>
    <w:p w14:paraId="74E4EFC5" w14:textId="74B85B57" w:rsidR="00F704FB" w:rsidRDefault="00F704FB" w:rsidP="00005C52">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Further to the report in the January 2025 </w:t>
      </w:r>
      <w:r w:rsidR="002E1728">
        <w:rPr>
          <w:rFonts w:ascii="Times New Roman" w:hAnsi="Times New Roman" w:cs="Times New Roman"/>
        </w:rPr>
        <w:t xml:space="preserve">NYSBA Family Law Section Update </w:t>
      </w:r>
      <w:r>
        <w:rPr>
          <w:rFonts w:ascii="Times New Roman" w:hAnsi="Times New Roman" w:cs="Times New Roman"/>
        </w:rPr>
        <w:t>regarding recent legislation</w:t>
      </w:r>
      <w:r w:rsidRPr="00F704FB">
        <w:rPr>
          <w:rFonts w:ascii="Times New Roman" w:hAnsi="Times New Roman" w:cs="Times New Roman"/>
        </w:rPr>
        <w:t xml:space="preserve"> </w:t>
      </w:r>
      <w:r>
        <w:rPr>
          <w:rFonts w:ascii="Times New Roman" w:hAnsi="Times New Roman" w:cs="Times New Roman"/>
        </w:rPr>
        <w:t>(</w:t>
      </w:r>
      <w:r w:rsidRPr="00F704FB">
        <w:rPr>
          <w:rFonts w:ascii="Times New Roman" w:hAnsi="Times New Roman" w:cs="Times New Roman"/>
        </w:rPr>
        <w:t>A.10350, S.07524</w:t>
      </w:r>
      <w:r>
        <w:rPr>
          <w:rFonts w:ascii="Times New Roman" w:hAnsi="Times New Roman" w:cs="Times New Roman"/>
        </w:rPr>
        <w:t>, s</w:t>
      </w:r>
      <w:r w:rsidRPr="00F704FB">
        <w:rPr>
          <w:rFonts w:ascii="Times New Roman" w:hAnsi="Times New Roman" w:cs="Times New Roman"/>
        </w:rPr>
        <w:t>igned December 13, 2024, Laws of 2024, Ch. 579</w:t>
      </w:r>
      <w:r>
        <w:rPr>
          <w:rFonts w:ascii="Times New Roman" w:hAnsi="Times New Roman" w:cs="Times New Roman"/>
        </w:rPr>
        <w:t>), the Chief Administrative Judge announced</w:t>
      </w:r>
      <w:r w:rsidR="00005C52">
        <w:rPr>
          <w:rFonts w:ascii="Times New Roman" w:hAnsi="Times New Roman" w:cs="Times New Roman"/>
        </w:rPr>
        <w:t xml:space="preserve"> by Memorandum dated</w:t>
      </w:r>
      <w:r>
        <w:rPr>
          <w:rFonts w:ascii="Times New Roman" w:hAnsi="Times New Roman" w:cs="Times New Roman"/>
        </w:rPr>
        <w:t xml:space="preserve"> April 21, 2025</w:t>
      </w:r>
      <w:r w:rsidR="00005C52">
        <w:rPr>
          <w:rFonts w:ascii="Times New Roman" w:hAnsi="Times New Roman" w:cs="Times New Roman"/>
        </w:rPr>
        <w:t>,</w:t>
      </w:r>
      <w:r>
        <w:rPr>
          <w:rFonts w:ascii="Times New Roman" w:hAnsi="Times New Roman" w:cs="Times New Roman"/>
        </w:rPr>
        <w:t xml:space="preserve"> </w:t>
      </w:r>
      <w:r w:rsidR="00005C52">
        <w:rPr>
          <w:rFonts w:ascii="Times New Roman" w:hAnsi="Times New Roman" w:cs="Times New Roman"/>
        </w:rPr>
        <w:t xml:space="preserve">the </w:t>
      </w:r>
      <w:r w:rsidR="00005C52" w:rsidRPr="00005C52">
        <w:rPr>
          <w:rFonts w:ascii="Times New Roman" w:hAnsi="Times New Roman" w:cs="Times New Roman"/>
          <w:b/>
          <w:bCs/>
          <w:u w:val="single"/>
        </w:rPr>
        <w:t>proposed expansion in mid-June</w:t>
      </w:r>
      <w:r w:rsidR="00005C52" w:rsidRPr="008861CB">
        <w:rPr>
          <w:rFonts w:ascii="Times New Roman" w:hAnsi="Times New Roman" w:cs="Times New Roman"/>
          <w:b/>
          <w:bCs/>
          <w:u w:val="single"/>
        </w:rPr>
        <w:t xml:space="preserve"> 2025</w:t>
      </w:r>
      <w:r w:rsidR="008861CB">
        <w:rPr>
          <w:rFonts w:ascii="Times New Roman" w:hAnsi="Times New Roman" w:cs="Times New Roman"/>
          <w:b/>
          <w:bCs/>
        </w:rPr>
        <w:t xml:space="preserve"> </w:t>
      </w:r>
      <w:r w:rsidR="00005C52" w:rsidRPr="008861CB">
        <w:rPr>
          <w:rFonts w:ascii="Times New Roman" w:hAnsi="Times New Roman" w:cs="Times New Roman"/>
        </w:rPr>
        <w:t>of</w:t>
      </w:r>
      <w:r w:rsidR="00005C52">
        <w:rPr>
          <w:rFonts w:ascii="Times New Roman" w:hAnsi="Times New Roman" w:cs="Times New Roman"/>
        </w:rPr>
        <w:t xml:space="preserve"> mandatory e-filing in certain types of civil cases in Supreme Court, by agreement with County Clerks in 60 of the 62 counties (with the exception of Allegany and Erie Counties) in the following types of cases: </w:t>
      </w:r>
      <w:r w:rsidR="00005C52" w:rsidRPr="00005C52">
        <w:rPr>
          <w:rFonts w:ascii="Times New Roman" w:hAnsi="Times New Roman" w:cs="Times New Roman"/>
        </w:rPr>
        <w:t xml:space="preserve">CPLR Art. 70 proceedings </w:t>
      </w:r>
      <w:r w:rsidR="00005C52">
        <w:rPr>
          <w:rFonts w:ascii="Times New Roman" w:hAnsi="Times New Roman" w:cs="Times New Roman"/>
        </w:rPr>
        <w:t>,</w:t>
      </w:r>
      <w:r w:rsidR="00005C52" w:rsidRPr="00005C52">
        <w:rPr>
          <w:rFonts w:ascii="Times New Roman" w:hAnsi="Times New Roman" w:cs="Times New Roman"/>
        </w:rPr>
        <w:t xml:space="preserve"> CPLR Art. 78 proceedings</w:t>
      </w:r>
      <w:r w:rsidR="00005C52">
        <w:rPr>
          <w:rFonts w:ascii="Times New Roman" w:hAnsi="Times New Roman" w:cs="Times New Roman"/>
        </w:rPr>
        <w:t>,</w:t>
      </w:r>
      <w:r w:rsidR="00005C52" w:rsidRPr="00005C52">
        <w:rPr>
          <w:rFonts w:ascii="Times New Roman" w:hAnsi="Times New Roman" w:cs="Times New Roman"/>
        </w:rPr>
        <w:t xml:space="preserve"> Election Law proceedings</w:t>
      </w:r>
      <w:r w:rsidR="00005C52">
        <w:rPr>
          <w:rFonts w:ascii="Times New Roman" w:hAnsi="Times New Roman" w:cs="Times New Roman"/>
        </w:rPr>
        <w:t xml:space="preserve">, </w:t>
      </w:r>
      <w:r w:rsidR="00005C52" w:rsidRPr="00005C52">
        <w:rPr>
          <w:rFonts w:ascii="Times New Roman" w:hAnsi="Times New Roman" w:cs="Times New Roman"/>
        </w:rPr>
        <w:t>matrimonial matters</w:t>
      </w:r>
      <w:r w:rsidR="00005C52">
        <w:rPr>
          <w:rFonts w:ascii="Times New Roman" w:hAnsi="Times New Roman" w:cs="Times New Roman"/>
        </w:rPr>
        <w:t xml:space="preserve">, </w:t>
      </w:r>
      <w:r w:rsidR="00005C52" w:rsidRPr="00005C52">
        <w:rPr>
          <w:rFonts w:ascii="Times New Roman" w:hAnsi="Times New Roman" w:cs="Times New Roman"/>
        </w:rPr>
        <w:t>Mental Hygiene Law matters</w:t>
      </w:r>
      <w:r w:rsidR="00005C52">
        <w:rPr>
          <w:rFonts w:ascii="Times New Roman" w:hAnsi="Times New Roman" w:cs="Times New Roman"/>
        </w:rPr>
        <w:t xml:space="preserve">, </w:t>
      </w:r>
      <w:r w:rsidR="00005C52" w:rsidRPr="00005C52">
        <w:rPr>
          <w:rFonts w:ascii="Times New Roman" w:hAnsi="Times New Roman" w:cs="Times New Roman"/>
        </w:rPr>
        <w:t>consumer credit transactions as defined in CPLR 105(f)</w:t>
      </w:r>
      <w:r w:rsidR="00005C52">
        <w:rPr>
          <w:rFonts w:ascii="Times New Roman" w:hAnsi="Times New Roman" w:cs="Times New Roman"/>
        </w:rPr>
        <w:t>*,</w:t>
      </w:r>
      <w:r w:rsidR="00005C52" w:rsidRPr="00005C52">
        <w:rPr>
          <w:rFonts w:ascii="Times New Roman" w:hAnsi="Times New Roman" w:cs="Times New Roman"/>
        </w:rPr>
        <w:t xml:space="preserve"> residential foreclosure actions as defined in RPAPL 1304* (*for all subsequent documents filed</w:t>
      </w:r>
      <w:r w:rsidR="00005C52">
        <w:rPr>
          <w:rFonts w:ascii="Times New Roman" w:hAnsi="Times New Roman" w:cs="Times New Roman"/>
        </w:rPr>
        <w:t xml:space="preserve">). </w:t>
      </w:r>
      <w:r w:rsidR="00005C52" w:rsidRPr="00005C52">
        <w:rPr>
          <w:rFonts w:ascii="Times New Roman" w:hAnsi="Times New Roman" w:cs="Times New Roman"/>
          <w:b/>
          <w:bCs/>
          <w:u w:val="single"/>
        </w:rPr>
        <w:t>Public Comment is requested by May 30, 2025</w:t>
      </w:r>
      <w:r w:rsidR="00005C52">
        <w:rPr>
          <w:rFonts w:ascii="Times New Roman" w:hAnsi="Times New Roman" w:cs="Times New Roman"/>
        </w:rPr>
        <w:t xml:space="preserve">. The Memorandum may be found at </w:t>
      </w:r>
      <w:hyperlink r:id="rId9" w:history="1">
        <w:r w:rsidR="00005C52" w:rsidRPr="00005C52">
          <w:rPr>
            <w:rStyle w:val="Hyperlink"/>
            <w:rFonts w:ascii="Times New Roman" w:hAnsi="Times New Roman" w:cs="Times New Roman"/>
          </w:rPr>
          <w:t>E Filing Memo Supreme Court.pdf</w:t>
        </w:r>
      </w:hyperlink>
      <w:r w:rsidR="00005C52">
        <w:rPr>
          <w:rFonts w:ascii="Times New Roman" w:hAnsi="Times New Roman" w:cs="Times New Roman"/>
        </w:rPr>
        <w:t xml:space="preserve"> or by contacting the Supreme Court Clerk in your county.</w:t>
      </w:r>
    </w:p>
    <w:p w14:paraId="49174E58" w14:textId="77777777" w:rsidR="00005C52" w:rsidRDefault="00005C52" w:rsidP="00005C52">
      <w:pPr>
        <w:pStyle w:val="Heading2"/>
        <w:numPr>
          <w:ilvl w:val="0"/>
          <w:numId w:val="0"/>
        </w:numPr>
        <w:spacing w:line="240" w:lineRule="auto"/>
        <w:jc w:val="both"/>
      </w:pPr>
    </w:p>
    <w:p w14:paraId="70579B12" w14:textId="3ED2278F" w:rsidR="00A57CC7" w:rsidRDefault="00A57CC7" w:rsidP="003C7137">
      <w:pPr>
        <w:pStyle w:val="Heading2"/>
        <w:numPr>
          <w:ilvl w:val="0"/>
          <w:numId w:val="0"/>
        </w:numPr>
        <w:spacing w:line="240" w:lineRule="auto"/>
        <w:jc w:val="both"/>
        <w:rPr>
          <w:rFonts w:ascii="Times New Roman" w:hAnsi="Times New Roman" w:cs="Times New Roman"/>
          <w:b/>
          <w:bCs/>
        </w:rPr>
      </w:pPr>
      <w:r w:rsidRPr="00A47EC9">
        <w:rPr>
          <w:rFonts w:ascii="Times New Roman" w:hAnsi="Times New Roman" w:cs="Times New Roman"/>
          <w:b/>
          <w:bCs/>
        </w:rPr>
        <w:t>Rules of Professional Conduct – Amendments</w:t>
      </w:r>
    </w:p>
    <w:p w14:paraId="64494F72" w14:textId="77777777" w:rsidR="003C7137" w:rsidRPr="003C7137" w:rsidRDefault="003C7137" w:rsidP="003C7137">
      <w:pPr>
        <w:pStyle w:val="Heading2"/>
        <w:numPr>
          <w:ilvl w:val="0"/>
          <w:numId w:val="0"/>
        </w:numPr>
        <w:spacing w:line="240" w:lineRule="auto"/>
        <w:jc w:val="both"/>
        <w:rPr>
          <w:rFonts w:ascii="Times New Roman" w:hAnsi="Times New Roman" w:cs="Times New Roman"/>
          <w:b/>
          <w:bCs/>
          <w:u w:val="single"/>
        </w:rPr>
      </w:pPr>
    </w:p>
    <w:p w14:paraId="3F641D1D" w14:textId="6BE50170" w:rsidR="00A57CC7" w:rsidRDefault="00A57CC7" w:rsidP="00A57CC7">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By joint order of the Appellate Divisions </w:t>
      </w:r>
      <w:r w:rsidRPr="00A47EC9">
        <w:rPr>
          <w:rFonts w:ascii="Times New Roman" w:hAnsi="Times New Roman" w:cs="Times New Roman"/>
          <w:b/>
          <w:bCs/>
          <w:u w:val="single"/>
        </w:rPr>
        <w:t>effective January 1, 2025</w:t>
      </w:r>
      <w:r>
        <w:rPr>
          <w:rFonts w:ascii="Times New Roman" w:hAnsi="Times New Roman" w:cs="Times New Roman"/>
        </w:rPr>
        <w:t xml:space="preserve">, 22 NYCRR Part 1200 (Rules of Professional Conduct), Rule 1.10 (Imputation of Conflicts of Interest) and Rule 3.4 (Fairness to Opposing Party and Counsel), </w:t>
      </w:r>
      <w:r w:rsidRPr="00A47EC9">
        <w:rPr>
          <w:rFonts w:ascii="Times New Roman" w:hAnsi="Times New Roman" w:cs="Times New Roman"/>
          <w:b/>
          <w:bCs/>
          <w:u w:val="single"/>
        </w:rPr>
        <w:t>are amended</w:t>
      </w:r>
      <w:r>
        <w:rPr>
          <w:rFonts w:ascii="Times New Roman" w:hAnsi="Times New Roman" w:cs="Times New Roman"/>
        </w:rPr>
        <w:t xml:space="preserve">. For an informative article, see Tyler </w:t>
      </w:r>
      <w:proofErr w:type="spellStart"/>
      <w:r>
        <w:rPr>
          <w:rFonts w:ascii="Times New Roman" w:hAnsi="Times New Roman" w:cs="Times New Roman"/>
        </w:rPr>
        <w:t>Maulsby</w:t>
      </w:r>
      <w:proofErr w:type="spellEnd"/>
      <w:r>
        <w:rPr>
          <w:rFonts w:ascii="Times New Roman" w:hAnsi="Times New Roman" w:cs="Times New Roman"/>
        </w:rPr>
        <w:t xml:space="preserve">, “Key Amendments to the New York Rules of Professional Conduct,” </w:t>
      </w:r>
      <w:r w:rsidRPr="005D3537">
        <w:rPr>
          <w:rFonts w:ascii="Times New Roman" w:hAnsi="Times New Roman" w:cs="Times New Roman"/>
          <w:u w:val="single"/>
        </w:rPr>
        <w:t>New York Law Journal</w:t>
      </w:r>
      <w:r>
        <w:rPr>
          <w:rFonts w:ascii="Times New Roman" w:hAnsi="Times New Roman" w:cs="Times New Roman"/>
        </w:rPr>
        <w:t>, Apr. 1, 2025.</w:t>
      </w:r>
    </w:p>
    <w:p w14:paraId="6FE17424" w14:textId="0C27C2F4" w:rsidR="004E578D" w:rsidRPr="001F5293" w:rsidRDefault="00191C80" w:rsidP="001D5634">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r>
    </w:p>
    <w:p w14:paraId="2FDE7D7B" w14:textId="77777777" w:rsidR="00FF5153" w:rsidRDefault="00FF5153" w:rsidP="0039601B">
      <w:pPr>
        <w:pStyle w:val="Heading2"/>
        <w:numPr>
          <w:ilvl w:val="0"/>
          <w:numId w:val="0"/>
        </w:numPr>
        <w:spacing w:line="240" w:lineRule="auto"/>
        <w:rPr>
          <w:rFonts w:ascii="Times New Roman" w:hAnsi="Times New Roman" w:cs="Times New Roman"/>
          <w:b/>
          <w:bCs/>
        </w:rPr>
      </w:pPr>
    </w:p>
    <w:p w14:paraId="782CEC95" w14:textId="66B93CDF" w:rsidR="00BF67C7" w:rsidRPr="0089226B" w:rsidRDefault="00BF67C7" w:rsidP="0039601B">
      <w:pPr>
        <w:pStyle w:val="Heading2"/>
        <w:numPr>
          <w:ilvl w:val="0"/>
          <w:numId w:val="0"/>
        </w:numPr>
        <w:spacing w:line="240" w:lineRule="auto"/>
        <w:jc w:val="both"/>
      </w:pPr>
    </w:p>
    <w:p w14:paraId="7D099A19" w14:textId="215D0A9E" w:rsidR="004F34EE" w:rsidRPr="00A279E6" w:rsidRDefault="004F34EE" w:rsidP="00AA33D7">
      <w:pPr>
        <w:pStyle w:val="Heading2"/>
        <w:numPr>
          <w:ilvl w:val="0"/>
          <w:numId w:val="0"/>
        </w:numPr>
        <w:jc w:val="both"/>
        <w:rPr>
          <w:b/>
          <w:bCs/>
        </w:rPr>
      </w:pPr>
    </w:p>
    <w:sectPr w:rsidR="004F34EE" w:rsidRPr="00A279E6" w:rsidSect="0000028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F380F" w14:textId="77777777" w:rsidR="00690935" w:rsidRDefault="00690935" w:rsidP="0013568D">
      <w:pPr>
        <w:spacing w:after="0" w:line="240" w:lineRule="auto"/>
      </w:pPr>
      <w:r>
        <w:separator/>
      </w:r>
    </w:p>
  </w:endnote>
  <w:endnote w:type="continuationSeparator" w:id="0">
    <w:p w14:paraId="2FD94A90" w14:textId="77777777" w:rsidR="00690935" w:rsidRDefault="00690935"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533471"/>
      <w:docPartObj>
        <w:docPartGallery w:val="Page Numbers (Bottom of Page)"/>
        <w:docPartUnique/>
      </w:docPartObj>
    </w:sdtPr>
    <w:sdtEndPr/>
    <w:sdtContent>
      <w:sdt>
        <w:sdtPr>
          <w:id w:val="-1769616900"/>
          <w:docPartObj>
            <w:docPartGallery w:val="Page Numbers (Top of Page)"/>
            <w:docPartUnique/>
          </w:docPartObj>
        </w:sdtPr>
        <w:sdtEndPr/>
        <w:sdtContent>
          <w:p w14:paraId="550BA402" w14:textId="179B373F" w:rsidR="0013568D" w:rsidRDefault="004C3C81">
            <w:pPr>
              <w:pStyle w:val="Footer"/>
              <w:jc w:val="right"/>
            </w:pPr>
            <w:r w:rsidRPr="004C3C81">
              <w:rPr>
                <w:b/>
                <w:bCs/>
                <w:i/>
                <w:iCs/>
              </w:rPr>
              <w:t>NYSBA Family Law Section Update</w:t>
            </w:r>
            <w:r w:rsidR="00434674" w:rsidRPr="004C3C81">
              <w:rPr>
                <w:b/>
                <w:bCs/>
                <w:i/>
                <w:iCs/>
              </w:rPr>
              <w:t>,</w:t>
            </w:r>
            <w:r w:rsidR="00013D0E" w:rsidRPr="00351E36">
              <w:rPr>
                <w:b/>
                <w:bCs/>
                <w:i/>
                <w:iCs/>
              </w:rPr>
              <w:t xml:space="preserve"> </w:t>
            </w:r>
            <w:r w:rsidR="00FB3FB4">
              <w:rPr>
                <w:b/>
                <w:bCs/>
                <w:i/>
                <w:iCs/>
              </w:rPr>
              <w:t>May</w:t>
            </w:r>
            <w:r w:rsidR="00CA063D">
              <w:rPr>
                <w:b/>
                <w:bCs/>
                <w:i/>
                <w:iCs/>
              </w:rPr>
              <w:t xml:space="preserve"> </w:t>
            </w:r>
            <w:r w:rsidR="00013D0E" w:rsidRPr="00351E36">
              <w:rPr>
                <w:b/>
                <w:bCs/>
                <w:i/>
                <w:iCs/>
              </w:rPr>
              <w:t>2025</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866C" w14:textId="77777777" w:rsidR="00690935" w:rsidRDefault="00690935" w:rsidP="0013568D">
      <w:pPr>
        <w:spacing w:after="0" w:line="240" w:lineRule="auto"/>
      </w:pPr>
      <w:r>
        <w:separator/>
      </w:r>
    </w:p>
  </w:footnote>
  <w:footnote w:type="continuationSeparator" w:id="0">
    <w:p w14:paraId="54F4DC0F" w14:textId="77777777" w:rsidR="00690935" w:rsidRDefault="00690935"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 w:numId="2" w16cid:durableId="12019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8822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855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1707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5100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0063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FED"/>
    <w:rsid w:val="00005C52"/>
    <w:rsid w:val="00013D0E"/>
    <w:rsid w:val="000254B3"/>
    <w:rsid w:val="00030C5E"/>
    <w:rsid w:val="00030E7B"/>
    <w:rsid w:val="000322B8"/>
    <w:rsid w:val="00032EA3"/>
    <w:rsid w:val="00033C3A"/>
    <w:rsid w:val="000404FD"/>
    <w:rsid w:val="00041C00"/>
    <w:rsid w:val="00047F89"/>
    <w:rsid w:val="00051512"/>
    <w:rsid w:val="00052C0D"/>
    <w:rsid w:val="000540AA"/>
    <w:rsid w:val="000551E0"/>
    <w:rsid w:val="0005543C"/>
    <w:rsid w:val="000625A6"/>
    <w:rsid w:val="00062CD7"/>
    <w:rsid w:val="000654AE"/>
    <w:rsid w:val="00066217"/>
    <w:rsid w:val="00066226"/>
    <w:rsid w:val="000662E8"/>
    <w:rsid w:val="00066D9F"/>
    <w:rsid w:val="0006780C"/>
    <w:rsid w:val="000700E4"/>
    <w:rsid w:val="00071082"/>
    <w:rsid w:val="00071B05"/>
    <w:rsid w:val="0007559B"/>
    <w:rsid w:val="00076A51"/>
    <w:rsid w:val="00076AAD"/>
    <w:rsid w:val="000827AF"/>
    <w:rsid w:val="00085BF5"/>
    <w:rsid w:val="00086653"/>
    <w:rsid w:val="000905EB"/>
    <w:rsid w:val="00091F6C"/>
    <w:rsid w:val="00093E1C"/>
    <w:rsid w:val="00096BC4"/>
    <w:rsid w:val="000A116B"/>
    <w:rsid w:val="000A6E42"/>
    <w:rsid w:val="000B032A"/>
    <w:rsid w:val="000B21E3"/>
    <w:rsid w:val="000B536B"/>
    <w:rsid w:val="000B64E3"/>
    <w:rsid w:val="000C5DFF"/>
    <w:rsid w:val="000D0CED"/>
    <w:rsid w:val="000D0EE5"/>
    <w:rsid w:val="000D110E"/>
    <w:rsid w:val="000D1406"/>
    <w:rsid w:val="000D2940"/>
    <w:rsid w:val="000D4808"/>
    <w:rsid w:val="000D69D6"/>
    <w:rsid w:val="000D6BCA"/>
    <w:rsid w:val="000D7ADC"/>
    <w:rsid w:val="000E242F"/>
    <w:rsid w:val="000F050B"/>
    <w:rsid w:val="000F1214"/>
    <w:rsid w:val="000F2339"/>
    <w:rsid w:val="000F286B"/>
    <w:rsid w:val="000F3158"/>
    <w:rsid w:val="000F3A58"/>
    <w:rsid w:val="000F47EE"/>
    <w:rsid w:val="0010284B"/>
    <w:rsid w:val="00105D6C"/>
    <w:rsid w:val="00107716"/>
    <w:rsid w:val="00110B69"/>
    <w:rsid w:val="00111B35"/>
    <w:rsid w:val="0011428F"/>
    <w:rsid w:val="00116A8B"/>
    <w:rsid w:val="001248D2"/>
    <w:rsid w:val="001270FF"/>
    <w:rsid w:val="0013228F"/>
    <w:rsid w:val="001334B5"/>
    <w:rsid w:val="00133775"/>
    <w:rsid w:val="00135004"/>
    <w:rsid w:val="0013568D"/>
    <w:rsid w:val="00137E75"/>
    <w:rsid w:val="0014019F"/>
    <w:rsid w:val="00142D95"/>
    <w:rsid w:val="00144E14"/>
    <w:rsid w:val="001611AD"/>
    <w:rsid w:val="001626DE"/>
    <w:rsid w:val="00162DC8"/>
    <w:rsid w:val="00164586"/>
    <w:rsid w:val="00166C26"/>
    <w:rsid w:val="00171E6E"/>
    <w:rsid w:val="001758DF"/>
    <w:rsid w:val="00177866"/>
    <w:rsid w:val="0018302A"/>
    <w:rsid w:val="00186704"/>
    <w:rsid w:val="001903F1"/>
    <w:rsid w:val="00191BDF"/>
    <w:rsid w:val="00191C80"/>
    <w:rsid w:val="00192EA0"/>
    <w:rsid w:val="00195367"/>
    <w:rsid w:val="00196B70"/>
    <w:rsid w:val="00197828"/>
    <w:rsid w:val="001A41F3"/>
    <w:rsid w:val="001A729B"/>
    <w:rsid w:val="001B09C1"/>
    <w:rsid w:val="001B1566"/>
    <w:rsid w:val="001B19AC"/>
    <w:rsid w:val="001B28C0"/>
    <w:rsid w:val="001B66E4"/>
    <w:rsid w:val="001B67A5"/>
    <w:rsid w:val="001C238D"/>
    <w:rsid w:val="001D2A73"/>
    <w:rsid w:val="001D32E2"/>
    <w:rsid w:val="001D3CE2"/>
    <w:rsid w:val="001D4E49"/>
    <w:rsid w:val="001D5634"/>
    <w:rsid w:val="001D5F96"/>
    <w:rsid w:val="001D7603"/>
    <w:rsid w:val="001E1071"/>
    <w:rsid w:val="001E5734"/>
    <w:rsid w:val="001E60EC"/>
    <w:rsid w:val="001E6ACC"/>
    <w:rsid w:val="001E6C91"/>
    <w:rsid w:val="001F1D15"/>
    <w:rsid w:val="001F1EAC"/>
    <w:rsid w:val="001F3A03"/>
    <w:rsid w:val="001F4407"/>
    <w:rsid w:val="001F4CBA"/>
    <w:rsid w:val="00200A25"/>
    <w:rsid w:val="00200D26"/>
    <w:rsid w:val="0020544D"/>
    <w:rsid w:val="00211262"/>
    <w:rsid w:val="00211575"/>
    <w:rsid w:val="00212037"/>
    <w:rsid w:val="002140D9"/>
    <w:rsid w:val="0021690E"/>
    <w:rsid w:val="00222428"/>
    <w:rsid w:val="00231ABD"/>
    <w:rsid w:val="002366B4"/>
    <w:rsid w:val="00236893"/>
    <w:rsid w:val="002418FB"/>
    <w:rsid w:val="002442F7"/>
    <w:rsid w:val="00245175"/>
    <w:rsid w:val="00250F9D"/>
    <w:rsid w:val="002539EE"/>
    <w:rsid w:val="00255048"/>
    <w:rsid w:val="00260F81"/>
    <w:rsid w:val="00263553"/>
    <w:rsid w:val="002635EA"/>
    <w:rsid w:val="002640C3"/>
    <w:rsid w:val="00264B31"/>
    <w:rsid w:val="00264D9B"/>
    <w:rsid w:val="00264DB3"/>
    <w:rsid w:val="00265850"/>
    <w:rsid w:val="0026604F"/>
    <w:rsid w:val="00266CF4"/>
    <w:rsid w:val="00274E69"/>
    <w:rsid w:val="0027645F"/>
    <w:rsid w:val="00277304"/>
    <w:rsid w:val="00277940"/>
    <w:rsid w:val="002844E5"/>
    <w:rsid w:val="00285163"/>
    <w:rsid w:val="0028627A"/>
    <w:rsid w:val="00286DA7"/>
    <w:rsid w:val="002875C4"/>
    <w:rsid w:val="00287C90"/>
    <w:rsid w:val="0029176C"/>
    <w:rsid w:val="00295975"/>
    <w:rsid w:val="00296312"/>
    <w:rsid w:val="002A0635"/>
    <w:rsid w:val="002A378A"/>
    <w:rsid w:val="002A417E"/>
    <w:rsid w:val="002B2655"/>
    <w:rsid w:val="002B3C7F"/>
    <w:rsid w:val="002C0242"/>
    <w:rsid w:val="002C0F9A"/>
    <w:rsid w:val="002C1D9B"/>
    <w:rsid w:val="002C34BB"/>
    <w:rsid w:val="002C371B"/>
    <w:rsid w:val="002C38DD"/>
    <w:rsid w:val="002C408C"/>
    <w:rsid w:val="002C4256"/>
    <w:rsid w:val="002D194C"/>
    <w:rsid w:val="002D21B9"/>
    <w:rsid w:val="002D45D9"/>
    <w:rsid w:val="002D4C74"/>
    <w:rsid w:val="002D6348"/>
    <w:rsid w:val="002D78E1"/>
    <w:rsid w:val="002E01D4"/>
    <w:rsid w:val="002E1728"/>
    <w:rsid w:val="002E2596"/>
    <w:rsid w:val="002F03B1"/>
    <w:rsid w:val="002F1517"/>
    <w:rsid w:val="002F23FB"/>
    <w:rsid w:val="002F473E"/>
    <w:rsid w:val="002F50D8"/>
    <w:rsid w:val="002F7615"/>
    <w:rsid w:val="00300748"/>
    <w:rsid w:val="00302F0A"/>
    <w:rsid w:val="00303952"/>
    <w:rsid w:val="00304190"/>
    <w:rsid w:val="00316AE4"/>
    <w:rsid w:val="00316B46"/>
    <w:rsid w:val="003208C8"/>
    <w:rsid w:val="00321869"/>
    <w:rsid w:val="0032713C"/>
    <w:rsid w:val="00331173"/>
    <w:rsid w:val="003374BD"/>
    <w:rsid w:val="003415F7"/>
    <w:rsid w:val="00341AB2"/>
    <w:rsid w:val="003433C5"/>
    <w:rsid w:val="00344411"/>
    <w:rsid w:val="00351E36"/>
    <w:rsid w:val="0035715C"/>
    <w:rsid w:val="00362AAA"/>
    <w:rsid w:val="0036502B"/>
    <w:rsid w:val="00365549"/>
    <w:rsid w:val="0037175C"/>
    <w:rsid w:val="00371823"/>
    <w:rsid w:val="00374C34"/>
    <w:rsid w:val="00375AF9"/>
    <w:rsid w:val="00375E4B"/>
    <w:rsid w:val="00381CBC"/>
    <w:rsid w:val="0038342C"/>
    <w:rsid w:val="003861E9"/>
    <w:rsid w:val="00387D11"/>
    <w:rsid w:val="0039326A"/>
    <w:rsid w:val="0039379B"/>
    <w:rsid w:val="00393A13"/>
    <w:rsid w:val="0039601B"/>
    <w:rsid w:val="003A0196"/>
    <w:rsid w:val="003A3A37"/>
    <w:rsid w:val="003A4E0D"/>
    <w:rsid w:val="003A521A"/>
    <w:rsid w:val="003A58AF"/>
    <w:rsid w:val="003A73BE"/>
    <w:rsid w:val="003B1027"/>
    <w:rsid w:val="003B3BC9"/>
    <w:rsid w:val="003B3D44"/>
    <w:rsid w:val="003B533E"/>
    <w:rsid w:val="003B7088"/>
    <w:rsid w:val="003C0C3C"/>
    <w:rsid w:val="003C2789"/>
    <w:rsid w:val="003C531D"/>
    <w:rsid w:val="003C5858"/>
    <w:rsid w:val="003C7137"/>
    <w:rsid w:val="003D151D"/>
    <w:rsid w:val="003D2FB1"/>
    <w:rsid w:val="003D7C08"/>
    <w:rsid w:val="003E12C1"/>
    <w:rsid w:val="003E16B9"/>
    <w:rsid w:val="003E5A82"/>
    <w:rsid w:val="003E5E58"/>
    <w:rsid w:val="003F3EFE"/>
    <w:rsid w:val="003F4BBA"/>
    <w:rsid w:val="00401CF6"/>
    <w:rsid w:val="00402074"/>
    <w:rsid w:val="004027AB"/>
    <w:rsid w:val="00403DB6"/>
    <w:rsid w:val="004055E6"/>
    <w:rsid w:val="00405D6A"/>
    <w:rsid w:val="00406B54"/>
    <w:rsid w:val="00412122"/>
    <w:rsid w:val="00412E43"/>
    <w:rsid w:val="0042070D"/>
    <w:rsid w:val="0042173F"/>
    <w:rsid w:val="00423B86"/>
    <w:rsid w:val="00424D96"/>
    <w:rsid w:val="0043007A"/>
    <w:rsid w:val="00433165"/>
    <w:rsid w:val="00434674"/>
    <w:rsid w:val="00436002"/>
    <w:rsid w:val="00436C6A"/>
    <w:rsid w:val="004403EA"/>
    <w:rsid w:val="00441764"/>
    <w:rsid w:val="0044182D"/>
    <w:rsid w:val="00442B12"/>
    <w:rsid w:val="00442E95"/>
    <w:rsid w:val="00443DF1"/>
    <w:rsid w:val="00445701"/>
    <w:rsid w:val="00445B42"/>
    <w:rsid w:val="00447881"/>
    <w:rsid w:val="00455A34"/>
    <w:rsid w:val="00456862"/>
    <w:rsid w:val="00460089"/>
    <w:rsid w:val="0046490D"/>
    <w:rsid w:val="00466410"/>
    <w:rsid w:val="00474065"/>
    <w:rsid w:val="004773F0"/>
    <w:rsid w:val="00480909"/>
    <w:rsid w:val="0048175B"/>
    <w:rsid w:val="004817E1"/>
    <w:rsid w:val="00487D28"/>
    <w:rsid w:val="00490C4F"/>
    <w:rsid w:val="0049268A"/>
    <w:rsid w:val="004A1A7F"/>
    <w:rsid w:val="004A26C8"/>
    <w:rsid w:val="004A40BC"/>
    <w:rsid w:val="004B1E3E"/>
    <w:rsid w:val="004B23DB"/>
    <w:rsid w:val="004B5BF7"/>
    <w:rsid w:val="004B6E26"/>
    <w:rsid w:val="004C11F7"/>
    <w:rsid w:val="004C1B2A"/>
    <w:rsid w:val="004C3C81"/>
    <w:rsid w:val="004C6309"/>
    <w:rsid w:val="004C6FEA"/>
    <w:rsid w:val="004D122F"/>
    <w:rsid w:val="004D1831"/>
    <w:rsid w:val="004D1B2F"/>
    <w:rsid w:val="004D2AAD"/>
    <w:rsid w:val="004D348C"/>
    <w:rsid w:val="004D3CD1"/>
    <w:rsid w:val="004D5479"/>
    <w:rsid w:val="004E0119"/>
    <w:rsid w:val="004E02BA"/>
    <w:rsid w:val="004E304C"/>
    <w:rsid w:val="004E3DE2"/>
    <w:rsid w:val="004E578D"/>
    <w:rsid w:val="004F183D"/>
    <w:rsid w:val="004F1E58"/>
    <w:rsid w:val="004F2B31"/>
    <w:rsid w:val="004F34EE"/>
    <w:rsid w:val="0050045E"/>
    <w:rsid w:val="00503467"/>
    <w:rsid w:val="00504AA4"/>
    <w:rsid w:val="005061E0"/>
    <w:rsid w:val="00523DA5"/>
    <w:rsid w:val="005244CF"/>
    <w:rsid w:val="005254EB"/>
    <w:rsid w:val="00525DC5"/>
    <w:rsid w:val="0052614B"/>
    <w:rsid w:val="00531535"/>
    <w:rsid w:val="00532B1B"/>
    <w:rsid w:val="00532BC6"/>
    <w:rsid w:val="00534D55"/>
    <w:rsid w:val="00534ECF"/>
    <w:rsid w:val="005409A9"/>
    <w:rsid w:val="00540FC7"/>
    <w:rsid w:val="005426CC"/>
    <w:rsid w:val="005428A6"/>
    <w:rsid w:val="0054330B"/>
    <w:rsid w:val="00543617"/>
    <w:rsid w:val="00543D1C"/>
    <w:rsid w:val="00552F80"/>
    <w:rsid w:val="005547A4"/>
    <w:rsid w:val="00557CD2"/>
    <w:rsid w:val="00561B60"/>
    <w:rsid w:val="005636F9"/>
    <w:rsid w:val="0056461A"/>
    <w:rsid w:val="0057264C"/>
    <w:rsid w:val="00574051"/>
    <w:rsid w:val="00574618"/>
    <w:rsid w:val="005750C3"/>
    <w:rsid w:val="005764AE"/>
    <w:rsid w:val="005767B5"/>
    <w:rsid w:val="005834BD"/>
    <w:rsid w:val="0058461B"/>
    <w:rsid w:val="00587C83"/>
    <w:rsid w:val="00590397"/>
    <w:rsid w:val="00591B5A"/>
    <w:rsid w:val="00591FEA"/>
    <w:rsid w:val="00593428"/>
    <w:rsid w:val="005941DF"/>
    <w:rsid w:val="0059627F"/>
    <w:rsid w:val="0059679A"/>
    <w:rsid w:val="005A14E6"/>
    <w:rsid w:val="005A20B1"/>
    <w:rsid w:val="005A43BD"/>
    <w:rsid w:val="005A63C9"/>
    <w:rsid w:val="005B0F11"/>
    <w:rsid w:val="005B40E1"/>
    <w:rsid w:val="005B4A10"/>
    <w:rsid w:val="005C0C8C"/>
    <w:rsid w:val="005C3139"/>
    <w:rsid w:val="005C4305"/>
    <w:rsid w:val="005C5D5A"/>
    <w:rsid w:val="005C7097"/>
    <w:rsid w:val="005C75EE"/>
    <w:rsid w:val="005D137C"/>
    <w:rsid w:val="005D1A9A"/>
    <w:rsid w:val="005D528C"/>
    <w:rsid w:val="005D7B18"/>
    <w:rsid w:val="005E3BFD"/>
    <w:rsid w:val="005F11C0"/>
    <w:rsid w:val="005F4375"/>
    <w:rsid w:val="005F4E5A"/>
    <w:rsid w:val="005F523E"/>
    <w:rsid w:val="005F53C7"/>
    <w:rsid w:val="006001EC"/>
    <w:rsid w:val="006008DC"/>
    <w:rsid w:val="006041F0"/>
    <w:rsid w:val="00604BBE"/>
    <w:rsid w:val="006074D7"/>
    <w:rsid w:val="006207B6"/>
    <w:rsid w:val="006244B6"/>
    <w:rsid w:val="00624BFB"/>
    <w:rsid w:val="006250E1"/>
    <w:rsid w:val="00626431"/>
    <w:rsid w:val="006268E6"/>
    <w:rsid w:val="006275BD"/>
    <w:rsid w:val="00631D12"/>
    <w:rsid w:val="00631E50"/>
    <w:rsid w:val="00632DF8"/>
    <w:rsid w:val="00633F7B"/>
    <w:rsid w:val="0063482D"/>
    <w:rsid w:val="00637907"/>
    <w:rsid w:val="0064076C"/>
    <w:rsid w:val="0064131D"/>
    <w:rsid w:val="00641967"/>
    <w:rsid w:val="006446D9"/>
    <w:rsid w:val="00646820"/>
    <w:rsid w:val="006503C8"/>
    <w:rsid w:val="00652EDA"/>
    <w:rsid w:val="00653C6D"/>
    <w:rsid w:val="00654971"/>
    <w:rsid w:val="00654EDC"/>
    <w:rsid w:val="00655DF5"/>
    <w:rsid w:val="00660DA3"/>
    <w:rsid w:val="0066211F"/>
    <w:rsid w:val="00662472"/>
    <w:rsid w:val="00662C8E"/>
    <w:rsid w:val="00673005"/>
    <w:rsid w:val="00674FBC"/>
    <w:rsid w:val="006768D4"/>
    <w:rsid w:val="0067755D"/>
    <w:rsid w:val="006806C2"/>
    <w:rsid w:val="00681041"/>
    <w:rsid w:val="00681FF3"/>
    <w:rsid w:val="00682416"/>
    <w:rsid w:val="00682F58"/>
    <w:rsid w:val="00684C18"/>
    <w:rsid w:val="00687A35"/>
    <w:rsid w:val="00690935"/>
    <w:rsid w:val="006909C0"/>
    <w:rsid w:val="00690AAF"/>
    <w:rsid w:val="00691C58"/>
    <w:rsid w:val="006930CE"/>
    <w:rsid w:val="00693AB6"/>
    <w:rsid w:val="00695392"/>
    <w:rsid w:val="00696AF5"/>
    <w:rsid w:val="006976EF"/>
    <w:rsid w:val="006976F6"/>
    <w:rsid w:val="0069775F"/>
    <w:rsid w:val="006A1E72"/>
    <w:rsid w:val="006A51E4"/>
    <w:rsid w:val="006A543B"/>
    <w:rsid w:val="006A5A7F"/>
    <w:rsid w:val="006A655C"/>
    <w:rsid w:val="006B4BE8"/>
    <w:rsid w:val="006C650A"/>
    <w:rsid w:val="006D0E76"/>
    <w:rsid w:val="006D181B"/>
    <w:rsid w:val="006E457A"/>
    <w:rsid w:val="006E4AE6"/>
    <w:rsid w:val="006E5D5C"/>
    <w:rsid w:val="006E64B0"/>
    <w:rsid w:val="006F28E2"/>
    <w:rsid w:val="006F2B5D"/>
    <w:rsid w:val="006F39E4"/>
    <w:rsid w:val="006F4972"/>
    <w:rsid w:val="006F6113"/>
    <w:rsid w:val="00704457"/>
    <w:rsid w:val="0070449D"/>
    <w:rsid w:val="007058D9"/>
    <w:rsid w:val="00711785"/>
    <w:rsid w:val="00712602"/>
    <w:rsid w:val="00713918"/>
    <w:rsid w:val="007165EB"/>
    <w:rsid w:val="00722019"/>
    <w:rsid w:val="00722A55"/>
    <w:rsid w:val="007261F7"/>
    <w:rsid w:val="00726C77"/>
    <w:rsid w:val="00727088"/>
    <w:rsid w:val="007333D3"/>
    <w:rsid w:val="00734B55"/>
    <w:rsid w:val="00741F62"/>
    <w:rsid w:val="00743824"/>
    <w:rsid w:val="007479BB"/>
    <w:rsid w:val="00750118"/>
    <w:rsid w:val="00750B3D"/>
    <w:rsid w:val="00752151"/>
    <w:rsid w:val="007522E2"/>
    <w:rsid w:val="00753F42"/>
    <w:rsid w:val="00754F0F"/>
    <w:rsid w:val="00755DD0"/>
    <w:rsid w:val="0075779E"/>
    <w:rsid w:val="007604D9"/>
    <w:rsid w:val="007627B6"/>
    <w:rsid w:val="00772BC3"/>
    <w:rsid w:val="0077356F"/>
    <w:rsid w:val="007741D3"/>
    <w:rsid w:val="00774719"/>
    <w:rsid w:val="0077478E"/>
    <w:rsid w:val="007773D2"/>
    <w:rsid w:val="00783A91"/>
    <w:rsid w:val="00783B98"/>
    <w:rsid w:val="00792C72"/>
    <w:rsid w:val="00793B25"/>
    <w:rsid w:val="0079413E"/>
    <w:rsid w:val="0079600E"/>
    <w:rsid w:val="007A12A9"/>
    <w:rsid w:val="007A2D12"/>
    <w:rsid w:val="007B0927"/>
    <w:rsid w:val="007B1F53"/>
    <w:rsid w:val="007B398A"/>
    <w:rsid w:val="007B599D"/>
    <w:rsid w:val="007B7631"/>
    <w:rsid w:val="007B7D13"/>
    <w:rsid w:val="007C746B"/>
    <w:rsid w:val="007C7ACA"/>
    <w:rsid w:val="007D26EF"/>
    <w:rsid w:val="007D43E5"/>
    <w:rsid w:val="007D5697"/>
    <w:rsid w:val="007D64B6"/>
    <w:rsid w:val="007D66D6"/>
    <w:rsid w:val="007D6956"/>
    <w:rsid w:val="007D7789"/>
    <w:rsid w:val="007E0AFE"/>
    <w:rsid w:val="007E5221"/>
    <w:rsid w:val="007E7E51"/>
    <w:rsid w:val="007E7ECB"/>
    <w:rsid w:val="007F0353"/>
    <w:rsid w:val="007F0FAA"/>
    <w:rsid w:val="007F0FE7"/>
    <w:rsid w:val="007F1901"/>
    <w:rsid w:val="007F2E6D"/>
    <w:rsid w:val="007F367F"/>
    <w:rsid w:val="007F36DF"/>
    <w:rsid w:val="007F3A6D"/>
    <w:rsid w:val="00801E66"/>
    <w:rsid w:val="00802BC6"/>
    <w:rsid w:val="00805174"/>
    <w:rsid w:val="0080674A"/>
    <w:rsid w:val="008076B1"/>
    <w:rsid w:val="00813A43"/>
    <w:rsid w:val="00815927"/>
    <w:rsid w:val="00817ADB"/>
    <w:rsid w:val="00822735"/>
    <w:rsid w:val="008256BC"/>
    <w:rsid w:val="00831BF4"/>
    <w:rsid w:val="0083296D"/>
    <w:rsid w:val="00832EE4"/>
    <w:rsid w:val="0083549F"/>
    <w:rsid w:val="008368B0"/>
    <w:rsid w:val="008370E9"/>
    <w:rsid w:val="00837EF3"/>
    <w:rsid w:val="00840290"/>
    <w:rsid w:val="0084153B"/>
    <w:rsid w:val="00841F77"/>
    <w:rsid w:val="0084456A"/>
    <w:rsid w:val="00844D77"/>
    <w:rsid w:val="00845B5C"/>
    <w:rsid w:val="00846723"/>
    <w:rsid w:val="00850E04"/>
    <w:rsid w:val="008539B2"/>
    <w:rsid w:val="00855452"/>
    <w:rsid w:val="00857BC9"/>
    <w:rsid w:val="00862943"/>
    <w:rsid w:val="008861CB"/>
    <w:rsid w:val="0089226B"/>
    <w:rsid w:val="00893F63"/>
    <w:rsid w:val="00897F14"/>
    <w:rsid w:val="00897F26"/>
    <w:rsid w:val="008A11BF"/>
    <w:rsid w:val="008B0051"/>
    <w:rsid w:val="008B2B87"/>
    <w:rsid w:val="008B4AF2"/>
    <w:rsid w:val="008B56BA"/>
    <w:rsid w:val="008C05AE"/>
    <w:rsid w:val="008C189C"/>
    <w:rsid w:val="008C2582"/>
    <w:rsid w:val="008C651D"/>
    <w:rsid w:val="008C715C"/>
    <w:rsid w:val="008D5F44"/>
    <w:rsid w:val="008D5F89"/>
    <w:rsid w:val="008E3966"/>
    <w:rsid w:val="008E4B3B"/>
    <w:rsid w:val="008F1A67"/>
    <w:rsid w:val="008F23F2"/>
    <w:rsid w:val="008F5B45"/>
    <w:rsid w:val="00900466"/>
    <w:rsid w:val="00900D3C"/>
    <w:rsid w:val="00900E49"/>
    <w:rsid w:val="0090215F"/>
    <w:rsid w:val="009048AC"/>
    <w:rsid w:val="009055B2"/>
    <w:rsid w:val="00905997"/>
    <w:rsid w:val="00915DEF"/>
    <w:rsid w:val="00916690"/>
    <w:rsid w:val="00922813"/>
    <w:rsid w:val="00925C96"/>
    <w:rsid w:val="00926438"/>
    <w:rsid w:val="00926952"/>
    <w:rsid w:val="00932F6F"/>
    <w:rsid w:val="0094100B"/>
    <w:rsid w:val="0094307B"/>
    <w:rsid w:val="009463C2"/>
    <w:rsid w:val="00946656"/>
    <w:rsid w:val="009479C7"/>
    <w:rsid w:val="00952C6E"/>
    <w:rsid w:val="00952D57"/>
    <w:rsid w:val="00954676"/>
    <w:rsid w:val="00955C58"/>
    <w:rsid w:val="00956A11"/>
    <w:rsid w:val="009573A3"/>
    <w:rsid w:val="00960F1C"/>
    <w:rsid w:val="00963446"/>
    <w:rsid w:val="009636EE"/>
    <w:rsid w:val="009646B0"/>
    <w:rsid w:val="009719A3"/>
    <w:rsid w:val="0097513C"/>
    <w:rsid w:val="00975A07"/>
    <w:rsid w:val="009775DF"/>
    <w:rsid w:val="00983212"/>
    <w:rsid w:val="0098400E"/>
    <w:rsid w:val="00990D77"/>
    <w:rsid w:val="0099446A"/>
    <w:rsid w:val="00994F89"/>
    <w:rsid w:val="00997FA9"/>
    <w:rsid w:val="009A29BF"/>
    <w:rsid w:val="009A4576"/>
    <w:rsid w:val="009A5971"/>
    <w:rsid w:val="009A5A55"/>
    <w:rsid w:val="009A5BA5"/>
    <w:rsid w:val="009A6839"/>
    <w:rsid w:val="009A6AD5"/>
    <w:rsid w:val="009A7D8C"/>
    <w:rsid w:val="009B1427"/>
    <w:rsid w:val="009B457C"/>
    <w:rsid w:val="009C25D9"/>
    <w:rsid w:val="009C2B63"/>
    <w:rsid w:val="009C2EF5"/>
    <w:rsid w:val="009D16C6"/>
    <w:rsid w:val="009E304D"/>
    <w:rsid w:val="009E56A0"/>
    <w:rsid w:val="009F0FA5"/>
    <w:rsid w:val="009F1F13"/>
    <w:rsid w:val="009F3787"/>
    <w:rsid w:val="009F379D"/>
    <w:rsid w:val="009F71BA"/>
    <w:rsid w:val="009F786C"/>
    <w:rsid w:val="00A0076E"/>
    <w:rsid w:val="00A01BE5"/>
    <w:rsid w:val="00A04C4B"/>
    <w:rsid w:val="00A06B07"/>
    <w:rsid w:val="00A06DC6"/>
    <w:rsid w:val="00A06E64"/>
    <w:rsid w:val="00A0753F"/>
    <w:rsid w:val="00A10259"/>
    <w:rsid w:val="00A11264"/>
    <w:rsid w:val="00A13967"/>
    <w:rsid w:val="00A1542F"/>
    <w:rsid w:val="00A15BC1"/>
    <w:rsid w:val="00A16892"/>
    <w:rsid w:val="00A16C7D"/>
    <w:rsid w:val="00A20824"/>
    <w:rsid w:val="00A22355"/>
    <w:rsid w:val="00A22728"/>
    <w:rsid w:val="00A25D6D"/>
    <w:rsid w:val="00A279E6"/>
    <w:rsid w:val="00A350A3"/>
    <w:rsid w:val="00A43ED8"/>
    <w:rsid w:val="00A43FC9"/>
    <w:rsid w:val="00A54CD2"/>
    <w:rsid w:val="00A55554"/>
    <w:rsid w:val="00A57CC7"/>
    <w:rsid w:val="00A65503"/>
    <w:rsid w:val="00A669A6"/>
    <w:rsid w:val="00A6729A"/>
    <w:rsid w:val="00A73D94"/>
    <w:rsid w:val="00A746FC"/>
    <w:rsid w:val="00A75B6F"/>
    <w:rsid w:val="00A83FEB"/>
    <w:rsid w:val="00A84907"/>
    <w:rsid w:val="00A85C88"/>
    <w:rsid w:val="00A911AB"/>
    <w:rsid w:val="00A9259B"/>
    <w:rsid w:val="00A94CEF"/>
    <w:rsid w:val="00A95835"/>
    <w:rsid w:val="00A960E9"/>
    <w:rsid w:val="00AA008A"/>
    <w:rsid w:val="00AA0AD2"/>
    <w:rsid w:val="00AA33D7"/>
    <w:rsid w:val="00AA40AC"/>
    <w:rsid w:val="00AA6304"/>
    <w:rsid w:val="00AA6D49"/>
    <w:rsid w:val="00AB0549"/>
    <w:rsid w:val="00AB0F3D"/>
    <w:rsid w:val="00AB1981"/>
    <w:rsid w:val="00AB1F18"/>
    <w:rsid w:val="00AB2711"/>
    <w:rsid w:val="00AB2F6E"/>
    <w:rsid w:val="00AB36FD"/>
    <w:rsid w:val="00AB425B"/>
    <w:rsid w:val="00AB43F7"/>
    <w:rsid w:val="00AB482C"/>
    <w:rsid w:val="00AC33A6"/>
    <w:rsid w:val="00AC35F3"/>
    <w:rsid w:val="00AC39FC"/>
    <w:rsid w:val="00AD31F0"/>
    <w:rsid w:val="00AD57BF"/>
    <w:rsid w:val="00AD608C"/>
    <w:rsid w:val="00AD6936"/>
    <w:rsid w:val="00AD7210"/>
    <w:rsid w:val="00AE1154"/>
    <w:rsid w:val="00AE237E"/>
    <w:rsid w:val="00AE3480"/>
    <w:rsid w:val="00AE36CB"/>
    <w:rsid w:val="00AE49C5"/>
    <w:rsid w:val="00AE4D2C"/>
    <w:rsid w:val="00AE5B72"/>
    <w:rsid w:val="00AE5B98"/>
    <w:rsid w:val="00AE6954"/>
    <w:rsid w:val="00AF0EA9"/>
    <w:rsid w:val="00AF39B5"/>
    <w:rsid w:val="00B01E70"/>
    <w:rsid w:val="00B028AF"/>
    <w:rsid w:val="00B044D8"/>
    <w:rsid w:val="00B143A4"/>
    <w:rsid w:val="00B171AD"/>
    <w:rsid w:val="00B202DF"/>
    <w:rsid w:val="00B216E7"/>
    <w:rsid w:val="00B22226"/>
    <w:rsid w:val="00B242AA"/>
    <w:rsid w:val="00B25785"/>
    <w:rsid w:val="00B25DA7"/>
    <w:rsid w:val="00B26FC4"/>
    <w:rsid w:val="00B27F87"/>
    <w:rsid w:val="00B3015D"/>
    <w:rsid w:val="00B30C6F"/>
    <w:rsid w:val="00B32344"/>
    <w:rsid w:val="00B32773"/>
    <w:rsid w:val="00B32B93"/>
    <w:rsid w:val="00B3400D"/>
    <w:rsid w:val="00B35C64"/>
    <w:rsid w:val="00B36613"/>
    <w:rsid w:val="00B36F1B"/>
    <w:rsid w:val="00B41978"/>
    <w:rsid w:val="00B41FD6"/>
    <w:rsid w:val="00B460B4"/>
    <w:rsid w:val="00B47334"/>
    <w:rsid w:val="00B503C8"/>
    <w:rsid w:val="00B53C1F"/>
    <w:rsid w:val="00B563D4"/>
    <w:rsid w:val="00B6127A"/>
    <w:rsid w:val="00B633FB"/>
    <w:rsid w:val="00B649AA"/>
    <w:rsid w:val="00B65207"/>
    <w:rsid w:val="00B71142"/>
    <w:rsid w:val="00B726B2"/>
    <w:rsid w:val="00B778D5"/>
    <w:rsid w:val="00B8125F"/>
    <w:rsid w:val="00B819E1"/>
    <w:rsid w:val="00B860C9"/>
    <w:rsid w:val="00B92FA4"/>
    <w:rsid w:val="00B9574E"/>
    <w:rsid w:val="00B965AA"/>
    <w:rsid w:val="00B96F0B"/>
    <w:rsid w:val="00BA069E"/>
    <w:rsid w:val="00BA137B"/>
    <w:rsid w:val="00BA213F"/>
    <w:rsid w:val="00BA2243"/>
    <w:rsid w:val="00BA3CB9"/>
    <w:rsid w:val="00BA3E20"/>
    <w:rsid w:val="00BA48E7"/>
    <w:rsid w:val="00BB1342"/>
    <w:rsid w:val="00BB3EE7"/>
    <w:rsid w:val="00BB55B7"/>
    <w:rsid w:val="00BB59B3"/>
    <w:rsid w:val="00BC1057"/>
    <w:rsid w:val="00BC5015"/>
    <w:rsid w:val="00BC5344"/>
    <w:rsid w:val="00BC5EDB"/>
    <w:rsid w:val="00BC62DA"/>
    <w:rsid w:val="00BD238E"/>
    <w:rsid w:val="00BD6C46"/>
    <w:rsid w:val="00BD6D61"/>
    <w:rsid w:val="00BD705E"/>
    <w:rsid w:val="00BE1AFA"/>
    <w:rsid w:val="00BE2F60"/>
    <w:rsid w:val="00BE4F18"/>
    <w:rsid w:val="00BE6AF8"/>
    <w:rsid w:val="00BE6FC7"/>
    <w:rsid w:val="00BF09E0"/>
    <w:rsid w:val="00BF2187"/>
    <w:rsid w:val="00BF67C7"/>
    <w:rsid w:val="00BF76B5"/>
    <w:rsid w:val="00C016ED"/>
    <w:rsid w:val="00C035DA"/>
    <w:rsid w:val="00C0737D"/>
    <w:rsid w:val="00C101DE"/>
    <w:rsid w:val="00C13F4E"/>
    <w:rsid w:val="00C15DC1"/>
    <w:rsid w:val="00C24641"/>
    <w:rsid w:val="00C252FC"/>
    <w:rsid w:val="00C26561"/>
    <w:rsid w:val="00C273B9"/>
    <w:rsid w:val="00C32E87"/>
    <w:rsid w:val="00C34549"/>
    <w:rsid w:val="00C3490A"/>
    <w:rsid w:val="00C36CEA"/>
    <w:rsid w:val="00C371AB"/>
    <w:rsid w:val="00C4514F"/>
    <w:rsid w:val="00C458E9"/>
    <w:rsid w:val="00C46E88"/>
    <w:rsid w:val="00C54500"/>
    <w:rsid w:val="00C54553"/>
    <w:rsid w:val="00C61700"/>
    <w:rsid w:val="00C63A86"/>
    <w:rsid w:val="00C7005B"/>
    <w:rsid w:val="00C71741"/>
    <w:rsid w:val="00C737EA"/>
    <w:rsid w:val="00C73DCD"/>
    <w:rsid w:val="00C74DCB"/>
    <w:rsid w:val="00C80888"/>
    <w:rsid w:val="00C80FD4"/>
    <w:rsid w:val="00C87F35"/>
    <w:rsid w:val="00C9332E"/>
    <w:rsid w:val="00C948F0"/>
    <w:rsid w:val="00C95B8F"/>
    <w:rsid w:val="00C96C83"/>
    <w:rsid w:val="00CA063D"/>
    <w:rsid w:val="00CA096E"/>
    <w:rsid w:val="00CA4132"/>
    <w:rsid w:val="00CA642E"/>
    <w:rsid w:val="00CB322C"/>
    <w:rsid w:val="00CB4557"/>
    <w:rsid w:val="00CB55D3"/>
    <w:rsid w:val="00CB7B00"/>
    <w:rsid w:val="00CC10C7"/>
    <w:rsid w:val="00CC22AD"/>
    <w:rsid w:val="00CC505B"/>
    <w:rsid w:val="00CC610B"/>
    <w:rsid w:val="00CC7A31"/>
    <w:rsid w:val="00CD0335"/>
    <w:rsid w:val="00CD4136"/>
    <w:rsid w:val="00CD4183"/>
    <w:rsid w:val="00CD6FBB"/>
    <w:rsid w:val="00CE265D"/>
    <w:rsid w:val="00CF11FB"/>
    <w:rsid w:val="00CF130C"/>
    <w:rsid w:val="00CF36CC"/>
    <w:rsid w:val="00CF58A5"/>
    <w:rsid w:val="00CF60A4"/>
    <w:rsid w:val="00D053CD"/>
    <w:rsid w:val="00D06A84"/>
    <w:rsid w:val="00D06BC2"/>
    <w:rsid w:val="00D0724E"/>
    <w:rsid w:val="00D16953"/>
    <w:rsid w:val="00D16D91"/>
    <w:rsid w:val="00D17A8F"/>
    <w:rsid w:val="00D24BD7"/>
    <w:rsid w:val="00D27CD5"/>
    <w:rsid w:val="00D35092"/>
    <w:rsid w:val="00D37494"/>
    <w:rsid w:val="00D4102B"/>
    <w:rsid w:val="00D41D92"/>
    <w:rsid w:val="00D438BB"/>
    <w:rsid w:val="00D46011"/>
    <w:rsid w:val="00D47511"/>
    <w:rsid w:val="00D51241"/>
    <w:rsid w:val="00D51270"/>
    <w:rsid w:val="00D515C3"/>
    <w:rsid w:val="00D55D67"/>
    <w:rsid w:val="00D60836"/>
    <w:rsid w:val="00D6220C"/>
    <w:rsid w:val="00D705AD"/>
    <w:rsid w:val="00D70D1D"/>
    <w:rsid w:val="00D722DA"/>
    <w:rsid w:val="00D72BD0"/>
    <w:rsid w:val="00D752DA"/>
    <w:rsid w:val="00D76786"/>
    <w:rsid w:val="00D81DCC"/>
    <w:rsid w:val="00D8267B"/>
    <w:rsid w:val="00D84BCD"/>
    <w:rsid w:val="00D85549"/>
    <w:rsid w:val="00D85E38"/>
    <w:rsid w:val="00D9014D"/>
    <w:rsid w:val="00D95AF5"/>
    <w:rsid w:val="00D96AD2"/>
    <w:rsid w:val="00D96F45"/>
    <w:rsid w:val="00DA0BC5"/>
    <w:rsid w:val="00DA227A"/>
    <w:rsid w:val="00DA5079"/>
    <w:rsid w:val="00DB107E"/>
    <w:rsid w:val="00DB4FD7"/>
    <w:rsid w:val="00DC19FE"/>
    <w:rsid w:val="00DC1FB8"/>
    <w:rsid w:val="00DC30D1"/>
    <w:rsid w:val="00DC399C"/>
    <w:rsid w:val="00DC4503"/>
    <w:rsid w:val="00DD0029"/>
    <w:rsid w:val="00DD26D6"/>
    <w:rsid w:val="00DD3D5A"/>
    <w:rsid w:val="00DD5177"/>
    <w:rsid w:val="00DE1882"/>
    <w:rsid w:val="00DE20DE"/>
    <w:rsid w:val="00DE54A8"/>
    <w:rsid w:val="00DE6FC8"/>
    <w:rsid w:val="00DF11B4"/>
    <w:rsid w:val="00E008CE"/>
    <w:rsid w:val="00E03CE3"/>
    <w:rsid w:val="00E05C85"/>
    <w:rsid w:val="00E12500"/>
    <w:rsid w:val="00E16D81"/>
    <w:rsid w:val="00E17027"/>
    <w:rsid w:val="00E21E25"/>
    <w:rsid w:val="00E25248"/>
    <w:rsid w:val="00E25C7C"/>
    <w:rsid w:val="00E2679B"/>
    <w:rsid w:val="00E30A69"/>
    <w:rsid w:val="00E30FCE"/>
    <w:rsid w:val="00E32494"/>
    <w:rsid w:val="00E3347E"/>
    <w:rsid w:val="00E352FF"/>
    <w:rsid w:val="00E402B0"/>
    <w:rsid w:val="00E40756"/>
    <w:rsid w:val="00E42353"/>
    <w:rsid w:val="00E44424"/>
    <w:rsid w:val="00E44601"/>
    <w:rsid w:val="00E46D1D"/>
    <w:rsid w:val="00E46F08"/>
    <w:rsid w:val="00E53F00"/>
    <w:rsid w:val="00E544CB"/>
    <w:rsid w:val="00E56DBB"/>
    <w:rsid w:val="00E60947"/>
    <w:rsid w:val="00E63BA5"/>
    <w:rsid w:val="00E63C06"/>
    <w:rsid w:val="00E6424D"/>
    <w:rsid w:val="00E6484A"/>
    <w:rsid w:val="00E65BFC"/>
    <w:rsid w:val="00E66295"/>
    <w:rsid w:val="00E67044"/>
    <w:rsid w:val="00E70A38"/>
    <w:rsid w:val="00E72095"/>
    <w:rsid w:val="00E7287F"/>
    <w:rsid w:val="00E72959"/>
    <w:rsid w:val="00E744BC"/>
    <w:rsid w:val="00E819A0"/>
    <w:rsid w:val="00E82778"/>
    <w:rsid w:val="00E853DB"/>
    <w:rsid w:val="00E853FC"/>
    <w:rsid w:val="00E87DE9"/>
    <w:rsid w:val="00E90C8E"/>
    <w:rsid w:val="00E95D4A"/>
    <w:rsid w:val="00E97668"/>
    <w:rsid w:val="00E97969"/>
    <w:rsid w:val="00EA169D"/>
    <w:rsid w:val="00EA2EDA"/>
    <w:rsid w:val="00EA3B33"/>
    <w:rsid w:val="00EA4569"/>
    <w:rsid w:val="00EA4A8A"/>
    <w:rsid w:val="00EA522F"/>
    <w:rsid w:val="00EA6515"/>
    <w:rsid w:val="00EB06BB"/>
    <w:rsid w:val="00EB0CAB"/>
    <w:rsid w:val="00EB11C2"/>
    <w:rsid w:val="00EB3286"/>
    <w:rsid w:val="00EB6865"/>
    <w:rsid w:val="00EC396F"/>
    <w:rsid w:val="00ED00D8"/>
    <w:rsid w:val="00ED211A"/>
    <w:rsid w:val="00ED3B50"/>
    <w:rsid w:val="00EE39D1"/>
    <w:rsid w:val="00EE5E10"/>
    <w:rsid w:val="00EE5F2D"/>
    <w:rsid w:val="00EF1281"/>
    <w:rsid w:val="00EF2DAA"/>
    <w:rsid w:val="00EF3343"/>
    <w:rsid w:val="00EF5CD4"/>
    <w:rsid w:val="00EF6197"/>
    <w:rsid w:val="00EF7175"/>
    <w:rsid w:val="00F001B5"/>
    <w:rsid w:val="00F00C69"/>
    <w:rsid w:val="00F06FF8"/>
    <w:rsid w:val="00F0766A"/>
    <w:rsid w:val="00F07D3C"/>
    <w:rsid w:val="00F114F8"/>
    <w:rsid w:val="00F11F37"/>
    <w:rsid w:val="00F1338D"/>
    <w:rsid w:val="00F24D37"/>
    <w:rsid w:val="00F3057C"/>
    <w:rsid w:val="00F3220C"/>
    <w:rsid w:val="00F33C54"/>
    <w:rsid w:val="00F341F9"/>
    <w:rsid w:val="00F353B6"/>
    <w:rsid w:val="00F35A8F"/>
    <w:rsid w:val="00F41677"/>
    <w:rsid w:val="00F433AB"/>
    <w:rsid w:val="00F438CF"/>
    <w:rsid w:val="00F4503E"/>
    <w:rsid w:val="00F45445"/>
    <w:rsid w:val="00F45517"/>
    <w:rsid w:val="00F4614E"/>
    <w:rsid w:val="00F5354A"/>
    <w:rsid w:val="00F54134"/>
    <w:rsid w:val="00F55DF6"/>
    <w:rsid w:val="00F5689B"/>
    <w:rsid w:val="00F6115C"/>
    <w:rsid w:val="00F6221D"/>
    <w:rsid w:val="00F6555D"/>
    <w:rsid w:val="00F7047C"/>
    <w:rsid w:val="00F704FB"/>
    <w:rsid w:val="00F7094E"/>
    <w:rsid w:val="00F71628"/>
    <w:rsid w:val="00F71E3E"/>
    <w:rsid w:val="00F71FA3"/>
    <w:rsid w:val="00F72AB8"/>
    <w:rsid w:val="00F72E22"/>
    <w:rsid w:val="00F77769"/>
    <w:rsid w:val="00F77C7F"/>
    <w:rsid w:val="00F81C08"/>
    <w:rsid w:val="00F83E33"/>
    <w:rsid w:val="00F863C3"/>
    <w:rsid w:val="00F86565"/>
    <w:rsid w:val="00F93A8C"/>
    <w:rsid w:val="00FA04E1"/>
    <w:rsid w:val="00FA1133"/>
    <w:rsid w:val="00FA246D"/>
    <w:rsid w:val="00FB07CF"/>
    <w:rsid w:val="00FB3FB4"/>
    <w:rsid w:val="00FB6F1F"/>
    <w:rsid w:val="00FB7F33"/>
    <w:rsid w:val="00FC07AB"/>
    <w:rsid w:val="00FC25BF"/>
    <w:rsid w:val="00FD258E"/>
    <w:rsid w:val="00FD662D"/>
    <w:rsid w:val="00FE2D0E"/>
    <w:rsid w:val="00FE49D9"/>
    <w:rsid w:val="00FE7CD7"/>
    <w:rsid w:val="00FF15DD"/>
    <w:rsid w:val="00FF1A6B"/>
    <w:rsid w:val="00FF359A"/>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senate.gov/search/legislation" TargetMode="External"/><Relationship Id="rId3" Type="http://schemas.openxmlformats.org/officeDocument/2006/relationships/settings" Target="settings.xml"/><Relationship Id="rId7" Type="http://schemas.openxmlformats.org/officeDocument/2006/relationships/hyperlink" Target="https://www.assembly.state.ny.us/l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ycourts.gov/LegacyPDFS/RULES/efiling/PDF/E%20Filing%20Memo%20Supreme%20Cou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6198</Words>
  <Characters>35333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3</cp:revision>
  <cp:lastPrinted>2025-04-30T20:27:00Z</cp:lastPrinted>
  <dcterms:created xsi:type="dcterms:W3CDTF">2025-04-30T20:31:00Z</dcterms:created>
  <dcterms:modified xsi:type="dcterms:W3CDTF">2025-04-30T20:32:00Z</dcterms:modified>
</cp:coreProperties>
</file>