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EB9DA" w14:textId="5FDDCDC8" w:rsidR="00963446" w:rsidRDefault="008F017B" w:rsidP="00963446">
      <w:pPr>
        <w:pStyle w:val="Heading2"/>
        <w:numPr>
          <w:ilvl w:val="0"/>
          <w:numId w:val="0"/>
        </w:numPr>
        <w:rPr>
          <w:rFonts w:ascii="Stencil" w:hAnsi="Stencil" w:cs="Times New Roman"/>
          <w:b/>
        </w:rPr>
      </w:pPr>
      <w:r>
        <w:rPr>
          <w:rFonts w:ascii="Stencil" w:hAnsi="Stencil" w:cs="Times New Roman"/>
          <w:b/>
          <w:u w:val="single"/>
        </w:rPr>
        <w:t>NYSBA FAMILY LAW SECTION UPDATE</w:t>
      </w:r>
      <w:r w:rsidR="002F23FB" w:rsidRPr="00D47511">
        <w:rPr>
          <w:rFonts w:ascii="Stencil" w:hAnsi="Stencil" w:cs="Times New Roman"/>
          <w:b/>
        </w:rPr>
        <w:t xml:space="preserve">, </w:t>
      </w:r>
      <w:r w:rsidR="00F464B7">
        <w:rPr>
          <w:rFonts w:ascii="Stencil" w:hAnsi="Stencil" w:cs="Times New Roman"/>
          <w:b/>
        </w:rPr>
        <w:t>October</w:t>
      </w:r>
      <w:r w:rsidR="00334BEE">
        <w:rPr>
          <w:rFonts w:ascii="Stencil" w:hAnsi="Stencil" w:cs="Times New Roman"/>
          <w:b/>
        </w:rPr>
        <w:t xml:space="preserve"> </w:t>
      </w:r>
      <w:r w:rsidR="00654971" w:rsidRPr="00D47511">
        <w:rPr>
          <w:rFonts w:ascii="Stencil" w:hAnsi="Stencil" w:cs="Times New Roman"/>
          <w:b/>
        </w:rPr>
        <w:t>2</w:t>
      </w:r>
      <w:r w:rsidR="00963446" w:rsidRPr="00D47511">
        <w:rPr>
          <w:rFonts w:ascii="Stencil" w:hAnsi="Stencil" w:cs="Times New Roman"/>
          <w:b/>
        </w:rPr>
        <w:t>02</w:t>
      </w:r>
      <w:r w:rsidR="00654971" w:rsidRPr="00D47511">
        <w:rPr>
          <w:rFonts w:ascii="Stencil" w:hAnsi="Stencil" w:cs="Times New Roman"/>
          <w:b/>
        </w:rPr>
        <w:t>5</w:t>
      </w:r>
    </w:p>
    <w:p w14:paraId="09CCB385" w14:textId="23D9C2FB" w:rsidR="00963446" w:rsidRPr="00F77769" w:rsidRDefault="00963446" w:rsidP="00963446">
      <w:pPr>
        <w:pStyle w:val="Heading2"/>
        <w:numPr>
          <w:ilvl w:val="0"/>
          <w:numId w:val="0"/>
        </w:numPr>
        <w:spacing w:line="240" w:lineRule="auto"/>
        <w:rPr>
          <w:rFonts w:ascii="Verdana" w:hAnsi="Verdana" w:cs="Times New Roman"/>
          <w:b/>
          <w:bCs/>
        </w:rPr>
      </w:pPr>
      <w:r w:rsidRPr="00F77769">
        <w:rPr>
          <w:rFonts w:ascii="Verdana" w:hAnsi="Verdana" w:cs="Times New Roman"/>
          <w:b/>
          <w:bCs/>
        </w:rPr>
        <w:t>By Bruce J. Wagner</w:t>
      </w:r>
    </w:p>
    <w:p w14:paraId="3AC90833" w14:textId="2BE94637" w:rsidR="009E28DC" w:rsidRDefault="00963446" w:rsidP="00963446">
      <w:pPr>
        <w:pStyle w:val="Heading2"/>
        <w:numPr>
          <w:ilvl w:val="0"/>
          <w:numId w:val="0"/>
        </w:numPr>
        <w:jc w:val="both"/>
        <w:rPr>
          <w:rFonts w:ascii="Verdana" w:hAnsi="Verdana" w:cs="Times New Roman"/>
          <w:b/>
          <w:bCs/>
        </w:rPr>
      </w:pPr>
      <w:r w:rsidRPr="00F77769">
        <w:rPr>
          <w:rFonts w:ascii="Verdana" w:hAnsi="Verdana" w:cs="Times New Roman"/>
          <w:b/>
          <w:bCs/>
        </w:rPr>
        <w:t>Support Magistrate, Schenectady &amp; Montgomery County Family Courts</w:t>
      </w:r>
    </w:p>
    <w:p w14:paraId="7BF405A1" w14:textId="77777777" w:rsidR="009E1888" w:rsidRPr="00F36143" w:rsidRDefault="009E1888" w:rsidP="009E1888">
      <w:pPr>
        <w:pStyle w:val="Heading2"/>
        <w:numPr>
          <w:ilvl w:val="0"/>
          <w:numId w:val="0"/>
        </w:numPr>
      </w:pPr>
      <w:bookmarkStart w:id="0" w:name="_Hlk208236381"/>
      <w:r>
        <w:rPr>
          <w:rFonts w:ascii="Times New Roman" w:hAnsi="Times New Roman" w:cs="Times New Roman"/>
          <w:b/>
          <w:bCs/>
        </w:rPr>
        <w:t xml:space="preserve">Attorney &amp; Client </w:t>
      </w:r>
      <w:r w:rsidRPr="009E1888">
        <w:rPr>
          <w:rFonts w:ascii="Times New Roman" w:hAnsi="Times New Roman" w:cs="Times New Roman"/>
          <w:b/>
          <w:bCs/>
        </w:rPr>
        <w:t>Disqualification – Advocate Witness Rule</w:t>
      </w:r>
    </w:p>
    <w:p w14:paraId="290EBC51" w14:textId="5B88F30A" w:rsidR="009E1888" w:rsidRDefault="009E1888" w:rsidP="009E1888">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9E1888">
        <w:rPr>
          <w:rFonts w:ascii="Times New Roman" w:hAnsi="Times New Roman" w:cs="Times New Roman"/>
          <w:b/>
          <w:bCs/>
          <w:i/>
          <w:iCs/>
        </w:rPr>
        <w:t>De Luca v. De Luca</w:t>
      </w:r>
      <w:r>
        <w:rPr>
          <w:rFonts w:ascii="Times New Roman" w:hAnsi="Times New Roman" w:cs="Times New Roman"/>
        </w:rPr>
        <w:t>, 2025 Westlaw 2723785 (1</w:t>
      </w:r>
      <w:r w:rsidRPr="00F36143">
        <w:rPr>
          <w:rFonts w:ascii="Times New Roman" w:hAnsi="Times New Roman" w:cs="Times New Roman"/>
          <w:vertAlign w:val="superscript"/>
        </w:rPr>
        <w:t>st</w:t>
      </w:r>
      <w:r>
        <w:rPr>
          <w:rFonts w:ascii="Times New Roman" w:hAnsi="Times New Roman" w:cs="Times New Roman"/>
        </w:rPr>
        <w:t xml:space="preserve"> Dept. Sept. 25, 2025), the husband appealed from a January 2025 Supreme Court order, which granted the Court’s </w:t>
      </w:r>
      <w:r w:rsidRPr="00F36143">
        <w:rPr>
          <w:rFonts w:ascii="Times New Roman" w:hAnsi="Times New Roman" w:cs="Times New Roman"/>
          <w:i/>
          <w:iCs/>
        </w:rPr>
        <w:t>sua sponte</w:t>
      </w:r>
      <w:r>
        <w:rPr>
          <w:rFonts w:ascii="Times New Roman" w:hAnsi="Times New Roman" w:cs="Times New Roman"/>
        </w:rPr>
        <w:t xml:space="preserve"> motion disqualifying his counsel (Smith), upon a finding that “Smith inserted himself beyond the role of the advocate in the proceeding and was now a material and necessary witness to dispose of the parties’ equitable distribution and counsel fee claims.” The First Department reversed, on the law and the facts, without prejudice to renewal upon an appropriate showing, holding that “an attorney should be disqualified only when his or her testimony is necessary to prove the issues in dispute (citation omitted).” The Appellate Division found that “Smith made various allegations about the actions of the wife and her counsel in his sworn affirmations which were unsupported by an affidavit by anyone with personal knowledge of the events described. Concluding that each of Smith’s claims was based on his personal knowledge, the motion court found that Smith’s testimony would be necessary to prove those allegations on his client’s behalf.” The Court observed that “upon a close reading ***, the only claims based on Smith’s personal knowledge were that, during the wife’s access to the marital residence on [a certain date], the wife committed a ‘crime’ against Smith and removed duct tape blocking the closet where the husband’s belongings were stored ***. Smith conceded *** that these claims are not relevant to the financial issues in this divorce action.” The First Department concluded that “Smith should not have been disqualified on the basis that his testimony would be necessary at trial.”</w:t>
      </w:r>
    </w:p>
    <w:p w14:paraId="785C86BF" w14:textId="77777777" w:rsidR="009E1888" w:rsidRDefault="009E1888" w:rsidP="009E1888">
      <w:pPr>
        <w:pStyle w:val="Heading2"/>
        <w:numPr>
          <w:ilvl w:val="0"/>
          <w:numId w:val="0"/>
        </w:numPr>
        <w:spacing w:line="240" w:lineRule="auto"/>
        <w:contextualSpacing/>
        <w:jc w:val="both"/>
        <w:rPr>
          <w:rFonts w:ascii="Times New Roman" w:hAnsi="Times New Roman" w:cs="Times New Roman"/>
        </w:rPr>
      </w:pPr>
    </w:p>
    <w:p w14:paraId="08D495DD" w14:textId="15924167" w:rsidR="009E1888" w:rsidRDefault="009E1888" w:rsidP="00963AA1">
      <w:pPr>
        <w:pStyle w:val="Heading2"/>
        <w:numPr>
          <w:ilvl w:val="0"/>
          <w:numId w:val="0"/>
        </w:numPr>
        <w:spacing w:line="240" w:lineRule="auto"/>
        <w:contextualSpacing/>
        <w:jc w:val="both"/>
        <w:rPr>
          <w:rFonts w:ascii="Times New Roman" w:hAnsi="Times New Roman" w:cs="Times New Roman"/>
          <w:b/>
          <w:bCs/>
        </w:rPr>
      </w:pPr>
      <w:r w:rsidRPr="009E1888">
        <w:rPr>
          <w:rFonts w:ascii="Times New Roman" w:hAnsi="Times New Roman" w:cs="Times New Roman"/>
          <w:b/>
          <w:bCs/>
        </w:rPr>
        <w:t>Counsel Fees – Family Court Act 842(f)</w:t>
      </w:r>
    </w:p>
    <w:p w14:paraId="473E2F6D" w14:textId="77777777" w:rsidR="009E1888" w:rsidRDefault="009E1888" w:rsidP="00963AA1">
      <w:pPr>
        <w:pStyle w:val="Heading2"/>
        <w:numPr>
          <w:ilvl w:val="0"/>
          <w:numId w:val="0"/>
        </w:numPr>
        <w:spacing w:line="240" w:lineRule="auto"/>
        <w:contextualSpacing/>
        <w:jc w:val="both"/>
        <w:rPr>
          <w:rFonts w:ascii="Times New Roman" w:hAnsi="Times New Roman" w:cs="Times New Roman"/>
          <w:b/>
          <w:bCs/>
        </w:rPr>
      </w:pPr>
    </w:p>
    <w:p w14:paraId="40DA6966" w14:textId="77777777" w:rsidR="00AB1C59" w:rsidRDefault="009E1888" w:rsidP="00963AA1">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In </w:t>
      </w:r>
      <w:r w:rsidRPr="009E1888">
        <w:rPr>
          <w:rFonts w:ascii="Times New Roman" w:hAnsi="Times New Roman" w:cs="Times New Roman"/>
          <w:b/>
          <w:bCs/>
          <w:i/>
          <w:iCs/>
        </w:rPr>
        <w:t>Matter of N.D. v. M.L.</w:t>
      </w:r>
      <w:r>
        <w:rPr>
          <w:rFonts w:ascii="Times New Roman" w:hAnsi="Times New Roman" w:cs="Times New Roman"/>
        </w:rPr>
        <w:t>, 2025 Westlaw 2698094 (1</w:t>
      </w:r>
      <w:r w:rsidRPr="007375AE">
        <w:rPr>
          <w:rFonts w:ascii="Times New Roman" w:hAnsi="Times New Roman" w:cs="Times New Roman"/>
          <w:vertAlign w:val="superscript"/>
        </w:rPr>
        <w:t>st</w:t>
      </w:r>
      <w:r>
        <w:rPr>
          <w:rFonts w:ascii="Times New Roman" w:hAnsi="Times New Roman" w:cs="Times New Roman"/>
        </w:rPr>
        <w:t xml:space="preserve"> Dept. Sept. 23, 2025), Petitioner appealed from an October 2024 Family Court order, which denied her motion for counsel fees pursuant to FCA 842(f). The First Department affirmed, noting that the </w:t>
      </w:r>
      <w:r w:rsidRPr="007375AE">
        <w:rPr>
          <w:rFonts w:ascii="Times New Roman" w:hAnsi="Times New Roman" w:cs="Times New Roman"/>
          <w:i/>
          <w:iCs/>
        </w:rPr>
        <w:t>pro se</w:t>
      </w:r>
      <w:r>
        <w:rPr>
          <w:rFonts w:ascii="Times New Roman" w:hAnsi="Times New Roman" w:cs="Times New Roman"/>
        </w:rPr>
        <w:t xml:space="preserve"> respondent “failed to appear for the January 25, 2023 proceeding because her son had just finished cancer treatment and was sick” and was “50 minutes late for the June 21, 2023 fact-finding hearing, and that respondent had emailed petitioner’s retained counsel earlier that morning telling counsel she was stuck in traffic due to a traffic accident and was on her way.” The Appellate Division found that “Family Court was entitled to credit these excuses and find that respondent’s behavior was not dilatory.” The First Department found Petitioner’s claim that Respondent had “substantially delayed the proceeding by failing to provide her proposed evidence, witness list and financial documentation” to be unpersuasive, noting that Respondent “attempted, albeit unsuccessfully, to email Family Court and petitioner’s retained counsel the documentation” and that respondent provided petitioner’s counsel with the witness list before the commencement of the fact-finding hearing, and concluding that “there is no evidence that respondent was deliberately delaying the proceedings.</w:t>
      </w:r>
    </w:p>
    <w:p w14:paraId="23582F29" w14:textId="77777777" w:rsidR="00AB1C59" w:rsidRDefault="00AB1C59" w:rsidP="00963AA1">
      <w:pPr>
        <w:pStyle w:val="Heading2"/>
        <w:numPr>
          <w:ilvl w:val="0"/>
          <w:numId w:val="0"/>
        </w:numPr>
        <w:spacing w:line="240" w:lineRule="auto"/>
        <w:contextualSpacing/>
        <w:jc w:val="both"/>
        <w:rPr>
          <w:rFonts w:ascii="Times New Roman" w:hAnsi="Times New Roman" w:cs="Times New Roman"/>
        </w:rPr>
      </w:pPr>
    </w:p>
    <w:p w14:paraId="294F690C" w14:textId="77777777" w:rsidR="00AB1C59" w:rsidRDefault="00AB1C59" w:rsidP="00963AA1">
      <w:pPr>
        <w:pStyle w:val="Heading2"/>
        <w:numPr>
          <w:ilvl w:val="0"/>
          <w:numId w:val="0"/>
        </w:numPr>
        <w:spacing w:line="240" w:lineRule="auto"/>
        <w:contextualSpacing/>
        <w:jc w:val="both"/>
        <w:rPr>
          <w:rFonts w:ascii="Times New Roman" w:hAnsi="Times New Roman" w:cs="Times New Roman"/>
        </w:rPr>
      </w:pPr>
    </w:p>
    <w:p w14:paraId="445FAF50" w14:textId="0915EDC6" w:rsidR="009E1888" w:rsidRDefault="009E1888" w:rsidP="00963AA1">
      <w:pPr>
        <w:pStyle w:val="Heading2"/>
        <w:numPr>
          <w:ilvl w:val="0"/>
          <w:numId w:val="0"/>
        </w:numPr>
        <w:spacing w:line="240" w:lineRule="auto"/>
        <w:contextualSpacing/>
        <w:jc w:val="both"/>
        <w:rPr>
          <w:rFonts w:ascii="Times New Roman" w:hAnsi="Times New Roman" w:cs="Times New Roman"/>
          <w:b/>
          <w:bCs/>
        </w:rPr>
      </w:pPr>
      <w:r>
        <w:rPr>
          <w:rFonts w:ascii="Times New Roman" w:hAnsi="Times New Roman" w:cs="Times New Roman"/>
          <w:b/>
          <w:bCs/>
        </w:rPr>
        <w:tab/>
      </w:r>
    </w:p>
    <w:p w14:paraId="6054C915" w14:textId="355B40E0" w:rsidR="00456919" w:rsidRDefault="007E6901" w:rsidP="00963AA1">
      <w:pPr>
        <w:pStyle w:val="Heading2"/>
        <w:numPr>
          <w:ilvl w:val="0"/>
          <w:numId w:val="0"/>
        </w:numPr>
        <w:spacing w:line="240" w:lineRule="auto"/>
        <w:contextualSpacing/>
        <w:jc w:val="both"/>
        <w:rPr>
          <w:rFonts w:ascii="Times New Roman" w:hAnsi="Times New Roman" w:cs="Times New Roman"/>
          <w:b/>
          <w:bCs/>
        </w:rPr>
      </w:pPr>
      <w:r>
        <w:rPr>
          <w:rFonts w:ascii="Times New Roman" w:hAnsi="Times New Roman" w:cs="Times New Roman"/>
          <w:b/>
          <w:bCs/>
        </w:rPr>
        <w:lastRenderedPageBreak/>
        <w:t>Custody &amp; Visitation – Attorneys for the Child – Article</w:t>
      </w:r>
      <w:bookmarkEnd w:id="0"/>
    </w:p>
    <w:p w14:paraId="0065B67B" w14:textId="77777777" w:rsidR="007E6901" w:rsidRDefault="007E6901" w:rsidP="00963AA1">
      <w:pPr>
        <w:pStyle w:val="Heading2"/>
        <w:numPr>
          <w:ilvl w:val="0"/>
          <w:numId w:val="0"/>
        </w:numPr>
        <w:spacing w:line="240" w:lineRule="auto"/>
        <w:contextualSpacing/>
        <w:jc w:val="both"/>
        <w:rPr>
          <w:rFonts w:ascii="Times New Roman" w:hAnsi="Times New Roman" w:cs="Times New Roman"/>
          <w:b/>
          <w:bCs/>
        </w:rPr>
      </w:pPr>
    </w:p>
    <w:p w14:paraId="16B7982A" w14:textId="65B7B4B2" w:rsidR="007E6901" w:rsidRDefault="007E6901" w:rsidP="00963AA1">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For an informative article, </w:t>
      </w:r>
      <w:r w:rsidRPr="00C449D2">
        <w:rPr>
          <w:rFonts w:ascii="Times New Roman" w:hAnsi="Times New Roman" w:cs="Times New Roman"/>
          <w:i/>
          <w:iCs/>
        </w:rPr>
        <w:t>see</w:t>
      </w:r>
      <w:r>
        <w:rPr>
          <w:rFonts w:ascii="Times New Roman" w:hAnsi="Times New Roman" w:cs="Times New Roman"/>
        </w:rPr>
        <w:t xml:space="preserve"> Laurie McPherson and Deepti Shenoy, “Seen and Heard: Representing the Child’s Wishes,” </w:t>
      </w:r>
      <w:r w:rsidRPr="00C449D2">
        <w:rPr>
          <w:rFonts w:ascii="Times New Roman" w:hAnsi="Times New Roman" w:cs="Times New Roman"/>
          <w:i/>
          <w:iCs/>
        </w:rPr>
        <w:t>NY Law Journal</w:t>
      </w:r>
      <w:r>
        <w:rPr>
          <w:rFonts w:ascii="Times New Roman" w:hAnsi="Times New Roman" w:cs="Times New Roman"/>
        </w:rPr>
        <w:t>, Sept. 3, 2025.</w:t>
      </w:r>
    </w:p>
    <w:p w14:paraId="03D09E61" w14:textId="77777777" w:rsidR="00817AF0" w:rsidRDefault="00817AF0" w:rsidP="00963AA1">
      <w:pPr>
        <w:pStyle w:val="Heading2"/>
        <w:numPr>
          <w:ilvl w:val="0"/>
          <w:numId w:val="0"/>
        </w:numPr>
        <w:spacing w:line="240" w:lineRule="auto"/>
        <w:contextualSpacing/>
        <w:jc w:val="both"/>
        <w:rPr>
          <w:rFonts w:ascii="Times New Roman" w:hAnsi="Times New Roman" w:cs="Times New Roman"/>
        </w:rPr>
      </w:pPr>
    </w:p>
    <w:p w14:paraId="1FDC1B57" w14:textId="77777777" w:rsidR="00817AF0" w:rsidRDefault="00817AF0" w:rsidP="00817AF0">
      <w:pPr>
        <w:pStyle w:val="Heading2"/>
        <w:numPr>
          <w:ilvl w:val="0"/>
          <w:numId w:val="0"/>
        </w:numPr>
        <w:spacing w:line="240" w:lineRule="auto"/>
        <w:contextualSpacing/>
        <w:jc w:val="both"/>
        <w:rPr>
          <w:rFonts w:ascii="Times New Roman" w:hAnsi="Times New Roman" w:cs="Times New Roman"/>
          <w:b/>
          <w:bCs/>
        </w:rPr>
      </w:pPr>
      <w:r>
        <w:rPr>
          <w:rFonts w:ascii="Times New Roman" w:hAnsi="Times New Roman" w:cs="Times New Roman"/>
          <w:b/>
          <w:bCs/>
        </w:rPr>
        <w:t xml:space="preserve">Custody &amp; </w:t>
      </w:r>
      <w:r w:rsidRPr="00817AF0">
        <w:rPr>
          <w:rFonts w:ascii="Times New Roman" w:hAnsi="Times New Roman" w:cs="Times New Roman"/>
          <w:b/>
          <w:bCs/>
        </w:rPr>
        <w:t>Visitation - Modification – Interference with Other Parent’s Relationship; Violation and Incarceration History</w:t>
      </w:r>
    </w:p>
    <w:p w14:paraId="53344FF3" w14:textId="77777777" w:rsidR="00817AF0" w:rsidRPr="00C8776E" w:rsidRDefault="00817AF0" w:rsidP="00817AF0">
      <w:pPr>
        <w:pStyle w:val="Heading2"/>
        <w:numPr>
          <w:ilvl w:val="0"/>
          <w:numId w:val="0"/>
        </w:numPr>
        <w:spacing w:line="240" w:lineRule="auto"/>
        <w:contextualSpacing/>
        <w:jc w:val="both"/>
      </w:pPr>
    </w:p>
    <w:p w14:paraId="62956D1A" w14:textId="34679C11" w:rsidR="00817AF0" w:rsidRDefault="00817AF0" w:rsidP="00817AF0">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817AF0">
        <w:rPr>
          <w:rFonts w:ascii="Times New Roman" w:hAnsi="Times New Roman" w:cs="Times New Roman"/>
          <w:b/>
          <w:bCs/>
          <w:i/>
          <w:iCs/>
        </w:rPr>
        <w:t>Matter of Amy K. v. Jeffrey L.</w:t>
      </w:r>
      <w:r>
        <w:rPr>
          <w:rFonts w:ascii="Times New Roman" w:hAnsi="Times New Roman" w:cs="Times New Roman"/>
        </w:rPr>
        <w:t xml:space="preserve">, 2025 Westlaw 2617573 (3d Dept. Sept. 11, 2025), the father appealed from a December 2023 Family Court order which, after fact-finding and </w:t>
      </w:r>
      <w:r w:rsidRPr="00C8776E">
        <w:rPr>
          <w:rFonts w:ascii="Times New Roman" w:hAnsi="Times New Roman" w:cs="Times New Roman"/>
          <w:i/>
          <w:iCs/>
        </w:rPr>
        <w:t>Lincoln</w:t>
      </w:r>
      <w:r>
        <w:rPr>
          <w:rFonts w:ascii="Times New Roman" w:hAnsi="Times New Roman" w:cs="Times New Roman"/>
        </w:rPr>
        <w:t xml:space="preserve"> hearings upon the parties’ respective petitions,  modified a May 2019 consent order (sole to father, alternate weekends to mother), by granting the mother sole legal and primary physical custody of the parties’ child born in 2012, with alternate Wednesdays to Sundays to the father. In October 2019, the mother filed an enforcement petition, alleging that the father was interfering with her time with the child. Following a hearing, Family Court held the father in contempt and imposed a 6-month suspended sentence. Based upon a willful violation of the suspended contempt judgment, the father served the incarceration, and the mother was granted temporary custody upon her subsequent modification petition. Upon the father’s release, he filed a petition to regain custody, following which the above-mentioned hearings ensued. The Third Department affirmed, noting, among other things, Family Court’s finding “that the father had repeatedly withheld the child from the mother in the past, to the extent that he was not only held in contempt of court but eventually incarcerated for his ongoing failure to abide by” the prior order. The Appellate Division cited video evidence at trial, which “depict[ed] an occasion when the mother attempted to pick up the child *** and an argument ensued *** [and] [i]nstead of encouraging the child to go with the mother, the father simply told her, ‘we’re done … have a good day.’” The Court found that in contrast, Family Court “observed that the mother had not interfered with any of the father’s visits and testified that she would foster the relationship between the father and the child.” The Third Department concluded that: the mother’s testimony “revealed the child had shown marked academic achievement where he had previously been lagging several grades behind while in the father’s custody”; and “the child had learned to brush his teeth and bathe himself since coming into the mother’s care”; and upon being diagnosed with ADHD, “the mother saw to it that [the child] took medication for that condition.”</w:t>
      </w:r>
    </w:p>
    <w:p w14:paraId="41472B97" w14:textId="77777777" w:rsidR="009E1888" w:rsidRDefault="009E1888" w:rsidP="00817AF0">
      <w:pPr>
        <w:pStyle w:val="Heading2"/>
        <w:numPr>
          <w:ilvl w:val="0"/>
          <w:numId w:val="0"/>
        </w:numPr>
        <w:spacing w:line="240" w:lineRule="auto"/>
        <w:contextualSpacing/>
        <w:jc w:val="both"/>
        <w:rPr>
          <w:rFonts w:ascii="Times New Roman" w:hAnsi="Times New Roman" w:cs="Times New Roman"/>
        </w:rPr>
      </w:pPr>
    </w:p>
    <w:p w14:paraId="7A7E9230" w14:textId="77777777" w:rsidR="009E1888" w:rsidRDefault="009E1888" w:rsidP="009E1888">
      <w:pPr>
        <w:pStyle w:val="Heading2"/>
        <w:numPr>
          <w:ilvl w:val="0"/>
          <w:numId w:val="0"/>
        </w:numPr>
        <w:spacing w:line="240" w:lineRule="auto"/>
        <w:jc w:val="both"/>
        <w:rPr>
          <w:rFonts w:ascii="Times New Roman" w:hAnsi="Times New Roman" w:cs="Times New Roman"/>
          <w:b/>
          <w:bCs/>
        </w:rPr>
      </w:pPr>
      <w:r w:rsidRPr="009E1888">
        <w:rPr>
          <w:rFonts w:ascii="Times New Roman" w:hAnsi="Times New Roman" w:cs="Times New Roman"/>
          <w:b/>
          <w:bCs/>
        </w:rPr>
        <w:t>Custody &amp; Visitation - Modification – Joint to Sole – Child’s Wishes (13 y/o), Inability to Communicate, Management of Education and Health Issues</w:t>
      </w:r>
    </w:p>
    <w:p w14:paraId="7EAD73A5" w14:textId="77777777" w:rsidR="009E1888" w:rsidRPr="009E1888" w:rsidRDefault="009E1888" w:rsidP="009E1888">
      <w:pPr>
        <w:pStyle w:val="Heading2"/>
        <w:numPr>
          <w:ilvl w:val="0"/>
          <w:numId w:val="0"/>
        </w:numPr>
        <w:spacing w:line="240" w:lineRule="auto"/>
        <w:jc w:val="both"/>
        <w:rPr>
          <w:b/>
          <w:bCs/>
        </w:rPr>
      </w:pPr>
    </w:p>
    <w:p w14:paraId="1B1A1B19" w14:textId="619D6035" w:rsidR="009E1888" w:rsidRDefault="009E1888" w:rsidP="009E1888">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9E1888">
        <w:rPr>
          <w:rFonts w:ascii="Times New Roman" w:hAnsi="Times New Roman" w:cs="Times New Roman"/>
          <w:b/>
          <w:bCs/>
          <w:i/>
          <w:iCs/>
        </w:rPr>
        <w:t>Matter of P.J.B. v. T.E.B</w:t>
      </w:r>
      <w:r>
        <w:rPr>
          <w:rFonts w:ascii="Times New Roman" w:hAnsi="Times New Roman" w:cs="Times New Roman"/>
        </w:rPr>
        <w:t>., 2025 Westlaw 2698090 (1</w:t>
      </w:r>
      <w:r w:rsidRPr="003D7604">
        <w:rPr>
          <w:rFonts w:ascii="Times New Roman" w:hAnsi="Times New Roman" w:cs="Times New Roman"/>
          <w:vertAlign w:val="superscript"/>
        </w:rPr>
        <w:t>st</w:t>
      </w:r>
      <w:r>
        <w:rPr>
          <w:rFonts w:ascii="Times New Roman" w:hAnsi="Times New Roman" w:cs="Times New Roman"/>
        </w:rPr>
        <w:t xml:space="preserve"> Dept. Sept. 23, 2025), the father appealed from a January 2024 Family Court order, which granted the mother “sole legal and physical custody of the subject children and granted respondent father visitation with the younger child.” The First Department affirmed, noting that the older child had reached 18 in the interim, and finding that the mother “has shown a change of circumstances, as both children have lived exclusively with her since at least January 2018, and she has managed all their educational and medical needs since then.”  The Appellate Division cited the same facts in support of upholding Family Court’s finding that “it was in the best interests of the younger child for the mother to have sole legal and physical custody,” while observing that the father “was often late and inconsistent in visiting with the child, and he had no contact with the child’s medical providers or teachers </w:t>
      </w:r>
      <w:r>
        <w:rPr>
          <w:rFonts w:ascii="Times New Roman" w:hAnsi="Times New Roman" w:cs="Times New Roman"/>
        </w:rPr>
        <w:lastRenderedPageBreak/>
        <w:t>(citation omitted).</w:t>
      </w:r>
      <w:r w:rsidR="00AB1C59">
        <w:rPr>
          <w:rFonts w:ascii="Times New Roman" w:hAnsi="Times New Roman" w:cs="Times New Roman"/>
        </w:rPr>
        <w:t>”</w:t>
      </w:r>
      <w:r>
        <w:rPr>
          <w:rFonts w:ascii="Times New Roman" w:hAnsi="Times New Roman" w:cs="Times New Roman"/>
        </w:rPr>
        <w:t xml:space="preserve"> The Court cited in conclusion: the mother’s testimony “that she and the father were no longer capable of successfully navigating a joint legal custodial arrangement, as the father rarely responded to emails and did not respond to texts”; and “the child, who is now 13 years old, expressed her preference to live with the mother and have visitation with the father.”</w:t>
      </w:r>
    </w:p>
    <w:p w14:paraId="5212059E" w14:textId="77777777" w:rsidR="009E1888" w:rsidRDefault="009E1888" w:rsidP="009E1888">
      <w:pPr>
        <w:pStyle w:val="Heading2"/>
        <w:numPr>
          <w:ilvl w:val="0"/>
          <w:numId w:val="0"/>
        </w:numPr>
        <w:spacing w:line="240" w:lineRule="auto"/>
        <w:contextualSpacing/>
        <w:jc w:val="both"/>
        <w:rPr>
          <w:rFonts w:ascii="Times New Roman" w:hAnsi="Times New Roman" w:cs="Times New Roman"/>
        </w:rPr>
      </w:pPr>
    </w:p>
    <w:p w14:paraId="34922927" w14:textId="17782385" w:rsidR="009E1888" w:rsidRDefault="009E1888" w:rsidP="00AA37B5">
      <w:pPr>
        <w:pStyle w:val="Heading2"/>
        <w:numPr>
          <w:ilvl w:val="0"/>
          <w:numId w:val="0"/>
        </w:numPr>
        <w:tabs>
          <w:tab w:val="clear" w:pos="1440"/>
        </w:tabs>
        <w:spacing w:line="240" w:lineRule="auto"/>
        <w:jc w:val="both"/>
        <w:rPr>
          <w:rFonts w:ascii="Times New Roman" w:hAnsi="Times New Roman" w:cs="Times New Roman"/>
          <w:b/>
          <w:bCs/>
        </w:rPr>
      </w:pPr>
      <w:r w:rsidRPr="00AA37B5">
        <w:rPr>
          <w:rFonts w:ascii="Times New Roman" w:hAnsi="Times New Roman" w:cs="Times New Roman"/>
          <w:b/>
          <w:bCs/>
        </w:rPr>
        <w:t xml:space="preserve">Custody &amp; Visitation - </w:t>
      </w:r>
      <w:bookmarkStart w:id="1" w:name="_Hlk210128777"/>
      <w:r w:rsidRPr="00AA37B5">
        <w:rPr>
          <w:rFonts w:ascii="Times New Roman" w:hAnsi="Times New Roman" w:cs="Times New Roman"/>
          <w:b/>
          <w:bCs/>
        </w:rPr>
        <w:t>Modification – Joint to Sole – Mother’s Incarceration, Mental Health</w:t>
      </w:r>
      <w:r w:rsidR="00AA37B5" w:rsidRPr="00AA37B5">
        <w:rPr>
          <w:rFonts w:ascii="Times New Roman" w:hAnsi="Times New Roman" w:cs="Times New Roman"/>
          <w:b/>
          <w:bCs/>
        </w:rPr>
        <w:t xml:space="preserve">, </w:t>
      </w:r>
      <w:r w:rsidRPr="00AA37B5">
        <w:rPr>
          <w:rFonts w:ascii="Times New Roman" w:hAnsi="Times New Roman" w:cs="Times New Roman"/>
          <w:b/>
          <w:bCs/>
        </w:rPr>
        <w:t>Relocation and Transportation Issues; Supervised Visitation Upheld</w:t>
      </w:r>
      <w:bookmarkEnd w:id="1"/>
    </w:p>
    <w:p w14:paraId="32FC4548" w14:textId="77777777" w:rsidR="00AA37B5" w:rsidRPr="00AA37B5" w:rsidRDefault="00AA37B5" w:rsidP="00AA37B5">
      <w:pPr>
        <w:pStyle w:val="Heading2"/>
        <w:numPr>
          <w:ilvl w:val="0"/>
          <w:numId w:val="0"/>
        </w:numPr>
        <w:tabs>
          <w:tab w:val="clear" w:pos="1440"/>
        </w:tabs>
        <w:spacing w:line="240" w:lineRule="auto"/>
        <w:jc w:val="both"/>
        <w:rPr>
          <w:b/>
          <w:bCs/>
        </w:rPr>
      </w:pPr>
    </w:p>
    <w:p w14:paraId="5E9D526A" w14:textId="664193DC" w:rsidR="009E1888" w:rsidRDefault="009E1888" w:rsidP="009E1888">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AA37B5">
        <w:rPr>
          <w:rFonts w:ascii="Times New Roman" w:hAnsi="Times New Roman" w:cs="Times New Roman"/>
          <w:b/>
          <w:bCs/>
          <w:i/>
          <w:iCs/>
        </w:rPr>
        <w:t>Matter of Ann T. v. James U.</w:t>
      </w:r>
      <w:r>
        <w:rPr>
          <w:rFonts w:ascii="Times New Roman" w:hAnsi="Times New Roman" w:cs="Times New Roman"/>
        </w:rPr>
        <w:t xml:space="preserve">, 2025 Westlaw 2664356 (3d Dept. Sept. 18, 2025), the mother appealed from a July 2024 Family Court Order which, after fact-finding and </w:t>
      </w:r>
      <w:r w:rsidRPr="00A73FA2">
        <w:rPr>
          <w:rFonts w:ascii="Times New Roman" w:hAnsi="Times New Roman" w:cs="Times New Roman"/>
          <w:i/>
          <w:iCs/>
        </w:rPr>
        <w:t>Lincoln</w:t>
      </w:r>
      <w:r>
        <w:rPr>
          <w:rFonts w:ascii="Times New Roman" w:hAnsi="Times New Roman" w:cs="Times New Roman"/>
        </w:rPr>
        <w:t xml:space="preserve"> hearings, modified a 2021 order (joint legal, primary to father, supervised time to mother) by granting the father sole legal and primary physical custody of the parties’ children born in 2007, 2009 and 2011. The Third Department affirmed, noting that the oldest child attained the age of 18 years during the pendency of the appeal, and that around August 2022 and following the mother’s relocation from Onondaga County to Wayne County the prior year, the father informed the mother that he was moving with the children from Onondaga County to Montgomery County and enrolling the children in school therein. The Appellate Division further observed that in April 2023, “following the mother’s six-month incarceration for an alcohol-related offense, the 2021 order was partially modified by suspending the mother’s in-person contact with the children” and after the mother’s release from jail, both parties filed modification petitions. The mother sought to eliminate supervision and a directive for the father to return the children to Onondaga County for visitation. The father sought sole legal custody and supervised visitation to the mother upon consideration of the children’s wishes. The Appellate Division noted that there was no dispute regarding the establishment of changed circumstances following the 2021 order. In affirming, the Third Department found that the hearing testimony and exhibits “established that, since the prior order, the mother engaged in a pervasive pattern of erratic, combative and inappropriate behavior toward the father, his wife, the children and others, including the sending of vulgar emails to the children’s school officials.” The mother conceded at trial “that her behavior was precipitated by a later-diagnosed mental health condition, and that her relationships with the children had already been strained as a result of her history of alcohol abuse.” The Appellate Division observed that: “the mother admitted that she only once attempted to contact [the children] during her incarceration”; the mother had “limited knowledge of the children’s respective interests or extracurricular activities”; and the AFC “advocated for, at most, supervised visitation.” The Court concluded that “Family Court properly exercised its discretion in awarding the mother supervised visitation in a public place near the children’s home.”</w:t>
      </w:r>
    </w:p>
    <w:p w14:paraId="6C7AA44C" w14:textId="77777777" w:rsidR="007E6901" w:rsidRDefault="007E6901" w:rsidP="00963AA1">
      <w:pPr>
        <w:pStyle w:val="Heading2"/>
        <w:numPr>
          <w:ilvl w:val="0"/>
          <w:numId w:val="0"/>
        </w:numPr>
        <w:spacing w:line="240" w:lineRule="auto"/>
        <w:contextualSpacing/>
        <w:jc w:val="both"/>
        <w:rPr>
          <w:rFonts w:ascii="Times New Roman" w:hAnsi="Times New Roman" w:cs="Times New Roman"/>
        </w:rPr>
      </w:pPr>
    </w:p>
    <w:p w14:paraId="03B7C0F4" w14:textId="2629748F" w:rsidR="007E6901" w:rsidRDefault="007E6901" w:rsidP="00963AA1">
      <w:pPr>
        <w:pStyle w:val="Heading2"/>
        <w:numPr>
          <w:ilvl w:val="0"/>
          <w:numId w:val="0"/>
        </w:numPr>
        <w:spacing w:line="240" w:lineRule="auto"/>
        <w:contextualSpacing/>
        <w:jc w:val="both"/>
        <w:rPr>
          <w:rFonts w:ascii="Times New Roman" w:hAnsi="Times New Roman" w:cs="Times New Roman"/>
          <w:b/>
          <w:bCs/>
        </w:rPr>
      </w:pPr>
      <w:r>
        <w:rPr>
          <w:rFonts w:ascii="Times New Roman" w:hAnsi="Times New Roman" w:cs="Times New Roman"/>
          <w:b/>
          <w:bCs/>
        </w:rPr>
        <w:t>Custody &amp; Visitation – Parent Education – Article</w:t>
      </w:r>
    </w:p>
    <w:p w14:paraId="299B3E98" w14:textId="77777777" w:rsidR="007E6901" w:rsidRDefault="007E6901" w:rsidP="00963AA1">
      <w:pPr>
        <w:pStyle w:val="Heading2"/>
        <w:numPr>
          <w:ilvl w:val="0"/>
          <w:numId w:val="0"/>
        </w:numPr>
        <w:spacing w:line="240" w:lineRule="auto"/>
        <w:contextualSpacing/>
        <w:jc w:val="both"/>
        <w:rPr>
          <w:rFonts w:ascii="Times New Roman" w:hAnsi="Times New Roman" w:cs="Times New Roman"/>
          <w:b/>
          <w:bCs/>
        </w:rPr>
      </w:pPr>
    </w:p>
    <w:p w14:paraId="4543792A" w14:textId="023B3F9C" w:rsidR="007E6901" w:rsidRDefault="007E6901" w:rsidP="00963AA1">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For an informative article, </w:t>
      </w:r>
      <w:r w:rsidRPr="00C449D2">
        <w:rPr>
          <w:rFonts w:ascii="Times New Roman" w:hAnsi="Times New Roman" w:cs="Times New Roman"/>
          <w:i/>
          <w:iCs/>
        </w:rPr>
        <w:t>see</w:t>
      </w:r>
      <w:r>
        <w:rPr>
          <w:rFonts w:ascii="Times New Roman" w:hAnsi="Times New Roman" w:cs="Times New Roman"/>
        </w:rPr>
        <w:t xml:space="preserve"> </w:t>
      </w:r>
      <w:bookmarkStart w:id="2" w:name="_Hlk208236584"/>
      <w:r>
        <w:rPr>
          <w:rFonts w:ascii="Times New Roman" w:hAnsi="Times New Roman" w:cs="Times New Roman"/>
        </w:rPr>
        <w:t>Alan Feigenbaum and Richard A. Dollinger</w:t>
      </w:r>
      <w:bookmarkEnd w:id="2"/>
      <w:r>
        <w:rPr>
          <w:rFonts w:ascii="Times New Roman" w:hAnsi="Times New Roman" w:cs="Times New Roman"/>
        </w:rPr>
        <w:t xml:space="preserve">, “Mandatory Parent Education: Hope for New York Families,” </w:t>
      </w:r>
      <w:r w:rsidRPr="00C449D2">
        <w:rPr>
          <w:rFonts w:ascii="Times New Roman" w:hAnsi="Times New Roman" w:cs="Times New Roman"/>
          <w:i/>
          <w:iCs/>
        </w:rPr>
        <w:t>NY Law Journal</w:t>
      </w:r>
      <w:r>
        <w:rPr>
          <w:rFonts w:ascii="Times New Roman" w:hAnsi="Times New Roman" w:cs="Times New Roman"/>
        </w:rPr>
        <w:t xml:space="preserve"> Sept. 5, 2025.</w:t>
      </w:r>
    </w:p>
    <w:p w14:paraId="75BB2830" w14:textId="77777777" w:rsidR="007E6901" w:rsidRDefault="007E6901" w:rsidP="00963AA1">
      <w:pPr>
        <w:pStyle w:val="Heading2"/>
        <w:numPr>
          <w:ilvl w:val="0"/>
          <w:numId w:val="0"/>
        </w:numPr>
        <w:spacing w:line="240" w:lineRule="auto"/>
        <w:contextualSpacing/>
        <w:jc w:val="both"/>
        <w:rPr>
          <w:rFonts w:ascii="Times New Roman" w:hAnsi="Times New Roman" w:cs="Times New Roman"/>
        </w:rPr>
      </w:pPr>
    </w:p>
    <w:p w14:paraId="6ED49A69" w14:textId="77777777" w:rsidR="00AA37B5" w:rsidRDefault="00AA37B5" w:rsidP="00963AA1">
      <w:pPr>
        <w:pStyle w:val="Heading2"/>
        <w:numPr>
          <w:ilvl w:val="0"/>
          <w:numId w:val="0"/>
        </w:numPr>
        <w:spacing w:line="240" w:lineRule="auto"/>
        <w:contextualSpacing/>
        <w:jc w:val="both"/>
        <w:rPr>
          <w:rFonts w:ascii="Times New Roman" w:hAnsi="Times New Roman" w:cs="Times New Roman"/>
          <w:b/>
          <w:bCs/>
        </w:rPr>
      </w:pPr>
      <w:r>
        <w:rPr>
          <w:rFonts w:ascii="Times New Roman" w:hAnsi="Times New Roman" w:cs="Times New Roman"/>
          <w:b/>
          <w:bCs/>
        </w:rPr>
        <w:t>Custody &amp; Visitation – Third Party – Standing Dismissal Reversed</w:t>
      </w:r>
    </w:p>
    <w:p w14:paraId="14322456" w14:textId="77777777" w:rsidR="00AA37B5" w:rsidRDefault="00AA37B5" w:rsidP="00963AA1">
      <w:pPr>
        <w:pStyle w:val="Heading2"/>
        <w:numPr>
          <w:ilvl w:val="0"/>
          <w:numId w:val="0"/>
        </w:numPr>
        <w:spacing w:line="240" w:lineRule="auto"/>
        <w:contextualSpacing/>
        <w:jc w:val="both"/>
        <w:rPr>
          <w:rFonts w:ascii="Times New Roman" w:hAnsi="Times New Roman" w:cs="Times New Roman"/>
          <w:b/>
          <w:bCs/>
        </w:rPr>
      </w:pPr>
    </w:p>
    <w:p w14:paraId="7DEECC63" w14:textId="7B6C82B5" w:rsidR="00AA37B5" w:rsidRDefault="00AA37B5" w:rsidP="00963AA1">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AA37B5">
        <w:rPr>
          <w:rFonts w:ascii="Times New Roman" w:hAnsi="Times New Roman" w:cs="Times New Roman"/>
          <w:b/>
          <w:bCs/>
          <w:i/>
          <w:iCs/>
        </w:rPr>
        <w:t>Matter of Bell v. Bell</w:t>
      </w:r>
      <w:r>
        <w:rPr>
          <w:rFonts w:ascii="Times New Roman" w:hAnsi="Times New Roman" w:cs="Times New Roman"/>
        </w:rPr>
        <w:t xml:space="preserve">, 2025 Westlaw 2714312 (2d Dept. Sept. 24, 2025), the maternal grandmother appealed from a September 2024 Family Court order which, after a hearing, dismissed her petitions seeking visitation pursuant to DRL 72(1) with the subject grandchildren. </w:t>
      </w:r>
      <w:r>
        <w:rPr>
          <w:rFonts w:ascii="Times New Roman" w:hAnsi="Times New Roman" w:cs="Times New Roman"/>
        </w:rPr>
        <w:lastRenderedPageBreak/>
        <w:t>The Second Department reversed, on the law and the facts, reinstated the petitions and remitted to Family Court, holding that “Family Court applied an incorrect standard by determining that the grandmother failed to demonstrate ‘extraordinary circumstances’ to warrant visitation,” and reaching its own determination upon the issue of standing, based upon evidence which “demonstrated that the grandmother developed a relationship with the children early on in their lives and thereafter made repeated efforts to continue the relationship (citation omitted).”</w:t>
      </w:r>
    </w:p>
    <w:p w14:paraId="6E45EE66" w14:textId="77777777" w:rsidR="00470443" w:rsidRDefault="00470443" w:rsidP="00963AA1">
      <w:pPr>
        <w:pStyle w:val="Heading2"/>
        <w:numPr>
          <w:ilvl w:val="0"/>
          <w:numId w:val="0"/>
        </w:numPr>
        <w:spacing w:line="240" w:lineRule="auto"/>
        <w:contextualSpacing/>
        <w:jc w:val="both"/>
        <w:rPr>
          <w:rFonts w:ascii="Times New Roman" w:hAnsi="Times New Roman" w:cs="Times New Roman"/>
        </w:rPr>
      </w:pPr>
    </w:p>
    <w:p w14:paraId="6C9DB212" w14:textId="59A4200A" w:rsidR="00470443" w:rsidRDefault="00470443" w:rsidP="00963AA1">
      <w:pPr>
        <w:pStyle w:val="Heading2"/>
        <w:numPr>
          <w:ilvl w:val="0"/>
          <w:numId w:val="0"/>
        </w:numPr>
        <w:spacing w:line="240" w:lineRule="auto"/>
        <w:contextualSpacing/>
        <w:jc w:val="both"/>
        <w:rPr>
          <w:rFonts w:ascii="Times New Roman" w:hAnsi="Times New Roman" w:cs="Times New Roman"/>
          <w:b/>
          <w:bCs/>
        </w:rPr>
      </w:pPr>
      <w:r w:rsidRPr="00470443">
        <w:rPr>
          <w:rFonts w:ascii="Times New Roman" w:hAnsi="Times New Roman" w:cs="Times New Roman"/>
          <w:b/>
          <w:bCs/>
        </w:rPr>
        <w:t>Enforcement – Child Support – Violation – Money Judgment</w:t>
      </w:r>
    </w:p>
    <w:p w14:paraId="7FEB52E6" w14:textId="77777777" w:rsidR="00470443" w:rsidRDefault="00470443" w:rsidP="00963AA1">
      <w:pPr>
        <w:pStyle w:val="Heading2"/>
        <w:numPr>
          <w:ilvl w:val="0"/>
          <w:numId w:val="0"/>
        </w:numPr>
        <w:spacing w:line="240" w:lineRule="auto"/>
        <w:contextualSpacing/>
        <w:jc w:val="both"/>
        <w:rPr>
          <w:rFonts w:ascii="Times New Roman" w:hAnsi="Times New Roman" w:cs="Times New Roman"/>
          <w:b/>
          <w:bCs/>
        </w:rPr>
      </w:pPr>
    </w:p>
    <w:p w14:paraId="6009451A" w14:textId="1FCD4A38" w:rsidR="00470443" w:rsidRDefault="00470443" w:rsidP="00963AA1">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In </w:t>
      </w:r>
      <w:r w:rsidRPr="00470443">
        <w:rPr>
          <w:rFonts w:ascii="Times New Roman" w:hAnsi="Times New Roman" w:cs="Times New Roman"/>
          <w:b/>
          <w:bCs/>
          <w:i/>
          <w:iCs/>
        </w:rPr>
        <w:t>Matter of Christian v. Griffith</w:t>
      </w:r>
      <w:r>
        <w:rPr>
          <w:rFonts w:ascii="Times New Roman" w:hAnsi="Times New Roman" w:cs="Times New Roman"/>
        </w:rPr>
        <w:t>, 2025 Westlaw 2714309 (2d Dept. Sept. 24, 2025), the father appealed from a June 2024 Family Court order denying his objections to an April 2024 Support Magistrate Order which, after a hearing upon the mother’s March 2024 petition, found that he violated a July 2021 order requiring him to pay her $1,199 monthly toward the support of the parties’ child born in 2012, and entered a money judgment against him for $45,736.84. The Second Department affirmed, finding that “the Support Magistrate reviewed a certified Support Collection Unit account statement ***, which showed arrears due and owing” in the stated sum, and holding that “there was competent proof at the hearing that the father failed to obey a lawful order of child support (citation omitted)” such that “Family Court properly directed that a money judgment be entered **,” citing FCA 454(2)(a) and 460(1).</w:t>
      </w:r>
    </w:p>
    <w:p w14:paraId="6392D2F2" w14:textId="77777777" w:rsidR="00470443" w:rsidRDefault="00470443" w:rsidP="00963AA1">
      <w:pPr>
        <w:pStyle w:val="Heading2"/>
        <w:numPr>
          <w:ilvl w:val="0"/>
          <w:numId w:val="0"/>
        </w:numPr>
        <w:spacing w:line="240" w:lineRule="auto"/>
        <w:contextualSpacing/>
        <w:jc w:val="both"/>
        <w:rPr>
          <w:rFonts w:ascii="Times New Roman" w:hAnsi="Times New Roman" w:cs="Times New Roman"/>
        </w:rPr>
      </w:pPr>
    </w:p>
    <w:p w14:paraId="0B8E3B86" w14:textId="3829543F" w:rsidR="00470443" w:rsidRDefault="00470443" w:rsidP="00963AA1">
      <w:pPr>
        <w:pStyle w:val="Heading2"/>
        <w:numPr>
          <w:ilvl w:val="0"/>
          <w:numId w:val="0"/>
        </w:numPr>
        <w:spacing w:line="240" w:lineRule="auto"/>
        <w:contextualSpacing/>
        <w:jc w:val="both"/>
        <w:rPr>
          <w:rFonts w:ascii="Times New Roman" w:hAnsi="Times New Roman" w:cs="Times New Roman"/>
          <w:b/>
          <w:bCs/>
        </w:rPr>
      </w:pPr>
      <w:r w:rsidRPr="00470443">
        <w:rPr>
          <w:rFonts w:ascii="Times New Roman" w:hAnsi="Times New Roman" w:cs="Times New Roman"/>
          <w:b/>
          <w:bCs/>
        </w:rPr>
        <w:t>Evidence - ACS Video Recordings Not Precluded by CPL 160.50</w:t>
      </w:r>
    </w:p>
    <w:p w14:paraId="2904C53E" w14:textId="77777777" w:rsidR="00470443" w:rsidRDefault="00470443" w:rsidP="00963AA1">
      <w:pPr>
        <w:pStyle w:val="Heading2"/>
        <w:numPr>
          <w:ilvl w:val="0"/>
          <w:numId w:val="0"/>
        </w:numPr>
        <w:spacing w:line="240" w:lineRule="auto"/>
        <w:contextualSpacing/>
        <w:jc w:val="both"/>
        <w:rPr>
          <w:rFonts w:ascii="Times New Roman" w:hAnsi="Times New Roman" w:cs="Times New Roman"/>
          <w:b/>
          <w:bCs/>
        </w:rPr>
      </w:pPr>
    </w:p>
    <w:p w14:paraId="6CCAEF34" w14:textId="6D80A8D8" w:rsidR="00470443" w:rsidRPr="00470443" w:rsidRDefault="00470443" w:rsidP="00963AA1">
      <w:pPr>
        <w:pStyle w:val="Heading2"/>
        <w:numPr>
          <w:ilvl w:val="0"/>
          <w:numId w:val="0"/>
        </w:numPr>
        <w:spacing w:line="240" w:lineRule="auto"/>
        <w:contextualSpacing/>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rPr>
        <w:t xml:space="preserve">In </w:t>
      </w:r>
      <w:r w:rsidRPr="00470443">
        <w:rPr>
          <w:rFonts w:ascii="Times New Roman" w:hAnsi="Times New Roman" w:cs="Times New Roman"/>
          <w:b/>
          <w:bCs/>
          <w:i/>
          <w:iCs/>
        </w:rPr>
        <w:t>Leah W. v. Keith W.</w:t>
      </w:r>
      <w:r>
        <w:rPr>
          <w:rFonts w:ascii="Times New Roman" w:hAnsi="Times New Roman" w:cs="Times New Roman"/>
        </w:rPr>
        <w:t>, 2025 Westlaw 2698102 (1</w:t>
      </w:r>
      <w:r w:rsidRPr="00B0355D">
        <w:rPr>
          <w:rFonts w:ascii="Times New Roman" w:hAnsi="Times New Roman" w:cs="Times New Roman"/>
          <w:vertAlign w:val="superscript"/>
        </w:rPr>
        <w:t>st</w:t>
      </w:r>
      <w:r>
        <w:rPr>
          <w:rFonts w:ascii="Times New Roman" w:hAnsi="Times New Roman" w:cs="Times New Roman"/>
        </w:rPr>
        <w:t xml:space="preserve"> Dept. Sept. 23, 2025), the father appealed from a November 2024 Supreme Court order, which denied his motion to preclude ACS from introducing into evidence video recordings of forensic interviews with the subject children at the Family Court Article 10 fact-finding hearing. The First Department found: “</w:t>
      </w:r>
      <w:r w:rsidRPr="00B0355D">
        <w:rPr>
          <w:rFonts w:ascii="Times New Roman" w:hAnsi="Times New Roman" w:cs="Times New Roman"/>
        </w:rPr>
        <w:t>On October 6, 2023, the children of respondent father were interviewed by a Safe Horizon employee at the Manhattan Child Advocacy Center (CAC). The videotaped interviews were observed by a multidisciplinary team comprised of a detective from the New York City Police Department's Special Victims Unit and representatives from the Manhattan District Attorney's Office and Child Protective Services in a separate room. On October 10, 2023, respondent father was arrested and charged with first-degree sex abuse and endangering the welfare of a child. On July 15, 2024, the criminal charges were dismissed due to a lack of witness cooperation.</w:t>
      </w:r>
      <w:r>
        <w:rPr>
          <w:rFonts w:ascii="Times New Roman" w:hAnsi="Times New Roman" w:cs="Times New Roman"/>
        </w:rPr>
        <w:t xml:space="preserve">” ACS commenced the subject Article 10 proceeding on </w:t>
      </w:r>
      <w:r w:rsidRPr="00B0355D">
        <w:rPr>
          <w:rFonts w:ascii="Times New Roman" w:hAnsi="Times New Roman" w:cs="Times New Roman"/>
        </w:rPr>
        <w:t>October 11</w:t>
      </w:r>
      <w:r>
        <w:rPr>
          <w:rFonts w:ascii="Times New Roman" w:hAnsi="Times New Roman" w:cs="Times New Roman"/>
        </w:rPr>
        <w:t>, 2023, “</w:t>
      </w:r>
      <w:r w:rsidRPr="00B0355D">
        <w:rPr>
          <w:rFonts w:ascii="Times New Roman" w:hAnsi="Times New Roman" w:cs="Times New Roman"/>
        </w:rPr>
        <w:t xml:space="preserve">alleging that </w:t>
      </w:r>
      <w:r>
        <w:rPr>
          <w:rFonts w:ascii="Times New Roman" w:hAnsi="Times New Roman" w:cs="Times New Roman"/>
        </w:rPr>
        <w:t xml:space="preserve">[the father] </w:t>
      </w:r>
      <w:r w:rsidRPr="00B0355D">
        <w:rPr>
          <w:rFonts w:ascii="Times New Roman" w:hAnsi="Times New Roman" w:cs="Times New Roman"/>
        </w:rPr>
        <w:t>sexually abused both of his daughters</w:t>
      </w:r>
      <w:r>
        <w:rPr>
          <w:rFonts w:ascii="Times New Roman" w:hAnsi="Times New Roman" w:cs="Times New Roman"/>
        </w:rPr>
        <w:t>” and thereafter “</w:t>
      </w:r>
      <w:r w:rsidRPr="00B0355D">
        <w:rPr>
          <w:rFonts w:ascii="Times New Roman" w:hAnsi="Times New Roman" w:cs="Times New Roman"/>
        </w:rPr>
        <w:t>informed the father that it would seek to introduce the videotaped interviews at the fact-finding hearing.</w:t>
      </w:r>
      <w:r>
        <w:rPr>
          <w:rFonts w:ascii="Times New Roman" w:hAnsi="Times New Roman" w:cs="Times New Roman"/>
        </w:rPr>
        <w:t xml:space="preserve">” The First Department noted that CPL </w:t>
      </w:r>
      <w:r w:rsidRPr="00B0355D">
        <w:rPr>
          <w:rFonts w:ascii="Times New Roman" w:hAnsi="Times New Roman" w:cs="Times New Roman"/>
        </w:rPr>
        <w:t>§160.50</w:t>
      </w:r>
      <w:r>
        <w:rPr>
          <w:rFonts w:ascii="Times New Roman" w:hAnsi="Times New Roman" w:cs="Times New Roman"/>
        </w:rPr>
        <w:t>(1)(c) provides</w:t>
      </w:r>
      <w:r w:rsidRPr="00B0355D">
        <w:rPr>
          <w:rFonts w:ascii="Times New Roman" w:hAnsi="Times New Roman" w:cs="Times New Roman"/>
        </w:rPr>
        <w:t xml:space="preserve"> where a criminal action or proceeding terminates in favor of the accused, "all official records and papers . . . relating to the arrest or prosecution, including all duplicates and cop</w:t>
      </w:r>
      <w:r w:rsidR="00AB1C59">
        <w:rPr>
          <w:rFonts w:ascii="Times New Roman" w:hAnsi="Times New Roman" w:cs="Times New Roman"/>
        </w:rPr>
        <w:t>i</w:t>
      </w:r>
      <w:r w:rsidRPr="00B0355D">
        <w:rPr>
          <w:rFonts w:ascii="Times New Roman" w:hAnsi="Times New Roman" w:cs="Times New Roman"/>
        </w:rPr>
        <w:t>es thereof, on file with the division of criminal justice services, any court, police agency, or prosecutor's office shall be sealed</w:t>
      </w:r>
      <w:r>
        <w:rPr>
          <w:rFonts w:ascii="Times New Roman" w:hAnsi="Times New Roman" w:cs="Times New Roman"/>
        </w:rPr>
        <w:t>.”</w:t>
      </w:r>
      <w:r w:rsidRPr="00B0355D">
        <w:rPr>
          <w:rFonts w:ascii="Times New Roman" w:hAnsi="Times New Roman" w:cs="Times New Roman"/>
        </w:rPr>
        <w:t xml:space="preserve"> </w:t>
      </w:r>
      <w:r>
        <w:rPr>
          <w:rFonts w:ascii="Times New Roman" w:hAnsi="Times New Roman" w:cs="Times New Roman"/>
        </w:rPr>
        <w:t xml:space="preserve"> The Appellate Division reasoned that the ACS interviews “</w:t>
      </w:r>
      <w:r w:rsidRPr="00B0355D">
        <w:rPr>
          <w:rFonts w:ascii="Times New Roman" w:hAnsi="Times New Roman" w:cs="Times New Roman"/>
        </w:rPr>
        <w:t>were part of the children's protective investigation</w:t>
      </w:r>
      <w:r>
        <w:rPr>
          <w:rFonts w:ascii="Times New Roman" w:hAnsi="Times New Roman" w:cs="Times New Roman"/>
        </w:rPr>
        <w:t>” and that “</w:t>
      </w:r>
      <w:r w:rsidRPr="00B0355D">
        <w:rPr>
          <w:rFonts w:ascii="Times New Roman" w:hAnsi="Times New Roman" w:cs="Times New Roman"/>
        </w:rPr>
        <w:t>ACS obtained the videos from Safe Horizon</w:t>
      </w:r>
      <w:r>
        <w:rPr>
          <w:rFonts w:ascii="Times New Roman" w:hAnsi="Times New Roman" w:cs="Times New Roman"/>
        </w:rPr>
        <w:t xml:space="preserve"> ***</w:t>
      </w:r>
      <w:r w:rsidRPr="00B0355D">
        <w:rPr>
          <w:rFonts w:ascii="Times New Roman" w:hAnsi="Times New Roman" w:cs="Times New Roman"/>
        </w:rPr>
        <w:t>, an independent victims</w:t>
      </w:r>
      <w:r>
        <w:rPr>
          <w:rFonts w:ascii="Times New Roman" w:hAnsi="Times New Roman" w:cs="Times New Roman"/>
        </w:rPr>
        <w:t>’</w:t>
      </w:r>
      <w:r w:rsidRPr="00B0355D">
        <w:rPr>
          <w:rFonts w:ascii="Times New Roman" w:hAnsi="Times New Roman" w:cs="Times New Roman"/>
        </w:rPr>
        <w:t xml:space="preserve"> assistance agency tasked with gathering information about the children's safety, </w:t>
      </w:r>
      <w:r>
        <w:rPr>
          <w:rFonts w:ascii="Times New Roman" w:hAnsi="Times New Roman" w:cs="Times New Roman"/>
        </w:rPr>
        <w:t xml:space="preserve">[which] </w:t>
      </w:r>
      <w:r w:rsidRPr="00B0355D">
        <w:rPr>
          <w:rFonts w:ascii="Times New Roman" w:hAnsi="Times New Roman" w:cs="Times New Roman"/>
        </w:rPr>
        <w:t>is the official creator and custodian of the master tape.</w:t>
      </w:r>
      <w:r>
        <w:rPr>
          <w:rFonts w:ascii="Times New Roman" w:hAnsi="Times New Roman" w:cs="Times New Roman"/>
        </w:rPr>
        <w:t>” The First Department reasoned: “</w:t>
      </w:r>
      <w:r w:rsidRPr="00B0355D">
        <w:rPr>
          <w:rFonts w:ascii="Times New Roman" w:hAnsi="Times New Roman" w:cs="Times New Roman"/>
        </w:rPr>
        <w:t xml:space="preserve">The father overlooks the plain language of CPL 160.50, which defines the records subject to sealing as being on file with the </w:t>
      </w:r>
      <w:r>
        <w:rPr>
          <w:rFonts w:ascii="Times New Roman" w:hAnsi="Times New Roman" w:cs="Times New Roman"/>
        </w:rPr>
        <w:t>‘</w:t>
      </w:r>
      <w:r w:rsidRPr="00B0355D">
        <w:rPr>
          <w:rFonts w:ascii="Times New Roman" w:hAnsi="Times New Roman" w:cs="Times New Roman"/>
        </w:rPr>
        <w:t>division of criminal justice services, any court, police agency, or prosecutor's office.</w:t>
      </w:r>
      <w:r>
        <w:rPr>
          <w:rFonts w:ascii="Times New Roman" w:hAnsi="Times New Roman" w:cs="Times New Roman"/>
        </w:rPr>
        <w:t>’</w:t>
      </w:r>
      <w:r w:rsidRPr="00B0355D">
        <w:rPr>
          <w:rFonts w:ascii="Times New Roman" w:hAnsi="Times New Roman" w:cs="Times New Roman"/>
        </w:rPr>
        <w:t xml:space="preserve"> Neither ACS nor Safe Horizon are included in this list, and </w:t>
      </w:r>
      <w:r w:rsidRPr="00B0355D">
        <w:rPr>
          <w:rFonts w:ascii="Times New Roman" w:hAnsi="Times New Roman" w:cs="Times New Roman"/>
        </w:rPr>
        <w:lastRenderedPageBreak/>
        <w:t>the father fails to explain why ACS, an agency with a different mission and a different burden of proof, cannot use the videotape. The videotaped interviews are thus not subject to sealing under the statute.</w:t>
      </w:r>
      <w:r>
        <w:rPr>
          <w:rFonts w:ascii="Times New Roman" w:hAnsi="Times New Roman" w:cs="Times New Roman"/>
        </w:rPr>
        <w:t>” The First Department further observed: “</w:t>
      </w:r>
      <w:r w:rsidRPr="00B0355D">
        <w:rPr>
          <w:rFonts w:ascii="Times New Roman" w:hAnsi="Times New Roman" w:cs="Times New Roman"/>
        </w:rPr>
        <w:t xml:space="preserve">The videos are not </w:t>
      </w:r>
      <w:r>
        <w:rPr>
          <w:rFonts w:ascii="Times New Roman" w:hAnsi="Times New Roman" w:cs="Times New Roman"/>
        </w:rPr>
        <w:t>‘</w:t>
      </w:r>
      <w:r w:rsidRPr="00B0355D">
        <w:rPr>
          <w:rFonts w:ascii="Times New Roman" w:hAnsi="Times New Roman" w:cs="Times New Roman"/>
        </w:rPr>
        <w:t>official records and papers</w:t>
      </w:r>
      <w:r>
        <w:rPr>
          <w:rFonts w:ascii="Times New Roman" w:hAnsi="Times New Roman" w:cs="Times New Roman"/>
        </w:rPr>
        <w:t>’</w:t>
      </w:r>
      <w:r w:rsidRPr="00B0355D">
        <w:rPr>
          <w:rFonts w:ascii="Times New Roman" w:hAnsi="Times New Roman" w:cs="Times New Roman"/>
        </w:rPr>
        <w:t xml:space="preserve"> related to the father's arrest or prosecution. The Social Service Law permits CAC to conduct a forensic interview of a child by a trained professional that </w:t>
      </w:r>
      <w:r>
        <w:rPr>
          <w:rFonts w:ascii="Times New Roman" w:hAnsi="Times New Roman" w:cs="Times New Roman"/>
        </w:rPr>
        <w:t>‘</w:t>
      </w:r>
      <w:r w:rsidRPr="00B0355D">
        <w:rPr>
          <w:rFonts w:ascii="Times New Roman" w:hAnsi="Times New Roman" w:cs="Times New Roman"/>
        </w:rPr>
        <w:t>must be conducted in a manner which is neutral and fact-finding and coordinated to avoid duplicative interviewing</w:t>
      </w:r>
      <w:r>
        <w:rPr>
          <w:rFonts w:ascii="Times New Roman" w:hAnsi="Times New Roman" w:cs="Times New Roman"/>
        </w:rPr>
        <w:t>’</w:t>
      </w:r>
      <w:r w:rsidRPr="00B0355D">
        <w:rPr>
          <w:rFonts w:ascii="Times New Roman" w:hAnsi="Times New Roman" w:cs="Times New Roman"/>
        </w:rPr>
        <w:t xml:space="preserve"> (</w:t>
      </w:r>
      <w:r w:rsidRPr="00B0355D">
        <w:rPr>
          <w:rFonts w:ascii="Times New Roman" w:hAnsi="Times New Roman" w:cs="Times New Roman"/>
          <w:i/>
          <w:iCs/>
        </w:rPr>
        <w:t>see </w:t>
      </w:r>
      <w:r w:rsidRPr="00B0355D">
        <w:rPr>
          <w:rFonts w:ascii="Times New Roman" w:hAnsi="Times New Roman" w:cs="Times New Roman"/>
        </w:rPr>
        <w:t xml:space="preserve">Social Services Law §423-a[2][f]). These videotaped interviews are confidential, but </w:t>
      </w:r>
      <w:r>
        <w:rPr>
          <w:rFonts w:ascii="Times New Roman" w:hAnsi="Times New Roman" w:cs="Times New Roman"/>
        </w:rPr>
        <w:t>‘</w:t>
      </w:r>
      <w:r w:rsidRPr="00B0355D">
        <w:rPr>
          <w:rFonts w:ascii="Times New Roman" w:hAnsi="Times New Roman" w:cs="Times New Roman"/>
        </w:rPr>
        <w:t>shall</w:t>
      </w:r>
      <w:r>
        <w:rPr>
          <w:rFonts w:ascii="Times New Roman" w:hAnsi="Times New Roman" w:cs="Times New Roman"/>
        </w:rPr>
        <w:t>’</w:t>
      </w:r>
      <w:r w:rsidRPr="00B0355D">
        <w:rPr>
          <w:rFonts w:ascii="Times New Roman" w:hAnsi="Times New Roman" w:cs="Times New Roman"/>
        </w:rPr>
        <w:t xml:space="preserve"> be disclosed for the purpose of investigation, prosecution and/or adjudication in any relevant court proceeding (</w:t>
      </w:r>
      <w:r w:rsidRPr="00B0355D">
        <w:rPr>
          <w:rFonts w:ascii="Times New Roman" w:hAnsi="Times New Roman" w:cs="Times New Roman"/>
          <w:i/>
          <w:iCs/>
        </w:rPr>
        <w:t>see</w:t>
      </w:r>
      <w:r w:rsidRPr="00B0355D">
        <w:rPr>
          <w:rFonts w:ascii="Times New Roman" w:hAnsi="Times New Roman" w:cs="Times New Roman"/>
        </w:rPr>
        <w:t xml:space="preserve"> Social Services Law §423-a[5][a]). The interviews were made in CAC's regular course of business and not in conjunction with law enforcement relating to the father's prosecution. Even so, the mere existence of a multidisciplinary task force involving multiple law enforcement and non-law enforcement actors is not dispositive </w:t>
      </w:r>
      <w:r>
        <w:rPr>
          <w:rFonts w:ascii="Times New Roman" w:hAnsi="Times New Roman" w:cs="Times New Roman"/>
        </w:rPr>
        <w:t>(citations omitted).” The Appellate Division found that “[t]</w:t>
      </w:r>
      <w:r w:rsidRPr="00B0355D">
        <w:rPr>
          <w:rFonts w:ascii="Times New Roman" w:hAnsi="Times New Roman" w:cs="Times New Roman"/>
        </w:rPr>
        <w:t xml:space="preserve">he argument advanced by ACS and the attorney for the children, which analogizes the CAC videos to 911 recordings, is persuasive. This Court has held that 911 calls are not official records within the meaning of CPL 160.50, as the 911 system serves a broader purpose than solely relating to criminal arrests and prosecutions </w:t>
      </w:r>
      <w:r>
        <w:rPr>
          <w:rFonts w:ascii="Times New Roman" w:hAnsi="Times New Roman" w:cs="Times New Roman"/>
        </w:rPr>
        <w:t xml:space="preserve">(citations omitted). </w:t>
      </w:r>
      <w:r w:rsidRPr="00B0355D">
        <w:rPr>
          <w:rFonts w:ascii="Times New Roman" w:hAnsi="Times New Roman" w:cs="Times New Roman"/>
        </w:rPr>
        <w:t>Similar to a 911 call, which is handled by the NYPD and may or may not lead to a police response and criminal proceeding, a forensic interview at CAC is an initial information-gathering process, not inherently tied to any arrest or prosecution that may follow.</w:t>
      </w:r>
      <w:r>
        <w:rPr>
          <w:rFonts w:ascii="Times New Roman" w:hAnsi="Times New Roman" w:cs="Times New Roman"/>
        </w:rPr>
        <w:t>” The First Department concluded: “</w:t>
      </w:r>
      <w:r w:rsidRPr="00B0355D">
        <w:rPr>
          <w:rFonts w:ascii="Times New Roman" w:hAnsi="Times New Roman" w:cs="Times New Roman"/>
        </w:rPr>
        <w:t>The recorded interviews of the children, in which they gave their own accounts of the father's actions to an independent forensic interviewer, did not contain any information about the father's arrest or discontinued prosecution. Sealing the videotaped interviews would undermine the CAC and multidisciplinary model. Although we recognize that there is a delicate balance between the compelling need to protect the welfare of children and the right of criminal defendants to be free from the stigma of an unsustained prosecution, CPL 160.50 should not be used to override the truth-finding and child-protective missions of the Family Court.</w:t>
      </w:r>
      <w:r>
        <w:rPr>
          <w:rFonts w:ascii="Times New Roman" w:hAnsi="Times New Roman" w:cs="Times New Roman"/>
        </w:rPr>
        <w:t>”</w:t>
      </w:r>
    </w:p>
    <w:p w14:paraId="46A333C0" w14:textId="77777777" w:rsidR="00470443" w:rsidRPr="00470443" w:rsidRDefault="00470443" w:rsidP="00963AA1">
      <w:pPr>
        <w:pStyle w:val="Heading2"/>
        <w:numPr>
          <w:ilvl w:val="0"/>
          <w:numId w:val="0"/>
        </w:numPr>
        <w:spacing w:line="240" w:lineRule="auto"/>
        <w:contextualSpacing/>
        <w:jc w:val="both"/>
        <w:rPr>
          <w:rFonts w:ascii="Times New Roman" w:hAnsi="Times New Roman" w:cs="Times New Roman"/>
          <w:b/>
          <w:bCs/>
        </w:rPr>
      </w:pPr>
    </w:p>
    <w:p w14:paraId="6195646E" w14:textId="6D34B1B7" w:rsidR="007E6901" w:rsidRDefault="007E6901" w:rsidP="00963AA1">
      <w:pPr>
        <w:pStyle w:val="Heading2"/>
        <w:numPr>
          <w:ilvl w:val="0"/>
          <w:numId w:val="0"/>
        </w:numPr>
        <w:spacing w:line="240" w:lineRule="auto"/>
        <w:contextualSpacing/>
        <w:jc w:val="both"/>
        <w:rPr>
          <w:rFonts w:ascii="Times New Roman" w:hAnsi="Times New Roman" w:cs="Times New Roman"/>
          <w:b/>
          <w:bCs/>
        </w:rPr>
      </w:pPr>
      <w:r w:rsidRPr="007E6901">
        <w:rPr>
          <w:rFonts w:ascii="Times New Roman" w:hAnsi="Times New Roman" w:cs="Times New Roman"/>
          <w:b/>
          <w:bCs/>
        </w:rPr>
        <w:t xml:space="preserve">Mariage – Recognition </w:t>
      </w:r>
      <w:r>
        <w:rPr>
          <w:rFonts w:ascii="Times New Roman" w:hAnsi="Times New Roman" w:cs="Times New Roman"/>
          <w:b/>
          <w:bCs/>
        </w:rPr>
        <w:t>–</w:t>
      </w:r>
      <w:r w:rsidRPr="007E6901">
        <w:rPr>
          <w:rFonts w:ascii="Times New Roman" w:hAnsi="Times New Roman" w:cs="Times New Roman"/>
          <w:b/>
          <w:bCs/>
        </w:rPr>
        <w:t xml:space="preserve"> Comity</w:t>
      </w:r>
    </w:p>
    <w:p w14:paraId="2B520A6C" w14:textId="77777777" w:rsidR="007E6901" w:rsidRDefault="007E6901" w:rsidP="00963AA1">
      <w:pPr>
        <w:pStyle w:val="Heading2"/>
        <w:numPr>
          <w:ilvl w:val="0"/>
          <w:numId w:val="0"/>
        </w:numPr>
        <w:spacing w:line="240" w:lineRule="auto"/>
        <w:contextualSpacing/>
        <w:jc w:val="both"/>
        <w:rPr>
          <w:rFonts w:ascii="Times New Roman" w:hAnsi="Times New Roman" w:cs="Times New Roman"/>
          <w:b/>
          <w:bCs/>
        </w:rPr>
      </w:pPr>
    </w:p>
    <w:p w14:paraId="74BEAAE0" w14:textId="0C7A170C" w:rsidR="007E6901" w:rsidRDefault="007E6901" w:rsidP="00963AA1">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In </w:t>
      </w:r>
      <w:r w:rsidRPr="007E6901">
        <w:rPr>
          <w:rFonts w:ascii="Times New Roman" w:hAnsi="Times New Roman" w:cs="Times New Roman"/>
          <w:b/>
          <w:bCs/>
          <w:i/>
          <w:iCs/>
        </w:rPr>
        <w:t>Salamah v. Grabowska</w:t>
      </w:r>
      <w:r>
        <w:rPr>
          <w:rFonts w:ascii="Times New Roman" w:hAnsi="Times New Roman" w:cs="Times New Roman"/>
        </w:rPr>
        <w:t xml:space="preserve">, </w:t>
      </w:r>
      <w:r w:rsidR="00AB1C59">
        <w:rPr>
          <w:rFonts w:ascii="Times New Roman" w:hAnsi="Times New Roman" w:cs="Times New Roman"/>
        </w:rPr>
        <w:t xml:space="preserve">238 NYS3d 171 </w:t>
      </w:r>
      <w:r>
        <w:rPr>
          <w:rFonts w:ascii="Times New Roman" w:hAnsi="Times New Roman" w:cs="Times New Roman"/>
        </w:rPr>
        <w:t>(1</w:t>
      </w:r>
      <w:r w:rsidRPr="00ED3D75">
        <w:rPr>
          <w:rFonts w:ascii="Times New Roman" w:hAnsi="Times New Roman" w:cs="Times New Roman"/>
          <w:vertAlign w:val="superscript"/>
        </w:rPr>
        <w:t>st</w:t>
      </w:r>
      <w:r>
        <w:rPr>
          <w:rFonts w:ascii="Times New Roman" w:hAnsi="Times New Roman" w:cs="Times New Roman"/>
        </w:rPr>
        <w:t xml:space="preserve"> Dept. Sept. 4, 2025), the wife appealed from an October 2023 Supreme Court judgment, which, following trial of the husband’s 2016 divorce action, directed the </w:t>
      </w:r>
      <w:r w:rsidRPr="007F5A2C">
        <w:rPr>
          <w:rFonts w:ascii="Times New Roman" w:hAnsi="Times New Roman" w:cs="Times New Roman"/>
        </w:rPr>
        <w:t>sale of property in Egypt known as Apartment 5, with net proceeds divided 90% to the wife and 10% to the husband. T</w:t>
      </w:r>
      <w:r w:rsidRPr="005B5C4C">
        <w:rPr>
          <w:rFonts w:ascii="Times New Roman" w:hAnsi="Times New Roman" w:cs="Times New Roman"/>
        </w:rPr>
        <w:t>he parties had two marriage ceremonie</w:t>
      </w:r>
      <w:r w:rsidRPr="007F5A2C">
        <w:rPr>
          <w:rFonts w:ascii="Times New Roman" w:hAnsi="Times New Roman" w:cs="Times New Roman"/>
        </w:rPr>
        <w:t xml:space="preserve">s, </w:t>
      </w:r>
      <w:r w:rsidRPr="005B5C4C">
        <w:rPr>
          <w:rFonts w:ascii="Times New Roman" w:hAnsi="Times New Roman" w:cs="Times New Roman"/>
        </w:rPr>
        <w:t>an August 2012 Urfi marriage ceremony and a December 2012 civil ceremony.</w:t>
      </w:r>
      <w:r w:rsidRPr="007F5A2C">
        <w:rPr>
          <w:rFonts w:ascii="Times New Roman" w:hAnsi="Times New Roman" w:cs="Times New Roman"/>
        </w:rPr>
        <w:t xml:space="preserve"> A second property in Egypt, Apartment 4, was purchased after August 2012 Urfi ceremony, but before the December 2012 civil ceremony. </w:t>
      </w:r>
      <w:r w:rsidRPr="005B5C4C">
        <w:rPr>
          <w:rFonts w:ascii="Times New Roman" w:hAnsi="Times New Roman" w:cs="Times New Roman"/>
        </w:rPr>
        <w:t>Supreme Court determined that the parties</w:t>
      </w:r>
      <w:r w:rsidRPr="007F5A2C">
        <w:rPr>
          <w:rFonts w:ascii="Times New Roman" w:hAnsi="Times New Roman" w:cs="Times New Roman"/>
          <w:b/>
          <w:bCs/>
        </w:rPr>
        <w:t>’</w:t>
      </w:r>
      <w:r w:rsidRPr="005B5C4C">
        <w:rPr>
          <w:rFonts w:ascii="Times New Roman" w:hAnsi="Times New Roman" w:cs="Times New Roman"/>
        </w:rPr>
        <w:t> Urfi marriage would be legally recognized in Egypt</w:t>
      </w:r>
      <w:r w:rsidRPr="007F5A2C">
        <w:rPr>
          <w:rFonts w:ascii="Times New Roman" w:hAnsi="Times New Roman" w:cs="Times New Roman"/>
        </w:rPr>
        <w:t xml:space="preserve"> but invoked “</w:t>
      </w:r>
      <w:r w:rsidRPr="005B5C4C">
        <w:rPr>
          <w:rFonts w:ascii="Times New Roman" w:hAnsi="Times New Roman" w:cs="Times New Roman"/>
        </w:rPr>
        <w:t>the natural law exception</w:t>
      </w:r>
      <w:r w:rsidRPr="007F5A2C">
        <w:rPr>
          <w:rFonts w:ascii="Times New Roman" w:hAnsi="Times New Roman" w:cs="Times New Roman"/>
        </w:rPr>
        <w:t xml:space="preserve">” to marriage recognition, </w:t>
      </w:r>
      <w:r w:rsidRPr="005B5C4C">
        <w:rPr>
          <w:rFonts w:ascii="Times New Roman" w:hAnsi="Times New Roman" w:cs="Times New Roman"/>
        </w:rPr>
        <w:t xml:space="preserve">finding that </w:t>
      </w:r>
      <w:r w:rsidRPr="007F5A2C">
        <w:rPr>
          <w:rFonts w:ascii="Times New Roman" w:hAnsi="Times New Roman" w:cs="Times New Roman"/>
        </w:rPr>
        <w:t>“</w:t>
      </w:r>
      <w:r w:rsidRPr="005B5C4C">
        <w:rPr>
          <w:rFonts w:ascii="Times New Roman" w:hAnsi="Times New Roman" w:cs="Times New Roman"/>
        </w:rPr>
        <w:t>Urfi marriages in Egypt are not consistent with our public policy regarding the equality of treatment of the spouses in a marriage as well as the economic partnership created.</w:t>
      </w:r>
      <w:r w:rsidRPr="007F5A2C">
        <w:rPr>
          <w:rFonts w:ascii="Times New Roman" w:hAnsi="Times New Roman" w:cs="Times New Roman"/>
        </w:rPr>
        <w:t>”</w:t>
      </w:r>
      <w:r>
        <w:rPr>
          <w:rFonts w:ascii="Times New Roman" w:hAnsi="Times New Roman" w:cs="Times New Roman"/>
        </w:rPr>
        <w:t xml:space="preserve"> </w:t>
      </w:r>
      <w:r w:rsidRPr="007F5A2C">
        <w:rPr>
          <w:rFonts w:ascii="Times New Roman" w:hAnsi="Times New Roman" w:cs="Times New Roman"/>
        </w:rPr>
        <w:t xml:space="preserve">The First Department modified, on the law, the facts, and in the exercise of discretion, to </w:t>
      </w:r>
      <w:r>
        <w:rPr>
          <w:rFonts w:ascii="Times New Roman" w:hAnsi="Times New Roman" w:cs="Times New Roman"/>
        </w:rPr>
        <w:t xml:space="preserve">direct </w:t>
      </w:r>
      <w:r w:rsidRPr="007F5A2C">
        <w:rPr>
          <w:rFonts w:ascii="Times New Roman" w:hAnsi="Times New Roman" w:cs="Times New Roman"/>
        </w:rPr>
        <w:t>that both Apartments 4 and 5 be sold, subject to the same 90%/10% distribution.</w:t>
      </w:r>
      <w:r w:rsidRPr="005B5C4C">
        <w:rPr>
          <w:rFonts w:ascii="Times New Roman" w:hAnsi="Times New Roman" w:cs="Times New Roman"/>
        </w:rPr>
        <w:t xml:space="preserve"> </w:t>
      </w:r>
      <w:r w:rsidRPr="007F5A2C">
        <w:rPr>
          <w:rFonts w:ascii="Times New Roman" w:hAnsi="Times New Roman" w:cs="Times New Roman"/>
        </w:rPr>
        <w:t>The Appellate Division held: “</w:t>
      </w:r>
      <w:r w:rsidRPr="005B5C4C">
        <w:rPr>
          <w:rFonts w:ascii="Times New Roman" w:hAnsi="Times New Roman" w:cs="Times New Roman"/>
        </w:rPr>
        <w:t>Contrary to Supreme Court's finding, the August 2012 Urfi marriage did not fall within the natural law exception to the marriage recognition rule</w:t>
      </w:r>
      <w:r w:rsidRPr="007F5A2C">
        <w:rPr>
          <w:rFonts w:ascii="Times New Roman" w:hAnsi="Times New Roman" w:cs="Times New Roman"/>
        </w:rPr>
        <w:t xml:space="preserve"> *** [and] </w:t>
      </w:r>
      <w:r w:rsidRPr="005B5C4C">
        <w:rPr>
          <w:rFonts w:ascii="Times New Roman" w:hAnsi="Times New Roman" w:cs="Times New Roman"/>
        </w:rPr>
        <w:t>its interpretation of the unequal economic partnership in Urfi marriages fails to give rise to the abhorrence necessary to invoke the exception (</w:t>
      </w:r>
      <w:r w:rsidRPr="007F5A2C">
        <w:rPr>
          <w:rFonts w:ascii="Times New Roman" w:hAnsi="Times New Roman" w:cs="Times New Roman"/>
        </w:rPr>
        <w:t>citation omitted)</w:t>
      </w:r>
      <w:r w:rsidRPr="005B5C4C">
        <w:rPr>
          <w:rFonts w:ascii="Times New Roman" w:hAnsi="Times New Roman" w:cs="Times New Roman"/>
        </w:rPr>
        <w:t>, as it is not offensive to the public</w:t>
      </w:r>
      <w:r w:rsidRPr="007F5A2C">
        <w:rPr>
          <w:rFonts w:ascii="Times New Roman" w:hAnsi="Times New Roman" w:cs="Times New Roman"/>
        </w:rPr>
        <w:t>’</w:t>
      </w:r>
      <w:r w:rsidRPr="005B5C4C">
        <w:rPr>
          <w:rFonts w:ascii="Times New Roman" w:hAnsi="Times New Roman" w:cs="Times New Roman"/>
        </w:rPr>
        <w:t xml:space="preserve">s sense of morality to a degree regarded generally with abhorrence and thus was not within the inhibitions of natural law </w:t>
      </w:r>
      <w:r w:rsidRPr="007F5A2C">
        <w:rPr>
          <w:rFonts w:ascii="Times New Roman" w:hAnsi="Times New Roman" w:cs="Times New Roman"/>
        </w:rPr>
        <w:t xml:space="preserve">(internal </w:t>
      </w:r>
      <w:r w:rsidRPr="007F5A2C">
        <w:rPr>
          <w:rFonts w:ascii="Times New Roman" w:hAnsi="Times New Roman" w:cs="Times New Roman"/>
        </w:rPr>
        <w:lastRenderedPageBreak/>
        <w:t>quotation marks and citation omitted).</w:t>
      </w:r>
      <w:r>
        <w:rPr>
          <w:rFonts w:ascii="Times New Roman" w:hAnsi="Times New Roman" w:cs="Times New Roman"/>
        </w:rPr>
        <w:t xml:space="preserve">” </w:t>
      </w:r>
      <w:r w:rsidRPr="007F5A2C">
        <w:rPr>
          <w:rFonts w:ascii="Times New Roman" w:hAnsi="Times New Roman" w:cs="Times New Roman"/>
        </w:rPr>
        <w:t>The Court concluded “</w:t>
      </w:r>
      <w:r w:rsidRPr="005B5C4C">
        <w:rPr>
          <w:rFonts w:ascii="Times New Roman" w:hAnsi="Times New Roman" w:cs="Times New Roman"/>
        </w:rPr>
        <w:t>the Urfi marriage is entitled to comity</w:t>
      </w:r>
      <w:r w:rsidRPr="007F5A2C">
        <w:rPr>
          <w:rFonts w:ascii="Times New Roman" w:hAnsi="Times New Roman" w:cs="Times New Roman"/>
        </w:rPr>
        <w:t xml:space="preserve"> *** [and] </w:t>
      </w:r>
      <w:r w:rsidRPr="005B5C4C">
        <w:rPr>
          <w:rFonts w:ascii="Times New Roman" w:hAnsi="Times New Roman" w:cs="Times New Roman"/>
        </w:rPr>
        <w:t>Apartment 4 in Egypt, which was purchased after the Urfi marriage, was not the husband</w:t>
      </w:r>
      <w:r w:rsidRPr="007F5A2C">
        <w:rPr>
          <w:rFonts w:ascii="Times New Roman" w:hAnsi="Times New Roman" w:cs="Times New Roman"/>
        </w:rPr>
        <w:t>’</w:t>
      </w:r>
      <w:r w:rsidRPr="005B5C4C">
        <w:rPr>
          <w:rFonts w:ascii="Times New Roman" w:hAnsi="Times New Roman" w:cs="Times New Roman"/>
        </w:rPr>
        <w:t>s separate property</w:t>
      </w:r>
      <w:r w:rsidRPr="007F5A2C">
        <w:rPr>
          <w:rFonts w:ascii="Times New Roman" w:hAnsi="Times New Roman" w:cs="Times New Roman"/>
        </w:rPr>
        <w:t>.”</w:t>
      </w:r>
    </w:p>
    <w:p w14:paraId="40BD0BFE" w14:textId="77777777" w:rsidR="00470443" w:rsidRDefault="00470443" w:rsidP="00963AA1">
      <w:pPr>
        <w:pStyle w:val="Heading2"/>
        <w:numPr>
          <w:ilvl w:val="0"/>
          <w:numId w:val="0"/>
        </w:numPr>
        <w:spacing w:line="240" w:lineRule="auto"/>
        <w:contextualSpacing/>
        <w:jc w:val="both"/>
        <w:rPr>
          <w:rFonts w:ascii="Times New Roman" w:hAnsi="Times New Roman" w:cs="Times New Roman"/>
        </w:rPr>
      </w:pPr>
    </w:p>
    <w:p w14:paraId="26A7C5E6" w14:textId="5AB353A3" w:rsidR="00470443" w:rsidRDefault="00470443" w:rsidP="00963AA1">
      <w:pPr>
        <w:pStyle w:val="Heading2"/>
        <w:numPr>
          <w:ilvl w:val="0"/>
          <w:numId w:val="0"/>
        </w:numPr>
        <w:spacing w:line="240" w:lineRule="auto"/>
        <w:contextualSpacing/>
        <w:jc w:val="both"/>
        <w:rPr>
          <w:rFonts w:ascii="Times New Roman" w:hAnsi="Times New Roman" w:cs="Times New Roman"/>
          <w:b/>
          <w:bCs/>
        </w:rPr>
      </w:pPr>
      <w:r w:rsidRPr="00470443">
        <w:rPr>
          <w:rFonts w:ascii="Times New Roman" w:hAnsi="Times New Roman" w:cs="Times New Roman"/>
          <w:b/>
          <w:bCs/>
        </w:rPr>
        <w:t>Procedure – Default Vacatur Denied – No Reasonable Excuse</w:t>
      </w:r>
    </w:p>
    <w:p w14:paraId="7C3977EC" w14:textId="77777777" w:rsidR="00F93097" w:rsidRDefault="00F93097" w:rsidP="00963AA1">
      <w:pPr>
        <w:pStyle w:val="Heading2"/>
        <w:numPr>
          <w:ilvl w:val="0"/>
          <w:numId w:val="0"/>
        </w:numPr>
        <w:spacing w:line="240" w:lineRule="auto"/>
        <w:contextualSpacing/>
        <w:jc w:val="both"/>
        <w:rPr>
          <w:rFonts w:ascii="Times New Roman" w:hAnsi="Times New Roman" w:cs="Times New Roman"/>
          <w:b/>
          <w:bCs/>
        </w:rPr>
      </w:pPr>
    </w:p>
    <w:p w14:paraId="695617D3" w14:textId="0BC54C90" w:rsidR="00F93097" w:rsidRDefault="00F93097" w:rsidP="00963AA1">
      <w:pPr>
        <w:pStyle w:val="Heading2"/>
        <w:numPr>
          <w:ilvl w:val="0"/>
          <w:numId w:val="0"/>
        </w:numPr>
        <w:spacing w:line="240" w:lineRule="auto"/>
        <w:contextualSpacing/>
        <w:jc w:val="both"/>
        <w:rPr>
          <w:rFonts w:ascii="Times New Roman" w:hAnsi="Times New Roman" w:cs="Times New Roman"/>
          <w:b/>
          <w:bCs/>
        </w:rPr>
      </w:pPr>
      <w:r>
        <w:rPr>
          <w:rFonts w:ascii="Times New Roman" w:hAnsi="Times New Roman" w:cs="Times New Roman"/>
        </w:rPr>
        <w:tab/>
        <w:t xml:space="preserve">In </w:t>
      </w:r>
      <w:r w:rsidRPr="00F93097">
        <w:rPr>
          <w:rFonts w:ascii="Times New Roman" w:hAnsi="Times New Roman" w:cs="Times New Roman"/>
          <w:b/>
          <w:bCs/>
          <w:i/>
          <w:iCs/>
        </w:rPr>
        <w:t>Matter of M.W. v. R.W.</w:t>
      </w:r>
      <w:r>
        <w:rPr>
          <w:rFonts w:ascii="Times New Roman" w:hAnsi="Times New Roman" w:cs="Times New Roman"/>
        </w:rPr>
        <w:t>, 2025 Westlaw 2723820 (1</w:t>
      </w:r>
      <w:r w:rsidRPr="006255D7">
        <w:rPr>
          <w:rFonts w:ascii="Times New Roman" w:hAnsi="Times New Roman" w:cs="Times New Roman"/>
          <w:vertAlign w:val="superscript"/>
        </w:rPr>
        <w:t>st</w:t>
      </w:r>
      <w:r>
        <w:rPr>
          <w:rFonts w:ascii="Times New Roman" w:hAnsi="Times New Roman" w:cs="Times New Roman"/>
        </w:rPr>
        <w:t xml:space="preserve"> Dept. Sept. 25, 2025), respondent appealed from a May 2024 Family Court order, which denied his motion to vacate a 5-year order of protection entered against him following his default in appearance for a May 11, 2023 inquest. The First Department affirmed, holding that respondent “failed to establish a reasonable excuse for his failure to appear *** (citations omitted).</w:t>
      </w:r>
      <w:r w:rsidR="00AB1C59">
        <w:rPr>
          <w:rFonts w:ascii="Times New Roman" w:hAnsi="Times New Roman" w:cs="Times New Roman"/>
        </w:rPr>
        <w:t>”</w:t>
      </w:r>
      <w:r>
        <w:rPr>
          <w:rFonts w:ascii="Times New Roman" w:hAnsi="Times New Roman" w:cs="Times New Roman"/>
        </w:rPr>
        <w:t xml:space="preserve"> The Appellate Division observed that: respondent’s motion “was not supported by any competent admissible evidence showing that he was hospitalized on May 11, 2023 and unable to appear for the inquest (citation omitted)”; “[n]or did the fact that certain medical providers contacted petitioner at an unspecified time on the May 11, 2023, court date corroborate respondent’s contention that he was unable to appear in court for medical reasons”; and “respondent has a history of failing to appear in court at critical points during proceedings (citation omitted).” Given the lack of a reasonable excuse for respondent’s default, the Court did not need to determine whether he had a meritorious defense.</w:t>
      </w:r>
    </w:p>
    <w:p w14:paraId="07C67393" w14:textId="77777777" w:rsidR="007E6901" w:rsidRPr="008C186F" w:rsidRDefault="007E6901" w:rsidP="00963AA1">
      <w:pPr>
        <w:pStyle w:val="Heading2"/>
        <w:numPr>
          <w:ilvl w:val="0"/>
          <w:numId w:val="0"/>
        </w:numPr>
        <w:spacing w:line="240" w:lineRule="auto"/>
        <w:contextualSpacing/>
        <w:jc w:val="both"/>
        <w:rPr>
          <w:rFonts w:ascii="Times New Roman" w:hAnsi="Times New Roman" w:cs="Times New Roman"/>
          <w:b/>
          <w:bCs/>
        </w:rPr>
      </w:pPr>
    </w:p>
    <w:p w14:paraId="26086FBF" w14:textId="54796158" w:rsidR="003B59AD" w:rsidRPr="007555CE" w:rsidRDefault="003B59AD" w:rsidP="007555CE">
      <w:pPr>
        <w:pStyle w:val="Heading1"/>
        <w:numPr>
          <w:ilvl w:val="0"/>
          <w:numId w:val="0"/>
        </w:numPr>
        <w:ind w:left="720" w:hanging="720"/>
        <w:rPr>
          <w:b/>
          <w:bCs/>
          <w:u w:val="single"/>
        </w:rPr>
      </w:pPr>
      <w:r w:rsidRPr="007555CE">
        <w:rPr>
          <w:rFonts w:ascii="Times New Roman" w:hAnsi="Times New Roman" w:cs="Times New Roman"/>
          <w:b/>
          <w:bCs/>
          <w:u w:val="single"/>
        </w:rPr>
        <w:t>LEGISLATIVE AND COURT RULE ITEMS</w:t>
      </w:r>
    </w:p>
    <w:p w14:paraId="782CEC95" w14:textId="184E8E79" w:rsidR="00BF67C7" w:rsidRDefault="00D02143" w:rsidP="00D02143">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r>
      <w:r w:rsidR="00FC3718" w:rsidRPr="00FC3718">
        <w:rPr>
          <w:rFonts w:ascii="Times New Roman" w:hAnsi="Times New Roman" w:cs="Times New Roman"/>
        </w:rPr>
        <w:t>As of the afternoon of</w:t>
      </w:r>
      <w:r w:rsidR="00653A61">
        <w:rPr>
          <w:rFonts w:ascii="Times New Roman" w:hAnsi="Times New Roman" w:cs="Times New Roman"/>
        </w:rPr>
        <w:t xml:space="preserve"> </w:t>
      </w:r>
      <w:r w:rsidR="00817AF0">
        <w:rPr>
          <w:rFonts w:ascii="Times New Roman" w:hAnsi="Times New Roman" w:cs="Times New Roman"/>
        </w:rPr>
        <w:t xml:space="preserve">October </w:t>
      </w:r>
      <w:r w:rsidR="00470443">
        <w:rPr>
          <w:rFonts w:ascii="Times New Roman" w:hAnsi="Times New Roman" w:cs="Times New Roman"/>
        </w:rPr>
        <w:t>3</w:t>
      </w:r>
      <w:r w:rsidR="00FC3718" w:rsidRPr="00FC3718">
        <w:rPr>
          <w:rFonts w:ascii="Times New Roman" w:hAnsi="Times New Roman" w:cs="Times New Roman"/>
        </w:rPr>
        <w:t xml:space="preserve">, 2025, </w:t>
      </w:r>
      <w:r w:rsidR="0019396E">
        <w:rPr>
          <w:rFonts w:ascii="Times New Roman" w:hAnsi="Times New Roman" w:cs="Times New Roman"/>
        </w:rPr>
        <w:t xml:space="preserve">save for the items covered in the September 2025 </w:t>
      </w:r>
      <w:r w:rsidR="008F017B">
        <w:rPr>
          <w:rFonts w:ascii="Times New Roman" w:hAnsi="Times New Roman" w:cs="Times New Roman"/>
          <w:i/>
          <w:iCs/>
        </w:rPr>
        <w:t>Update</w:t>
      </w:r>
      <w:r w:rsidR="0019396E">
        <w:rPr>
          <w:rFonts w:ascii="Times New Roman" w:hAnsi="Times New Roman" w:cs="Times New Roman"/>
        </w:rPr>
        <w:t xml:space="preserve">, </w:t>
      </w:r>
      <w:r w:rsidR="00FC3718" w:rsidRPr="00FC3718">
        <w:rPr>
          <w:rFonts w:ascii="Times New Roman" w:hAnsi="Times New Roman" w:cs="Times New Roman"/>
        </w:rPr>
        <w:t xml:space="preserve">no </w:t>
      </w:r>
      <w:r>
        <w:rPr>
          <w:rFonts w:ascii="Times New Roman" w:hAnsi="Times New Roman" w:cs="Times New Roman"/>
        </w:rPr>
        <w:t xml:space="preserve">other </w:t>
      </w:r>
      <w:r w:rsidR="00FC3718" w:rsidRPr="00FC3718">
        <w:rPr>
          <w:rFonts w:ascii="Times New Roman" w:hAnsi="Times New Roman" w:cs="Times New Roman"/>
        </w:rPr>
        <w:t xml:space="preserve">passed legislation detailed in the July 2025 </w:t>
      </w:r>
      <w:r w:rsidR="008F017B" w:rsidRPr="008F017B">
        <w:rPr>
          <w:rFonts w:ascii="Times New Roman" w:hAnsi="Times New Roman" w:cs="Times New Roman"/>
          <w:i/>
          <w:iCs/>
        </w:rPr>
        <w:t>Update</w:t>
      </w:r>
      <w:r w:rsidR="00FC3718" w:rsidRPr="00FC3718">
        <w:rPr>
          <w:rFonts w:ascii="Times New Roman" w:hAnsi="Times New Roman" w:cs="Times New Roman"/>
        </w:rPr>
        <w:t xml:space="preserve"> has been </w:t>
      </w:r>
      <w:r w:rsidR="00A13080">
        <w:rPr>
          <w:rFonts w:ascii="Times New Roman" w:hAnsi="Times New Roman" w:cs="Times New Roman"/>
        </w:rPr>
        <w:t>enacted</w:t>
      </w:r>
      <w:r w:rsidR="00FC3718" w:rsidRPr="00FC3718">
        <w:rPr>
          <w:rFonts w:ascii="Times New Roman" w:hAnsi="Times New Roman" w:cs="Times New Roman"/>
        </w:rPr>
        <w:t xml:space="preserve">, and none of the proposed Court rule amendments have </w:t>
      </w:r>
      <w:r w:rsidR="00E74823">
        <w:rPr>
          <w:rFonts w:ascii="Times New Roman" w:hAnsi="Times New Roman" w:cs="Times New Roman"/>
        </w:rPr>
        <w:t xml:space="preserve">yet </w:t>
      </w:r>
      <w:r w:rsidR="00FC3718" w:rsidRPr="00FC3718">
        <w:rPr>
          <w:rFonts w:ascii="Times New Roman" w:hAnsi="Times New Roman" w:cs="Times New Roman"/>
        </w:rPr>
        <w:t>been</w:t>
      </w:r>
      <w:r w:rsidR="00FC3718">
        <w:rPr>
          <w:rFonts w:ascii="Times New Roman" w:hAnsi="Times New Roman" w:cs="Times New Roman"/>
        </w:rPr>
        <w:t xml:space="preserve"> </w:t>
      </w:r>
      <w:r w:rsidR="00A13080">
        <w:rPr>
          <w:rFonts w:ascii="Times New Roman" w:hAnsi="Times New Roman" w:cs="Times New Roman"/>
        </w:rPr>
        <w:t>promulgated</w:t>
      </w:r>
      <w:r w:rsidR="00FC3718" w:rsidRPr="00FC3718">
        <w:rPr>
          <w:rFonts w:ascii="Times New Roman" w:hAnsi="Times New Roman" w:cs="Times New Roman"/>
        </w:rPr>
        <w:t>.</w:t>
      </w:r>
    </w:p>
    <w:p w14:paraId="5B34E38E" w14:textId="77777777" w:rsidR="00FA02DA" w:rsidRDefault="00FA02DA" w:rsidP="00D02143">
      <w:pPr>
        <w:pStyle w:val="Heading2"/>
        <w:numPr>
          <w:ilvl w:val="0"/>
          <w:numId w:val="0"/>
        </w:numPr>
        <w:spacing w:line="240" w:lineRule="auto"/>
        <w:contextualSpacing/>
        <w:jc w:val="both"/>
        <w:rPr>
          <w:rFonts w:ascii="Times New Roman" w:hAnsi="Times New Roman" w:cs="Times New Roman"/>
        </w:rPr>
      </w:pPr>
    </w:p>
    <w:p w14:paraId="1040B456" w14:textId="228D2807" w:rsidR="00FA02DA" w:rsidRDefault="00FA02DA" w:rsidP="00D02143">
      <w:pPr>
        <w:pStyle w:val="Heading2"/>
        <w:numPr>
          <w:ilvl w:val="0"/>
          <w:numId w:val="0"/>
        </w:numPr>
        <w:spacing w:line="240" w:lineRule="auto"/>
        <w:contextualSpacing/>
        <w:jc w:val="both"/>
        <w:rPr>
          <w:rFonts w:ascii="Times New Roman" w:hAnsi="Times New Roman" w:cs="Times New Roman"/>
          <w:b/>
          <w:bCs/>
          <w:u w:val="single"/>
        </w:rPr>
      </w:pPr>
      <w:r w:rsidRPr="00FA02DA">
        <w:rPr>
          <w:rFonts w:ascii="Times New Roman" w:hAnsi="Times New Roman" w:cs="Times New Roman"/>
          <w:b/>
          <w:bCs/>
          <w:u w:val="single"/>
        </w:rPr>
        <w:t>Alternative Dispute Resolution</w:t>
      </w:r>
    </w:p>
    <w:p w14:paraId="0A015235" w14:textId="77777777" w:rsidR="00FA02DA" w:rsidRDefault="00FA02DA" w:rsidP="00D02143">
      <w:pPr>
        <w:pStyle w:val="Heading2"/>
        <w:numPr>
          <w:ilvl w:val="0"/>
          <w:numId w:val="0"/>
        </w:numPr>
        <w:spacing w:line="240" w:lineRule="auto"/>
        <w:contextualSpacing/>
        <w:jc w:val="both"/>
        <w:rPr>
          <w:rFonts w:ascii="Times New Roman" w:hAnsi="Times New Roman" w:cs="Times New Roman"/>
          <w:b/>
          <w:bCs/>
          <w:u w:val="single"/>
        </w:rPr>
      </w:pPr>
    </w:p>
    <w:p w14:paraId="07205041" w14:textId="026D3B1B" w:rsidR="00FA02DA" w:rsidRPr="00FA02DA" w:rsidRDefault="00FA02DA" w:rsidP="00D02143">
      <w:pPr>
        <w:pStyle w:val="Heading2"/>
        <w:numPr>
          <w:ilvl w:val="0"/>
          <w:numId w:val="0"/>
        </w:numPr>
        <w:spacing w:line="240" w:lineRule="auto"/>
        <w:contextualSpacing/>
        <w:jc w:val="both"/>
        <w:rPr>
          <w:b/>
          <w:bCs/>
          <w:u w:val="single"/>
        </w:rPr>
      </w:pPr>
      <w:r>
        <w:rPr>
          <w:rFonts w:ascii="Times New Roman" w:hAnsi="Times New Roman" w:cs="Times New Roman"/>
        </w:rPr>
        <w:tab/>
      </w:r>
      <w:r>
        <w:rPr>
          <w:rFonts w:ascii="Times New Roman" w:hAnsi="Times New Roman" w:cs="Times New Roman"/>
        </w:rPr>
        <w:t xml:space="preserve">22 NYCRR </w:t>
      </w:r>
      <w:r w:rsidRPr="00A370B4">
        <w:rPr>
          <w:rFonts w:ascii="Times New Roman" w:hAnsi="Times New Roman" w:cs="Times New Roman"/>
        </w:rPr>
        <w:t>§§</w:t>
      </w:r>
      <w:r>
        <w:rPr>
          <w:rFonts w:ascii="Times New Roman" w:hAnsi="Times New Roman" w:cs="Times New Roman"/>
        </w:rPr>
        <w:t xml:space="preserve">160.1(f), 160.2(a) and 160.5 </w:t>
      </w:r>
      <w:r w:rsidRPr="00F16BBC">
        <w:rPr>
          <w:rFonts w:ascii="Times New Roman" w:hAnsi="Times New Roman" w:cs="Times New Roman"/>
          <w:b/>
          <w:bCs/>
          <w:u w:val="single"/>
        </w:rPr>
        <w:t>would be amended</w:t>
      </w:r>
      <w:r>
        <w:rPr>
          <w:rFonts w:ascii="Times New Roman" w:hAnsi="Times New Roman" w:cs="Times New Roman"/>
        </w:rPr>
        <w:t xml:space="preserve"> </w:t>
      </w:r>
      <w:r>
        <w:rPr>
          <w:rFonts w:ascii="Times New Roman" w:hAnsi="Times New Roman" w:cs="Times New Roman"/>
        </w:rPr>
        <w:t xml:space="preserve">to change the phrase “Statewide ADR Office” to “Division of ADR” and </w:t>
      </w:r>
      <w:r w:rsidRPr="00A370B4">
        <w:rPr>
          <w:rFonts w:ascii="Times New Roman" w:hAnsi="Times New Roman" w:cs="Times New Roman"/>
        </w:rPr>
        <w:t>§</w:t>
      </w:r>
      <w:r>
        <w:rPr>
          <w:rFonts w:ascii="Times New Roman" w:hAnsi="Times New Roman" w:cs="Times New Roman"/>
        </w:rPr>
        <w:t>160.3(a)</w:t>
      </w:r>
      <w:r>
        <w:rPr>
          <w:rFonts w:ascii="Times New Roman" w:hAnsi="Times New Roman" w:cs="Times New Roman"/>
        </w:rPr>
        <w:t xml:space="preserve"> </w:t>
      </w:r>
      <w:r w:rsidRPr="00FA02DA">
        <w:rPr>
          <w:rFonts w:ascii="Times New Roman" w:hAnsi="Times New Roman" w:cs="Times New Roman"/>
          <w:b/>
          <w:bCs/>
          <w:u w:val="single"/>
        </w:rPr>
        <w:t>would be amended</w:t>
      </w:r>
      <w:r>
        <w:rPr>
          <w:rFonts w:ascii="Times New Roman" w:hAnsi="Times New Roman" w:cs="Times New Roman"/>
        </w:rPr>
        <w:t xml:space="preserve"> to clarify the scope of confidentiality among ADR processes. Presently, </w:t>
      </w:r>
      <w:r w:rsidR="00CB3C17" w:rsidRPr="00A370B4">
        <w:rPr>
          <w:rFonts w:ascii="Times New Roman" w:hAnsi="Times New Roman" w:cs="Times New Roman"/>
        </w:rPr>
        <w:t>§</w:t>
      </w:r>
      <w:r>
        <w:rPr>
          <w:rFonts w:ascii="Times New Roman" w:hAnsi="Times New Roman" w:cs="Times New Roman"/>
        </w:rPr>
        <w:t xml:space="preserve">160.3(a) provides that confidentiality applies to “an ADR process.” The phrase “ADR process” would be deleted and replaced by </w:t>
      </w:r>
      <w:r w:rsidR="00CB3C17">
        <w:rPr>
          <w:rFonts w:ascii="Times New Roman" w:hAnsi="Times New Roman" w:cs="Times New Roman"/>
        </w:rPr>
        <w:t>“</w:t>
      </w:r>
      <w:r>
        <w:rPr>
          <w:rFonts w:ascii="Times New Roman" w:hAnsi="Times New Roman" w:cs="Times New Roman"/>
        </w:rPr>
        <w:t xml:space="preserve">mediation or neutral evaluation.” </w:t>
      </w:r>
      <w:r>
        <w:rPr>
          <w:rFonts w:ascii="Times New Roman" w:hAnsi="Times New Roman" w:cs="Times New Roman"/>
        </w:rPr>
        <w:t>(Memorandum of David Nocenti, Esq., Counsel, NYS Unified Court System</w:t>
      </w:r>
      <w:r w:rsidR="00CB3C17">
        <w:rPr>
          <w:rFonts w:ascii="Times New Roman" w:hAnsi="Times New Roman" w:cs="Times New Roman"/>
        </w:rPr>
        <w:t>,</w:t>
      </w:r>
      <w:r>
        <w:rPr>
          <w:rFonts w:ascii="Times New Roman" w:hAnsi="Times New Roman" w:cs="Times New Roman"/>
        </w:rPr>
        <w:t xml:space="preserve"> dated </w:t>
      </w:r>
      <w:r>
        <w:rPr>
          <w:rFonts w:ascii="Times New Roman" w:hAnsi="Times New Roman" w:cs="Times New Roman"/>
        </w:rPr>
        <w:t xml:space="preserve">September 29, 2025 </w:t>
      </w:r>
      <w:r>
        <w:rPr>
          <w:rFonts w:ascii="Times New Roman" w:hAnsi="Times New Roman" w:cs="Times New Roman"/>
        </w:rPr>
        <w:t>at 1). For the complete text and proposed amendments, see</w:t>
      </w:r>
      <w:r w:rsidR="00CB3C17">
        <w:rPr>
          <w:rFonts w:ascii="Times New Roman" w:hAnsi="Times New Roman" w:cs="Times New Roman"/>
        </w:rPr>
        <w:t xml:space="preserve"> </w:t>
      </w:r>
      <w:hyperlink r:id="rId7" w:history="1">
        <w:r w:rsidR="00CB3C17" w:rsidRPr="00CB3C17">
          <w:rPr>
            <w:rStyle w:val="Hyperlink"/>
            <w:rFonts w:ascii="Times New Roman" w:hAnsi="Times New Roman" w:cs="Times New Roman"/>
          </w:rPr>
          <w:t>requestforpubliccomment-adrconfidentiality-092925.pdf</w:t>
        </w:r>
      </w:hyperlink>
      <w:r w:rsidR="00CB3C17">
        <w:rPr>
          <w:rFonts w:ascii="Times New Roman" w:hAnsi="Times New Roman" w:cs="Times New Roman"/>
        </w:rPr>
        <w:t xml:space="preserve"> which can be accessed via the page </w:t>
      </w:r>
      <w:hyperlink r:id="rId8" w:history="1">
        <w:r w:rsidR="00CB3C17" w:rsidRPr="00CB3C17">
          <w:rPr>
            <w:rStyle w:val="Hyperlink"/>
            <w:rFonts w:ascii="Times New Roman" w:hAnsi="Times New Roman" w:cs="Times New Roman"/>
          </w:rPr>
          <w:t>Rules - Requests for Public Comment | NYCOURTS.GOV</w:t>
        </w:r>
      </w:hyperlink>
      <w:r>
        <w:rPr>
          <w:rFonts w:ascii="Times New Roman" w:hAnsi="Times New Roman" w:cs="Times New Roman"/>
        </w:rPr>
        <w:t xml:space="preserve"> </w:t>
      </w:r>
      <w:r w:rsidRPr="00F16BBC">
        <w:rPr>
          <w:rFonts w:ascii="Times New Roman" w:hAnsi="Times New Roman" w:cs="Times New Roman"/>
          <w:b/>
          <w:bCs/>
          <w:u w:val="single"/>
        </w:rPr>
        <w:t xml:space="preserve">Public Comment is requested by </w:t>
      </w:r>
      <w:r w:rsidR="00CB3C17">
        <w:rPr>
          <w:rFonts w:ascii="Times New Roman" w:hAnsi="Times New Roman" w:cs="Times New Roman"/>
          <w:b/>
          <w:bCs/>
          <w:u w:val="single"/>
        </w:rPr>
        <w:t>November 21, 2025.</w:t>
      </w:r>
    </w:p>
    <w:sectPr w:rsidR="00FA02DA" w:rsidRPr="00FA02DA" w:rsidSect="00817AF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49565" w14:textId="77777777" w:rsidR="001B1BD5" w:rsidRDefault="001B1BD5" w:rsidP="0013568D">
      <w:pPr>
        <w:spacing w:after="0" w:line="240" w:lineRule="auto"/>
      </w:pPr>
      <w:r>
        <w:separator/>
      </w:r>
    </w:p>
  </w:endnote>
  <w:endnote w:type="continuationSeparator" w:id="0">
    <w:p w14:paraId="576263DA" w14:textId="77777777" w:rsidR="001B1BD5" w:rsidRDefault="001B1BD5" w:rsidP="00135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533471"/>
      <w:docPartObj>
        <w:docPartGallery w:val="Page Numbers (Bottom of Page)"/>
        <w:docPartUnique/>
      </w:docPartObj>
    </w:sdtPr>
    <w:sdtEndPr/>
    <w:sdtContent>
      <w:sdt>
        <w:sdtPr>
          <w:id w:val="-1769616900"/>
          <w:docPartObj>
            <w:docPartGallery w:val="Page Numbers (Top of Page)"/>
            <w:docPartUnique/>
          </w:docPartObj>
        </w:sdtPr>
        <w:sdtEndPr/>
        <w:sdtContent>
          <w:p w14:paraId="550BA402" w14:textId="24D70A7F" w:rsidR="0013568D" w:rsidRDefault="008F017B">
            <w:pPr>
              <w:pStyle w:val="Footer"/>
              <w:jc w:val="right"/>
            </w:pPr>
            <w:r w:rsidRPr="008F017B">
              <w:rPr>
                <w:b/>
                <w:bCs/>
                <w:i/>
                <w:iCs/>
              </w:rPr>
              <w:t>NYSBA Family Law Section Update</w:t>
            </w:r>
            <w:r w:rsidR="00434674" w:rsidRPr="00351E36">
              <w:rPr>
                <w:b/>
                <w:bCs/>
                <w:i/>
                <w:iCs/>
              </w:rPr>
              <w:t>,</w:t>
            </w:r>
            <w:r w:rsidR="00013D0E" w:rsidRPr="00351E36">
              <w:rPr>
                <w:b/>
                <w:bCs/>
                <w:i/>
                <w:iCs/>
              </w:rPr>
              <w:t xml:space="preserve"> </w:t>
            </w:r>
            <w:r w:rsidR="00F464B7">
              <w:rPr>
                <w:b/>
                <w:bCs/>
                <w:i/>
                <w:iCs/>
              </w:rPr>
              <w:t xml:space="preserve">October </w:t>
            </w:r>
            <w:r w:rsidR="00013D0E" w:rsidRPr="00351E36">
              <w:rPr>
                <w:b/>
                <w:bCs/>
                <w:i/>
                <w:iCs/>
              </w:rPr>
              <w:t>2025</w:t>
            </w:r>
            <w:r w:rsidR="00434674">
              <w:t xml:space="preserve">         </w:t>
            </w:r>
            <w:r w:rsidR="0013568D">
              <w:t xml:space="preserve">Page </w:t>
            </w:r>
            <w:r w:rsidR="0013568D">
              <w:rPr>
                <w:b/>
                <w:bCs/>
                <w:sz w:val="24"/>
                <w:szCs w:val="24"/>
              </w:rPr>
              <w:fldChar w:fldCharType="begin"/>
            </w:r>
            <w:r w:rsidR="0013568D">
              <w:rPr>
                <w:b/>
                <w:bCs/>
              </w:rPr>
              <w:instrText xml:space="preserve"> PAGE </w:instrText>
            </w:r>
            <w:r w:rsidR="0013568D">
              <w:rPr>
                <w:b/>
                <w:bCs/>
                <w:sz w:val="24"/>
                <w:szCs w:val="24"/>
              </w:rPr>
              <w:fldChar w:fldCharType="separate"/>
            </w:r>
            <w:r w:rsidR="0013568D">
              <w:rPr>
                <w:b/>
                <w:bCs/>
                <w:noProof/>
              </w:rPr>
              <w:t>2</w:t>
            </w:r>
            <w:r w:rsidR="0013568D">
              <w:rPr>
                <w:b/>
                <w:bCs/>
                <w:sz w:val="24"/>
                <w:szCs w:val="24"/>
              </w:rPr>
              <w:fldChar w:fldCharType="end"/>
            </w:r>
            <w:r w:rsidR="0013568D">
              <w:t xml:space="preserve"> of </w:t>
            </w:r>
            <w:r w:rsidR="0013568D">
              <w:rPr>
                <w:b/>
                <w:bCs/>
                <w:sz w:val="24"/>
                <w:szCs w:val="24"/>
              </w:rPr>
              <w:fldChar w:fldCharType="begin"/>
            </w:r>
            <w:r w:rsidR="0013568D">
              <w:rPr>
                <w:b/>
                <w:bCs/>
              </w:rPr>
              <w:instrText xml:space="preserve"> NUMPAGES  </w:instrText>
            </w:r>
            <w:r w:rsidR="0013568D">
              <w:rPr>
                <w:b/>
                <w:bCs/>
                <w:sz w:val="24"/>
                <w:szCs w:val="24"/>
              </w:rPr>
              <w:fldChar w:fldCharType="separate"/>
            </w:r>
            <w:r w:rsidR="0013568D">
              <w:rPr>
                <w:b/>
                <w:bCs/>
                <w:noProof/>
              </w:rPr>
              <w:t>2</w:t>
            </w:r>
            <w:r w:rsidR="0013568D">
              <w:rPr>
                <w:b/>
                <w:bCs/>
                <w:sz w:val="24"/>
                <w:szCs w:val="24"/>
              </w:rPr>
              <w:fldChar w:fldCharType="end"/>
            </w:r>
          </w:p>
        </w:sdtContent>
      </w:sdt>
    </w:sdtContent>
  </w:sdt>
  <w:p w14:paraId="1E4FB95E" w14:textId="77777777" w:rsidR="0013568D" w:rsidRDefault="00135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67465" w14:textId="77777777" w:rsidR="001B1BD5" w:rsidRDefault="001B1BD5" w:rsidP="0013568D">
      <w:pPr>
        <w:spacing w:after="0" w:line="240" w:lineRule="auto"/>
      </w:pPr>
      <w:r>
        <w:separator/>
      </w:r>
    </w:p>
  </w:footnote>
  <w:footnote w:type="continuationSeparator" w:id="0">
    <w:p w14:paraId="1DD39A1F" w14:textId="77777777" w:rsidR="001B1BD5" w:rsidRDefault="001B1BD5" w:rsidP="001356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16cid:durableId="782381646">
    <w:abstractNumId w:val="0"/>
  </w:num>
  <w:num w:numId="2" w16cid:durableId="1201943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16cid:durableId="188220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 w16cid:durableId="13855253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 w16cid:durableId="10170784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 w16cid:durableId="17510036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 w16cid:durableId="2006346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46"/>
    <w:rsid w:val="00000250"/>
    <w:rsid w:val="0000028D"/>
    <w:rsid w:val="00002466"/>
    <w:rsid w:val="00002FED"/>
    <w:rsid w:val="00013D0E"/>
    <w:rsid w:val="000254B3"/>
    <w:rsid w:val="00030C5E"/>
    <w:rsid w:val="00030E7B"/>
    <w:rsid w:val="000322B8"/>
    <w:rsid w:val="00032EA3"/>
    <w:rsid w:val="00033C3A"/>
    <w:rsid w:val="000401CE"/>
    <w:rsid w:val="000404FD"/>
    <w:rsid w:val="00041C00"/>
    <w:rsid w:val="00047F89"/>
    <w:rsid w:val="00051512"/>
    <w:rsid w:val="00051F5B"/>
    <w:rsid w:val="00052C0D"/>
    <w:rsid w:val="00053286"/>
    <w:rsid w:val="000540AA"/>
    <w:rsid w:val="000551E0"/>
    <w:rsid w:val="0005543C"/>
    <w:rsid w:val="000567CA"/>
    <w:rsid w:val="00060F94"/>
    <w:rsid w:val="0006218A"/>
    <w:rsid w:val="000625A6"/>
    <w:rsid w:val="00062CD7"/>
    <w:rsid w:val="000654AE"/>
    <w:rsid w:val="00066217"/>
    <w:rsid w:val="00066226"/>
    <w:rsid w:val="000662E8"/>
    <w:rsid w:val="00066D9F"/>
    <w:rsid w:val="0006780C"/>
    <w:rsid w:val="000700E4"/>
    <w:rsid w:val="00071082"/>
    <w:rsid w:val="00071B05"/>
    <w:rsid w:val="00073930"/>
    <w:rsid w:val="0007559B"/>
    <w:rsid w:val="00076A51"/>
    <w:rsid w:val="00076AAD"/>
    <w:rsid w:val="0008087F"/>
    <w:rsid w:val="000827AF"/>
    <w:rsid w:val="00083375"/>
    <w:rsid w:val="00084F76"/>
    <w:rsid w:val="00085BF5"/>
    <w:rsid w:val="00086653"/>
    <w:rsid w:val="000905EB"/>
    <w:rsid w:val="0009096F"/>
    <w:rsid w:val="00091F6C"/>
    <w:rsid w:val="00093E1C"/>
    <w:rsid w:val="00096BC4"/>
    <w:rsid w:val="00097CD9"/>
    <w:rsid w:val="000A116B"/>
    <w:rsid w:val="000A6E42"/>
    <w:rsid w:val="000B032A"/>
    <w:rsid w:val="000B21E3"/>
    <w:rsid w:val="000B536B"/>
    <w:rsid w:val="000B5F96"/>
    <w:rsid w:val="000B64E3"/>
    <w:rsid w:val="000C5DFF"/>
    <w:rsid w:val="000C785E"/>
    <w:rsid w:val="000D0CED"/>
    <w:rsid w:val="000D0EE5"/>
    <w:rsid w:val="000D110E"/>
    <w:rsid w:val="000D1406"/>
    <w:rsid w:val="000D2940"/>
    <w:rsid w:val="000D4808"/>
    <w:rsid w:val="000D69D6"/>
    <w:rsid w:val="000D6BCA"/>
    <w:rsid w:val="000D7ADC"/>
    <w:rsid w:val="000E242F"/>
    <w:rsid w:val="000F050B"/>
    <w:rsid w:val="000F1214"/>
    <w:rsid w:val="000F2339"/>
    <w:rsid w:val="000F286B"/>
    <w:rsid w:val="000F3158"/>
    <w:rsid w:val="000F3A58"/>
    <w:rsid w:val="000F47EE"/>
    <w:rsid w:val="0010284B"/>
    <w:rsid w:val="00105BF2"/>
    <w:rsid w:val="00105D6C"/>
    <w:rsid w:val="00107716"/>
    <w:rsid w:val="00110B69"/>
    <w:rsid w:val="00111B35"/>
    <w:rsid w:val="0011428F"/>
    <w:rsid w:val="00116A8B"/>
    <w:rsid w:val="001248D2"/>
    <w:rsid w:val="001258E1"/>
    <w:rsid w:val="001261EF"/>
    <w:rsid w:val="001270FF"/>
    <w:rsid w:val="0013228F"/>
    <w:rsid w:val="001334B5"/>
    <w:rsid w:val="00133775"/>
    <w:rsid w:val="00135004"/>
    <w:rsid w:val="0013568D"/>
    <w:rsid w:val="001372A1"/>
    <w:rsid w:val="00137E75"/>
    <w:rsid w:val="0014019F"/>
    <w:rsid w:val="001423A0"/>
    <w:rsid w:val="00142D95"/>
    <w:rsid w:val="00144E14"/>
    <w:rsid w:val="00147B98"/>
    <w:rsid w:val="001611AD"/>
    <w:rsid w:val="001626DE"/>
    <w:rsid w:val="00162DC8"/>
    <w:rsid w:val="00164586"/>
    <w:rsid w:val="0016480B"/>
    <w:rsid w:val="00166C26"/>
    <w:rsid w:val="00171E6E"/>
    <w:rsid w:val="001758DF"/>
    <w:rsid w:val="00176799"/>
    <w:rsid w:val="00177866"/>
    <w:rsid w:val="0018302A"/>
    <w:rsid w:val="00186704"/>
    <w:rsid w:val="001903F1"/>
    <w:rsid w:val="00191BDF"/>
    <w:rsid w:val="00191C80"/>
    <w:rsid w:val="001927B1"/>
    <w:rsid w:val="00192EA0"/>
    <w:rsid w:val="0019396E"/>
    <w:rsid w:val="00195367"/>
    <w:rsid w:val="00196B70"/>
    <w:rsid w:val="00197828"/>
    <w:rsid w:val="00197BE1"/>
    <w:rsid w:val="001A41F3"/>
    <w:rsid w:val="001A59EF"/>
    <w:rsid w:val="001A729B"/>
    <w:rsid w:val="001B09C1"/>
    <w:rsid w:val="001B1566"/>
    <w:rsid w:val="001B19AC"/>
    <w:rsid w:val="001B1BD5"/>
    <w:rsid w:val="001B28C0"/>
    <w:rsid w:val="001B5D93"/>
    <w:rsid w:val="001B66E4"/>
    <w:rsid w:val="001B67A5"/>
    <w:rsid w:val="001C238D"/>
    <w:rsid w:val="001D2A73"/>
    <w:rsid w:val="001D32E2"/>
    <w:rsid w:val="001D3CE2"/>
    <w:rsid w:val="001D4E49"/>
    <w:rsid w:val="001D5634"/>
    <w:rsid w:val="001D5F96"/>
    <w:rsid w:val="001D7603"/>
    <w:rsid w:val="001E1071"/>
    <w:rsid w:val="001E5734"/>
    <w:rsid w:val="001E60EC"/>
    <w:rsid w:val="001E6ACC"/>
    <w:rsid w:val="001E6C91"/>
    <w:rsid w:val="001E7DE2"/>
    <w:rsid w:val="001F1D15"/>
    <w:rsid w:val="001F1EAC"/>
    <w:rsid w:val="001F3A03"/>
    <w:rsid w:val="001F4407"/>
    <w:rsid w:val="001F4CBA"/>
    <w:rsid w:val="00200A25"/>
    <w:rsid w:val="00200D26"/>
    <w:rsid w:val="00202830"/>
    <w:rsid w:val="00202B4F"/>
    <w:rsid w:val="0020544D"/>
    <w:rsid w:val="00205554"/>
    <w:rsid w:val="00211262"/>
    <w:rsid w:val="00211575"/>
    <w:rsid w:val="00212037"/>
    <w:rsid w:val="002140D9"/>
    <w:rsid w:val="0021690E"/>
    <w:rsid w:val="002178BA"/>
    <w:rsid w:val="00222428"/>
    <w:rsid w:val="002300D3"/>
    <w:rsid w:val="00231ABD"/>
    <w:rsid w:val="002366B4"/>
    <w:rsid w:val="00236893"/>
    <w:rsid w:val="00240B7B"/>
    <w:rsid w:val="002418FB"/>
    <w:rsid w:val="002442F7"/>
    <w:rsid w:val="00245175"/>
    <w:rsid w:val="002476E7"/>
    <w:rsid w:val="00250F9D"/>
    <w:rsid w:val="002539EE"/>
    <w:rsid w:val="00255048"/>
    <w:rsid w:val="002576B1"/>
    <w:rsid w:val="00260F81"/>
    <w:rsid w:val="00263553"/>
    <w:rsid w:val="002635EA"/>
    <w:rsid w:val="0026369F"/>
    <w:rsid w:val="002640C3"/>
    <w:rsid w:val="00264B31"/>
    <w:rsid w:val="00264D9B"/>
    <w:rsid w:val="00264DB3"/>
    <w:rsid w:val="00265850"/>
    <w:rsid w:val="0026604F"/>
    <w:rsid w:val="00266CF4"/>
    <w:rsid w:val="00274E69"/>
    <w:rsid w:val="00275787"/>
    <w:rsid w:val="0027645F"/>
    <w:rsid w:val="00277304"/>
    <w:rsid w:val="00277940"/>
    <w:rsid w:val="002803DE"/>
    <w:rsid w:val="002816E4"/>
    <w:rsid w:val="002844E5"/>
    <w:rsid w:val="00284525"/>
    <w:rsid w:val="00285163"/>
    <w:rsid w:val="0028627A"/>
    <w:rsid w:val="00286DA7"/>
    <w:rsid w:val="002875C4"/>
    <w:rsid w:val="00287C90"/>
    <w:rsid w:val="0029176C"/>
    <w:rsid w:val="00295975"/>
    <w:rsid w:val="00296312"/>
    <w:rsid w:val="002A00C7"/>
    <w:rsid w:val="002A0635"/>
    <w:rsid w:val="002A378A"/>
    <w:rsid w:val="002A417E"/>
    <w:rsid w:val="002B2655"/>
    <w:rsid w:val="002B3C7F"/>
    <w:rsid w:val="002C0242"/>
    <w:rsid w:val="002C0F9A"/>
    <w:rsid w:val="002C1D9B"/>
    <w:rsid w:val="002C34BB"/>
    <w:rsid w:val="002C371B"/>
    <w:rsid w:val="002C38DD"/>
    <w:rsid w:val="002C408C"/>
    <w:rsid w:val="002C4256"/>
    <w:rsid w:val="002D194C"/>
    <w:rsid w:val="002D21B9"/>
    <w:rsid w:val="002D45D9"/>
    <w:rsid w:val="002D4C74"/>
    <w:rsid w:val="002D6348"/>
    <w:rsid w:val="002D78E1"/>
    <w:rsid w:val="002E01D4"/>
    <w:rsid w:val="002E2596"/>
    <w:rsid w:val="002E493F"/>
    <w:rsid w:val="002E5AF2"/>
    <w:rsid w:val="002F03B1"/>
    <w:rsid w:val="002F1517"/>
    <w:rsid w:val="002F23FB"/>
    <w:rsid w:val="002F473E"/>
    <w:rsid w:val="002F50D8"/>
    <w:rsid w:val="002F7615"/>
    <w:rsid w:val="00300416"/>
    <w:rsid w:val="00300748"/>
    <w:rsid w:val="00302F0A"/>
    <w:rsid w:val="0030321A"/>
    <w:rsid w:val="00303952"/>
    <w:rsid w:val="00304190"/>
    <w:rsid w:val="003136B7"/>
    <w:rsid w:val="003155EB"/>
    <w:rsid w:val="00316AE4"/>
    <w:rsid w:val="00316B46"/>
    <w:rsid w:val="003208C8"/>
    <w:rsid w:val="00321869"/>
    <w:rsid w:val="0032713C"/>
    <w:rsid w:val="00331173"/>
    <w:rsid w:val="00332ECF"/>
    <w:rsid w:val="00334BEE"/>
    <w:rsid w:val="003374BD"/>
    <w:rsid w:val="003415F7"/>
    <w:rsid w:val="00341AB2"/>
    <w:rsid w:val="003433C5"/>
    <w:rsid w:val="00344411"/>
    <w:rsid w:val="0035026F"/>
    <w:rsid w:val="00351E36"/>
    <w:rsid w:val="00354A11"/>
    <w:rsid w:val="0035715C"/>
    <w:rsid w:val="0035791C"/>
    <w:rsid w:val="00362AAA"/>
    <w:rsid w:val="00362C17"/>
    <w:rsid w:val="0036502B"/>
    <w:rsid w:val="00365549"/>
    <w:rsid w:val="0037175C"/>
    <w:rsid w:val="00371823"/>
    <w:rsid w:val="00374C34"/>
    <w:rsid w:val="00375AF9"/>
    <w:rsid w:val="00375E4B"/>
    <w:rsid w:val="00381CBC"/>
    <w:rsid w:val="0038342C"/>
    <w:rsid w:val="003861E9"/>
    <w:rsid w:val="00387D11"/>
    <w:rsid w:val="0039326A"/>
    <w:rsid w:val="0039379B"/>
    <w:rsid w:val="00393A13"/>
    <w:rsid w:val="0039601B"/>
    <w:rsid w:val="00397713"/>
    <w:rsid w:val="003A0196"/>
    <w:rsid w:val="003A2DE0"/>
    <w:rsid w:val="003A3A37"/>
    <w:rsid w:val="003A4E0D"/>
    <w:rsid w:val="003A521A"/>
    <w:rsid w:val="003A58AF"/>
    <w:rsid w:val="003A6591"/>
    <w:rsid w:val="003A73BE"/>
    <w:rsid w:val="003B1027"/>
    <w:rsid w:val="003B3BC9"/>
    <w:rsid w:val="003B3D44"/>
    <w:rsid w:val="003B533E"/>
    <w:rsid w:val="003B59AD"/>
    <w:rsid w:val="003B7088"/>
    <w:rsid w:val="003C0C3C"/>
    <w:rsid w:val="003C2789"/>
    <w:rsid w:val="003C531D"/>
    <w:rsid w:val="003C5858"/>
    <w:rsid w:val="003C7137"/>
    <w:rsid w:val="003D151D"/>
    <w:rsid w:val="003D2FB1"/>
    <w:rsid w:val="003D7C08"/>
    <w:rsid w:val="003E12C1"/>
    <w:rsid w:val="003E5A82"/>
    <w:rsid w:val="003E5E58"/>
    <w:rsid w:val="003E618F"/>
    <w:rsid w:val="003F3EFE"/>
    <w:rsid w:val="003F4BBA"/>
    <w:rsid w:val="00401CF6"/>
    <w:rsid w:val="00402074"/>
    <w:rsid w:val="004027AB"/>
    <w:rsid w:val="00403DB6"/>
    <w:rsid w:val="004055E6"/>
    <w:rsid w:val="00405D6A"/>
    <w:rsid w:val="00406B54"/>
    <w:rsid w:val="00412122"/>
    <w:rsid w:val="00412E43"/>
    <w:rsid w:val="0041565E"/>
    <w:rsid w:val="0042070D"/>
    <w:rsid w:val="0042173F"/>
    <w:rsid w:val="00423B86"/>
    <w:rsid w:val="00424D96"/>
    <w:rsid w:val="0043007A"/>
    <w:rsid w:val="00433165"/>
    <w:rsid w:val="00434674"/>
    <w:rsid w:val="004352EE"/>
    <w:rsid w:val="00436002"/>
    <w:rsid w:val="00436C6A"/>
    <w:rsid w:val="004403EA"/>
    <w:rsid w:val="0044154F"/>
    <w:rsid w:val="00441764"/>
    <w:rsid w:val="0044182D"/>
    <w:rsid w:val="00442151"/>
    <w:rsid w:val="00442B12"/>
    <w:rsid w:val="00442E95"/>
    <w:rsid w:val="00443DF1"/>
    <w:rsid w:val="00445701"/>
    <w:rsid w:val="00445B42"/>
    <w:rsid w:val="00447881"/>
    <w:rsid w:val="00455A34"/>
    <w:rsid w:val="004567BA"/>
    <w:rsid w:val="00456862"/>
    <w:rsid w:val="00456919"/>
    <w:rsid w:val="00460089"/>
    <w:rsid w:val="00460CF1"/>
    <w:rsid w:val="004617EF"/>
    <w:rsid w:val="0046490D"/>
    <w:rsid w:val="00466410"/>
    <w:rsid w:val="00470443"/>
    <w:rsid w:val="00474065"/>
    <w:rsid w:val="004773F0"/>
    <w:rsid w:val="00480909"/>
    <w:rsid w:val="0048175B"/>
    <w:rsid w:val="004817E1"/>
    <w:rsid w:val="00485028"/>
    <w:rsid w:val="00487D28"/>
    <w:rsid w:val="00490C4F"/>
    <w:rsid w:val="0049268A"/>
    <w:rsid w:val="004937E4"/>
    <w:rsid w:val="004975B0"/>
    <w:rsid w:val="004A1A7F"/>
    <w:rsid w:val="004A26C8"/>
    <w:rsid w:val="004A40BC"/>
    <w:rsid w:val="004B1E3E"/>
    <w:rsid w:val="004B23DB"/>
    <w:rsid w:val="004B5BF7"/>
    <w:rsid w:val="004B6E26"/>
    <w:rsid w:val="004C11F7"/>
    <w:rsid w:val="004C1B2A"/>
    <w:rsid w:val="004C2690"/>
    <w:rsid w:val="004C2D8F"/>
    <w:rsid w:val="004C6309"/>
    <w:rsid w:val="004C6FEA"/>
    <w:rsid w:val="004D122F"/>
    <w:rsid w:val="004D1831"/>
    <w:rsid w:val="004D1B2F"/>
    <w:rsid w:val="004D2AAD"/>
    <w:rsid w:val="004D348C"/>
    <w:rsid w:val="004D3CD1"/>
    <w:rsid w:val="004D5479"/>
    <w:rsid w:val="004D7017"/>
    <w:rsid w:val="004E0119"/>
    <w:rsid w:val="004E02BA"/>
    <w:rsid w:val="004E0A2A"/>
    <w:rsid w:val="004E304C"/>
    <w:rsid w:val="004E3DE2"/>
    <w:rsid w:val="004E4A48"/>
    <w:rsid w:val="004E578D"/>
    <w:rsid w:val="004F183D"/>
    <w:rsid w:val="004F1E58"/>
    <w:rsid w:val="004F2B31"/>
    <w:rsid w:val="004F2D7B"/>
    <w:rsid w:val="004F34EE"/>
    <w:rsid w:val="004F71FB"/>
    <w:rsid w:val="0050045E"/>
    <w:rsid w:val="00503467"/>
    <w:rsid w:val="0050389F"/>
    <w:rsid w:val="00504AA4"/>
    <w:rsid w:val="005061E0"/>
    <w:rsid w:val="0051207C"/>
    <w:rsid w:val="005136EF"/>
    <w:rsid w:val="00514134"/>
    <w:rsid w:val="00520D3D"/>
    <w:rsid w:val="00523DA5"/>
    <w:rsid w:val="005244CF"/>
    <w:rsid w:val="005254EB"/>
    <w:rsid w:val="00525DC5"/>
    <w:rsid w:val="0052614B"/>
    <w:rsid w:val="00531535"/>
    <w:rsid w:val="00532B1B"/>
    <w:rsid w:val="00532BC6"/>
    <w:rsid w:val="005335A2"/>
    <w:rsid w:val="00534D55"/>
    <w:rsid w:val="00534ECF"/>
    <w:rsid w:val="00540676"/>
    <w:rsid w:val="005409A9"/>
    <w:rsid w:val="00540FC7"/>
    <w:rsid w:val="005428A6"/>
    <w:rsid w:val="0054330B"/>
    <w:rsid w:val="00543617"/>
    <w:rsid w:val="00543D1C"/>
    <w:rsid w:val="00545857"/>
    <w:rsid w:val="005507B6"/>
    <w:rsid w:val="005547A4"/>
    <w:rsid w:val="0055670A"/>
    <w:rsid w:val="00557CD2"/>
    <w:rsid w:val="00561B60"/>
    <w:rsid w:val="00561F6A"/>
    <w:rsid w:val="005636F9"/>
    <w:rsid w:val="00564040"/>
    <w:rsid w:val="0056461A"/>
    <w:rsid w:val="0057264C"/>
    <w:rsid w:val="00574051"/>
    <w:rsid w:val="00574618"/>
    <w:rsid w:val="005750C3"/>
    <w:rsid w:val="005764AE"/>
    <w:rsid w:val="005767B5"/>
    <w:rsid w:val="00581B3D"/>
    <w:rsid w:val="0058313B"/>
    <w:rsid w:val="005834BD"/>
    <w:rsid w:val="0058461B"/>
    <w:rsid w:val="00587C83"/>
    <w:rsid w:val="00590397"/>
    <w:rsid w:val="00591B5A"/>
    <w:rsid w:val="00591FEA"/>
    <w:rsid w:val="00593428"/>
    <w:rsid w:val="005941DF"/>
    <w:rsid w:val="00596002"/>
    <w:rsid w:val="0059627F"/>
    <w:rsid w:val="0059679A"/>
    <w:rsid w:val="005A14E6"/>
    <w:rsid w:val="005A20B1"/>
    <w:rsid w:val="005A43BD"/>
    <w:rsid w:val="005A63C9"/>
    <w:rsid w:val="005B0F11"/>
    <w:rsid w:val="005B3F80"/>
    <w:rsid w:val="005B40E1"/>
    <w:rsid w:val="005B4A10"/>
    <w:rsid w:val="005C0C8C"/>
    <w:rsid w:val="005C3139"/>
    <w:rsid w:val="005C4305"/>
    <w:rsid w:val="005C5D5A"/>
    <w:rsid w:val="005C7097"/>
    <w:rsid w:val="005C75EE"/>
    <w:rsid w:val="005D137C"/>
    <w:rsid w:val="005D1A9A"/>
    <w:rsid w:val="005D528C"/>
    <w:rsid w:val="005D7B18"/>
    <w:rsid w:val="005E3BFD"/>
    <w:rsid w:val="005E436D"/>
    <w:rsid w:val="005F11C0"/>
    <w:rsid w:val="005F1FE4"/>
    <w:rsid w:val="005F23A3"/>
    <w:rsid w:val="005F4375"/>
    <w:rsid w:val="005F4E5A"/>
    <w:rsid w:val="005F523E"/>
    <w:rsid w:val="005F53C7"/>
    <w:rsid w:val="006001EC"/>
    <w:rsid w:val="006008DC"/>
    <w:rsid w:val="006041F0"/>
    <w:rsid w:val="00604BBE"/>
    <w:rsid w:val="006074D7"/>
    <w:rsid w:val="006207B6"/>
    <w:rsid w:val="00620BCC"/>
    <w:rsid w:val="006244B6"/>
    <w:rsid w:val="00624BFB"/>
    <w:rsid w:val="006250E1"/>
    <w:rsid w:val="00626431"/>
    <w:rsid w:val="006268E6"/>
    <w:rsid w:val="006275BD"/>
    <w:rsid w:val="00630E8A"/>
    <w:rsid w:val="00631D12"/>
    <w:rsid w:val="00631E50"/>
    <w:rsid w:val="00632DF8"/>
    <w:rsid w:val="00633F7B"/>
    <w:rsid w:val="0063482D"/>
    <w:rsid w:val="00637907"/>
    <w:rsid w:val="0064076C"/>
    <w:rsid w:val="0064131D"/>
    <w:rsid w:val="00641967"/>
    <w:rsid w:val="006446D9"/>
    <w:rsid w:val="00646820"/>
    <w:rsid w:val="00647E41"/>
    <w:rsid w:val="006503C8"/>
    <w:rsid w:val="00652EDA"/>
    <w:rsid w:val="006534E1"/>
    <w:rsid w:val="00653A61"/>
    <w:rsid w:val="00653C6D"/>
    <w:rsid w:val="00654971"/>
    <w:rsid w:val="00654C14"/>
    <w:rsid w:val="00654EDC"/>
    <w:rsid w:val="00655DF5"/>
    <w:rsid w:val="00660DA3"/>
    <w:rsid w:val="0066211F"/>
    <w:rsid w:val="00662472"/>
    <w:rsid w:val="00662593"/>
    <w:rsid w:val="00662C8E"/>
    <w:rsid w:val="00673005"/>
    <w:rsid w:val="00674FBC"/>
    <w:rsid w:val="006768D4"/>
    <w:rsid w:val="00676DB4"/>
    <w:rsid w:val="00676E0C"/>
    <w:rsid w:val="0067755D"/>
    <w:rsid w:val="006806C2"/>
    <w:rsid w:val="00681041"/>
    <w:rsid w:val="00681FF3"/>
    <w:rsid w:val="00682416"/>
    <w:rsid w:val="00682F58"/>
    <w:rsid w:val="00684C18"/>
    <w:rsid w:val="00687A35"/>
    <w:rsid w:val="00690935"/>
    <w:rsid w:val="006909C0"/>
    <w:rsid w:val="00690AAF"/>
    <w:rsid w:val="00691C58"/>
    <w:rsid w:val="006930CE"/>
    <w:rsid w:val="00693AB6"/>
    <w:rsid w:val="00695392"/>
    <w:rsid w:val="00696AF5"/>
    <w:rsid w:val="006976EF"/>
    <w:rsid w:val="006976F6"/>
    <w:rsid w:val="0069775F"/>
    <w:rsid w:val="006A15AC"/>
    <w:rsid w:val="006A1E72"/>
    <w:rsid w:val="006A51E4"/>
    <w:rsid w:val="006A53A1"/>
    <w:rsid w:val="006A543B"/>
    <w:rsid w:val="006A5A7F"/>
    <w:rsid w:val="006B4BE8"/>
    <w:rsid w:val="006C00DA"/>
    <w:rsid w:val="006C5C0A"/>
    <w:rsid w:val="006C650A"/>
    <w:rsid w:val="006D0E76"/>
    <w:rsid w:val="006D181B"/>
    <w:rsid w:val="006D4A7A"/>
    <w:rsid w:val="006E43BC"/>
    <w:rsid w:val="006E457A"/>
    <w:rsid w:val="006E4AE6"/>
    <w:rsid w:val="006E5D5C"/>
    <w:rsid w:val="006E6426"/>
    <w:rsid w:val="006E64B0"/>
    <w:rsid w:val="006F28E2"/>
    <w:rsid w:val="006F2B5D"/>
    <w:rsid w:val="006F39E4"/>
    <w:rsid w:val="006F4972"/>
    <w:rsid w:val="006F6113"/>
    <w:rsid w:val="007034E4"/>
    <w:rsid w:val="00704457"/>
    <w:rsid w:val="0070449D"/>
    <w:rsid w:val="007058D9"/>
    <w:rsid w:val="00707127"/>
    <w:rsid w:val="00711785"/>
    <w:rsid w:val="00712602"/>
    <w:rsid w:val="00713918"/>
    <w:rsid w:val="007165EB"/>
    <w:rsid w:val="00722019"/>
    <w:rsid w:val="00722A55"/>
    <w:rsid w:val="007261F7"/>
    <w:rsid w:val="00726C77"/>
    <w:rsid w:val="00727088"/>
    <w:rsid w:val="007333D3"/>
    <w:rsid w:val="00734B55"/>
    <w:rsid w:val="00737D0E"/>
    <w:rsid w:val="00741F62"/>
    <w:rsid w:val="00743824"/>
    <w:rsid w:val="007479BB"/>
    <w:rsid w:val="00750118"/>
    <w:rsid w:val="00750B3D"/>
    <w:rsid w:val="00752151"/>
    <w:rsid w:val="007522E2"/>
    <w:rsid w:val="0075384D"/>
    <w:rsid w:val="00753F42"/>
    <w:rsid w:val="00754F0F"/>
    <w:rsid w:val="007555CE"/>
    <w:rsid w:val="00755DD0"/>
    <w:rsid w:val="00756153"/>
    <w:rsid w:val="00756403"/>
    <w:rsid w:val="0075779E"/>
    <w:rsid w:val="0076014C"/>
    <w:rsid w:val="007604D9"/>
    <w:rsid w:val="007627B6"/>
    <w:rsid w:val="0077038C"/>
    <w:rsid w:val="00772BC3"/>
    <w:rsid w:val="0077356F"/>
    <w:rsid w:val="007741D3"/>
    <w:rsid w:val="00774719"/>
    <w:rsid w:val="0077478E"/>
    <w:rsid w:val="007773D2"/>
    <w:rsid w:val="0078177F"/>
    <w:rsid w:val="00783A91"/>
    <w:rsid w:val="00783B98"/>
    <w:rsid w:val="00791A4E"/>
    <w:rsid w:val="00792C72"/>
    <w:rsid w:val="00793B25"/>
    <w:rsid w:val="0079413E"/>
    <w:rsid w:val="00795C14"/>
    <w:rsid w:val="0079600E"/>
    <w:rsid w:val="007A12A9"/>
    <w:rsid w:val="007A23A9"/>
    <w:rsid w:val="007A2D12"/>
    <w:rsid w:val="007B0927"/>
    <w:rsid w:val="007B1F53"/>
    <w:rsid w:val="007B398A"/>
    <w:rsid w:val="007B599D"/>
    <w:rsid w:val="007B7631"/>
    <w:rsid w:val="007B7D13"/>
    <w:rsid w:val="007C1BF4"/>
    <w:rsid w:val="007C746B"/>
    <w:rsid w:val="007C776D"/>
    <w:rsid w:val="007C7ACA"/>
    <w:rsid w:val="007D26EF"/>
    <w:rsid w:val="007D36CB"/>
    <w:rsid w:val="007D43E5"/>
    <w:rsid w:val="007D4702"/>
    <w:rsid w:val="007D5697"/>
    <w:rsid w:val="007D64B6"/>
    <w:rsid w:val="007D66D6"/>
    <w:rsid w:val="007D6956"/>
    <w:rsid w:val="007D7789"/>
    <w:rsid w:val="007E0AFE"/>
    <w:rsid w:val="007E5221"/>
    <w:rsid w:val="007E6901"/>
    <w:rsid w:val="007E71A2"/>
    <w:rsid w:val="007E7E51"/>
    <w:rsid w:val="007E7ECB"/>
    <w:rsid w:val="007F0353"/>
    <w:rsid w:val="007F0FAA"/>
    <w:rsid w:val="007F0FE7"/>
    <w:rsid w:val="007F14BE"/>
    <w:rsid w:val="007F1901"/>
    <w:rsid w:val="007F2E6D"/>
    <w:rsid w:val="007F367F"/>
    <w:rsid w:val="007F36DF"/>
    <w:rsid w:val="007F3A6D"/>
    <w:rsid w:val="00801E66"/>
    <w:rsid w:val="00802BC6"/>
    <w:rsid w:val="00805174"/>
    <w:rsid w:val="00806731"/>
    <w:rsid w:val="0080674A"/>
    <w:rsid w:val="008076B1"/>
    <w:rsid w:val="00813A43"/>
    <w:rsid w:val="00815927"/>
    <w:rsid w:val="00817ADB"/>
    <w:rsid w:val="00817AF0"/>
    <w:rsid w:val="00822735"/>
    <w:rsid w:val="00825244"/>
    <w:rsid w:val="008256BC"/>
    <w:rsid w:val="00831BF4"/>
    <w:rsid w:val="0083296D"/>
    <w:rsid w:val="00832EE4"/>
    <w:rsid w:val="0083549F"/>
    <w:rsid w:val="008368B0"/>
    <w:rsid w:val="008370E9"/>
    <w:rsid w:val="00837EF3"/>
    <w:rsid w:val="00840290"/>
    <w:rsid w:val="0084153B"/>
    <w:rsid w:val="00841F77"/>
    <w:rsid w:val="00844D77"/>
    <w:rsid w:val="00844F0E"/>
    <w:rsid w:val="00845B5C"/>
    <w:rsid w:val="00846723"/>
    <w:rsid w:val="00850E04"/>
    <w:rsid w:val="008539B2"/>
    <w:rsid w:val="00855452"/>
    <w:rsid w:val="00857BC9"/>
    <w:rsid w:val="00862943"/>
    <w:rsid w:val="00872814"/>
    <w:rsid w:val="00872AEB"/>
    <w:rsid w:val="0089226B"/>
    <w:rsid w:val="00893F63"/>
    <w:rsid w:val="00895F93"/>
    <w:rsid w:val="00897F14"/>
    <w:rsid w:val="00897F26"/>
    <w:rsid w:val="008A11BF"/>
    <w:rsid w:val="008B0051"/>
    <w:rsid w:val="008B2B87"/>
    <w:rsid w:val="008B4AF2"/>
    <w:rsid w:val="008B56BA"/>
    <w:rsid w:val="008B7085"/>
    <w:rsid w:val="008B7888"/>
    <w:rsid w:val="008C05AE"/>
    <w:rsid w:val="008C145B"/>
    <w:rsid w:val="008C186F"/>
    <w:rsid w:val="008C189C"/>
    <w:rsid w:val="008C2582"/>
    <w:rsid w:val="008C33BB"/>
    <w:rsid w:val="008C651D"/>
    <w:rsid w:val="008C715C"/>
    <w:rsid w:val="008D2AC8"/>
    <w:rsid w:val="008D5F44"/>
    <w:rsid w:val="008D5F89"/>
    <w:rsid w:val="008E2AB9"/>
    <w:rsid w:val="008E3966"/>
    <w:rsid w:val="008E3A10"/>
    <w:rsid w:val="008E4B3B"/>
    <w:rsid w:val="008F017B"/>
    <w:rsid w:val="008F1A67"/>
    <w:rsid w:val="008F23F2"/>
    <w:rsid w:val="008F5B45"/>
    <w:rsid w:val="00900466"/>
    <w:rsid w:val="00900D3C"/>
    <w:rsid w:val="00900E49"/>
    <w:rsid w:val="0090215F"/>
    <w:rsid w:val="0090241D"/>
    <w:rsid w:val="009048AC"/>
    <w:rsid w:val="009055B2"/>
    <w:rsid w:val="00905997"/>
    <w:rsid w:val="00910EAD"/>
    <w:rsid w:val="00915579"/>
    <w:rsid w:val="00915DEF"/>
    <w:rsid w:val="00916690"/>
    <w:rsid w:val="00920713"/>
    <w:rsid w:val="00922813"/>
    <w:rsid w:val="00925C96"/>
    <w:rsid w:val="00926438"/>
    <w:rsid w:val="00926952"/>
    <w:rsid w:val="00932F6F"/>
    <w:rsid w:val="00935EA6"/>
    <w:rsid w:val="00937880"/>
    <w:rsid w:val="0094100B"/>
    <w:rsid w:val="0094307B"/>
    <w:rsid w:val="009463C2"/>
    <w:rsid w:val="00946656"/>
    <w:rsid w:val="009479C7"/>
    <w:rsid w:val="00952D57"/>
    <w:rsid w:val="00954676"/>
    <w:rsid w:val="00955C58"/>
    <w:rsid w:val="00956A11"/>
    <w:rsid w:val="009573A3"/>
    <w:rsid w:val="00960F1C"/>
    <w:rsid w:val="00963446"/>
    <w:rsid w:val="009636EE"/>
    <w:rsid w:val="00963AA1"/>
    <w:rsid w:val="009646B0"/>
    <w:rsid w:val="00964C56"/>
    <w:rsid w:val="009719A3"/>
    <w:rsid w:val="0097513C"/>
    <w:rsid w:val="00975A07"/>
    <w:rsid w:val="009775DF"/>
    <w:rsid w:val="00983212"/>
    <w:rsid w:val="0098400E"/>
    <w:rsid w:val="0098646D"/>
    <w:rsid w:val="00990D77"/>
    <w:rsid w:val="0099446A"/>
    <w:rsid w:val="00994F89"/>
    <w:rsid w:val="00997FA9"/>
    <w:rsid w:val="009A29BF"/>
    <w:rsid w:val="009A4576"/>
    <w:rsid w:val="009A5971"/>
    <w:rsid w:val="009A5A55"/>
    <w:rsid w:val="009A5BA5"/>
    <w:rsid w:val="009A6839"/>
    <w:rsid w:val="009A6AD5"/>
    <w:rsid w:val="009A77C4"/>
    <w:rsid w:val="009A7D8C"/>
    <w:rsid w:val="009B1427"/>
    <w:rsid w:val="009B457C"/>
    <w:rsid w:val="009B63D2"/>
    <w:rsid w:val="009C25D9"/>
    <w:rsid w:val="009C2B63"/>
    <w:rsid w:val="009C2EF5"/>
    <w:rsid w:val="009D16C6"/>
    <w:rsid w:val="009E1888"/>
    <w:rsid w:val="009E28DC"/>
    <w:rsid w:val="009E304D"/>
    <w:rsid w:val="009E56A0"/>
    <w:rsid w:val="009F0FA5"/>
    <w:rsid w:val="009F1F13"/>
    <w:rsid w:val="009F3787"/>
    <w:rsid w:val="009F379D"/>
    <w:rsid w:val="009F71BA"/>
    <w:rsid w:val="009F786C"/>
    <w:rsid w:val="00A0076E"/>
    <w:rsid w:val="00A01BE5"/>
    <w:rsid w:val="00A04C4B"/>
    <w:rsid w:val="00A06B07"/>
    <w:rsid w:val="00A06DC6"/>
    <w:rsid w:val="00A06E64"/>
    <w:rsid w:val="00A0753F"/>
    <w:rsid w:val="00A07979"/>
    <w:rsid w:val="00A10259"/>
    <w:rsid w:val="00A11264"/>
    <w:rsid w:val="00A13080"/>
    <w:rsid w:val="00A13967"/>
    <w:rsid w:val="00A1542F"/>
    <w:rsid w:val="00A15BC1"/>
    <w:rsid w:val="00A16892"/>
    <w:rsid w:val="00A16C7D"/>
    <w:rsid w:val="00A20024"/>
    <w:rsid w:val="00A22355"/>
    <w:rsid w:val="00A22728"/>
    <w:rsid w:val="00A25D6D"/>
    <w:rsid w:val="00A279E6"/>
    <w:rsid w:val="00A350A3"/>
    <w:rsid w:val="00A36479"/>
    <w:rsid w:val="00A43ED8"/>
    <w:rsid w:val="00A43FC9"/>
    <w:rsid w:val="00A54CD2"/>
    <w:rsid w:val="00A55554"/>
    <w:rsid w:val="00A57CC7"/>
    <w:rsid w:val="00A61A8B"/>
    <w:rsid w:val="00A65503"/>
    <w:rsid w:val="00A669A6"/>
    <w:rsid w:val="00A6729A"/>
    <w:rsid w:val="00A7124C"/>
    <w:rsid w:val="00A73D94"/>
    <w:rsid w:val="00A746FC"/>
    <w:rsid w:val="00A75B6F"/>
    <w:rsid w:val="00A83FEB"/>
    <w:rsid w:val="00A8477A"/>
    <w:rsid w:val="00A84907"/>
    <w:rsid w:val="00A85C88"/>
    <w:rsid w:val="00A911AB"/>
    <w:rsid w:val="00A9259B"/>
    <w:rsid w:val="00A94CEF"/>
    <w:rsid w:val="00A95835"/>
    <w:rsid w:val="00A960E9"/>
    <w:rsid w:val="00AA008A"/>
    <w:rsid w:val="00AA0AD2"/>
    <w:rsid w:val="00AA33D7"/>
    <w:rsid w:val="00AA37B5"/>
    <w:rsid w:val="00AA40AC"/>
    <w:rsid w:val="00AA6304"/>
    <w:rsid w:val="00AA6D49"/>
    <w:rsid w:val="00AB0549"/>
    <w:rsid w:val="00AB0F3D"/>
    <w:rsid w:val="00AB1981"/>
    <w:rsid w:val="00AB1C59"/>
    <w:rsid w:val="00AB1F18"/>
    <w:rsid w:val="00AB2711"/>
    <w:rsid w:val="00AB2D56"/>
    <w:rsid w:val="00AB2F6E"/>
    <w:rsid w:val="00AB36FD"/>
    <w:rsid w:val="00AB425B"/>
    <w:rsid w:val="00AB43F7"/>
    <w:rsid w:val="00AB482C"/>
    <w:rsid w:val="00AB6102"/>
    <w:rsid w:val="00AC33A6"/>
    <w:rsid w:val="00AC35F3"/>
    <w:rsid w:val="00AC39FC"/>
    <w:rsid w:val="00AC66F6"/>
    <w:rsid w:val="00AD22A2"/>
    <w:rsid w:val="00AD31F0"/>
    <w:rsid w:val="00AD51E1"/>
    <w:rsid w:val="00AD57BF"/>
    <w:rsid w:val="00AD608C"/>
    <w:rsid w:val="00AD6936"/>
    <w:rsid w:val="00AD7210"/>
    <w:rsid w:val="00AE1154"/>
    <w:rsid w:val="00AE237E"/>
    <w:rsid w:val="00AE247D"/>
    <w:rsid w:val="00AE3480"/>
    <w:rsid w:val="00AE36CB"/>
    <w:rsid w:val="00AE49C5"/>
    <w:rsid w:val="00AE4D2C"/>
    <w:rsid w:val="00AE5B72"/>
    <w:rsid w:val="00AE5B98"/>
    <w:rsid w:val="00AE6954"/>
    <w:rsid w:val="00AF0A22"/>
    <w:rsid w:val="00AF0EA9"/>
    <w:rsid w:val="00AF1CBF"/>
    <w:rsid w:val="00AF39B5"/>
    <w:rsid w:val="00B01E70"/>
    <w:rsid w:val="00B028AF"/>
    <w:rsid w:val="00B044D8"/>
    <w:rsid w:val="00B048DC"/>
    <w:rsid w:val="00B143A4"/>
    <w:rsid w:val="00B171AD"/>
    <w:rsid w:val="00B202DF"/>
    <w:rsid w:val="00B216E7"/>
    <w:rsid w:val="00B22226"/>
    <w:rsid w:val="00B242AA"/>
    <w:rsid w:val="00B25785"/>
    <w:rsid w:val="00B25DA7"/>
    <w:rsid w:val="00B26FC4"/>
    <w:rsid w:val="00B27F87"/>
    <w:rsid w:val="00B3015D"/>
    <w:rsid w:val="00B30C6F"/>
    <w:rsid w:val="00B32344"/>
    <w:rsid w:val="00B32773"/>
    <w:rsid w:val="00B32B93"/>
    <w:rsid w:val="00B3400D"/>
    <w:rsid w:val="00B35C64"/>
    <w:rsid w:val="00B36613"/>
    <w:rsid w:val="00B36F1B"/>
    <w:rsid w:val="00B41978"/>
    <w:rsid w:val="00B41FD6"/>
    <w:rsid w:val="00B460B4"/>
    <w:rsid w:val="00B47334"/>
    <w:rsid w:val="00B503C8"/>
    <w:rsid w:val="00B53C1F"/>
    <w:rsid w:val="00B563D4"/>
    <w:rsid w:val="00B6127A"/>
    <w:rsid w:val="00B633FB"/>
    <w:rsid w:val="00B649AA"/>
    <w:rsid w:val="00B65207"/>
    <w:rsid w:val="00B71142"/>
    <w:rsid w:val="00B726B2"/>
    <w:rsid w:val="00B72928"/>
    <w:rsid w:val="00B778D5"/>
    <w:rsid w:val="00B8125F"/>
    <w:rsid w:val="00B819E1"/>
    <w:rsid w:val="00B85E05"/>
    <w:rsid w:val="00B860C9"/>
    <w:rsid w:val="00B92FA4"/>
    <w:rsid w:val="00B9574E"/>
    <w:rsid w:val="00B965AA"/>
    <w:rsid w:val="00B96F0B"/>
    <w:rsid w:val="00BA069E"/>
    <w:rsid w:val="00BA137B"/>
    <w:rsid w:val="00BA213F"/>
    <w:rsid w:val="00BA2243"/>
    <w:rsid w:val="00BA3CB9"/>
    <w:rsid w:val="00BA3E20"/>
    <w:rsid w:val="00BA48E7"/>
    <w:rsid w:val="00BA5315"/>
    <w:rsid w:val="00BB1342"/>
    <w:rsid w:val="00BB3EE7"/>
    <w:rsid w:val="00BB55B7"/>
    <w:rsid w:val="00BB59B3"/>
    <w:rsid w:val="00BB6287"/>
    <w:rsid w:val="00BB6C5C"/>
    <w:rsid w:val="00BC1057"/>
    <w:rsid w:val="00BC5015"/>
    <w:rsid w:val="00BC5344"/>
    <w:rsid w:val="00BC5EDB"/>
    <w:rsid w:val="00BC62DA"/>
    <w:rsid w:val="00BD238E"/>
    <w:rsid w:val="00BD5170"/>
    <w:rsid w:val="00BD6C46"/>
    <w:rsid w:val="00BD6D61"/>
    <w:rsid w:val="00BD705E"/>
    <w:rsid w:val="00BE1AFA"/>
    <w:rsid w:val="00BE2F60"/>
    <w:rsid w:val="00BE4F18"/>
    <w:rsid w:val="00BE6AF8"/>
    <w:rsid w:val="00BE6FC7"/>
    <w:rsid w:val="00BF09E0"/>
    <w:rsid w:val="00BF2187"/>
    <w:rsid w:val="00BF67C7"/>
    <w:rsid w:val="00BF76B5"/>
    <w:rsid w:val="00C016ED"/>
    <w:rsid w:val="00C035DA"/>
    <w:rsid w:val="00C07430"/>
    <w:rsid w:val="00C101DE"/>
    <w:rsid w:val="00C104B5"/>
    <w:rsid w:val="00C13F4E"/>
    <w:rsid w:val="00C15DC1"/>
    <w:rsid w:val="00C20F1D"/>
    <w:rsid w:val="00C24641"/>
    <w:rsid w:val="00C252FC"/>
    <w:rsid w:val="00C26561"/>
    <w:rsid w:val="00C273B9"/>
    <w:rsid w:val="00C32E87"/>
    <w:rsid w:val="00C34549"/>
    <w:rsid w:val="00C3490A"/>
    <w:rsid w:val="00C34AB4"/>
    <w:rsid w:val="00C36CEA"/>
    <w:rsid w:val="00C371AB"/>
    <w:rsid w:val="00C44B43"/>
    <w:rsid w:val="00C4514F"/>
    <w:rsid w:val="00C458E9"/>
    <w:rsid w:val="00C46E88"/>
    <w:rsid w:val="00C46EDE"/>
    <w:rsid w:val="00C509D9"/>
    <w:rsid w:val="00C54500"/>
    <w:rsid w:val="00C54553"/>
    <w:rsid w:val="00C61700"/>
    <w:rsid w:val="00C63A86"/>
    <w:rsid w:val="00C7005B"/>
    <w:rsid w:val="00C71741"/>
    <w:rsid w:val="00C737EA"/>
    <w:rsid w:val="00C73DCD"/>
    <w:rsid w:val="00C74DCB"/>
    <w:rsid w:val="00C80888"/>
    <w:rsid w:val="00C80FD4"/>
    <w:rsid w:val="00C87F35"/>
    <w:rsid w:val="00C90C87"/>
    <w:rsid w:val="00C930B1"/>
    <w:rsid w:val="00C9332E"/>
    <w:rsid w:val="00C948F0"/>
    <w:rsid w:val="00C95B8F"/>
    <w:rsid w:val="00C96C83"/>
    <w:rsid w:val="00CA063D"/>
    <w:rsid w:val="00CA096E"/>
    <w:rsid w:val="00CA4132"/>
    <w:rsid w:val="00CA642E"/>
    <w:rsid w:val="00CB322C"/>
    <w:rsid w:val="00CB3C17"/>
    <w:rsid w:val="00CB4557"/>
    <w:rsid w:val="00CB55D3"/>
    <w:rsid w:val="00CB72D6"/>
    <w:rsid w:val="00CB7B00"/>
    <w:rsid w:val="00CC10C7"/>
    <w:rsid w:val="00CC22AD"/>
    <w:rsid w:val="00CC505B"/>
    <w:rsid w:val="00CC610B"/>
    <w:rsid w:val="00CC7A31"/>
    <w:rsid w:val="00CD0335"/>
    <w:rsid w:val="00CD4136"/>
    <w:rsid w:val="00CD4183"/>
    <w:rsid w:val="00CD6FBB"/>
    <w:rsid w:val="00CE265D"/>
    <w:rsid w:val="00CF11FB"/>
    <w:rsid w:val="00CF130C"/>
    <w:rsid w:val="00CF2FD7"/>
    <w:rsid w:val="00CF36CC"/>
    <w:rsid w:val="00CF58A5"/>
    <w:rsid w:val="00CF60A4"/>
    <w:rsid w:val="00CF6FCD"/>
    <w:rsid w:val="00CF75A9"/>
    <w:rsid w:val="00D02143"/>
    <w:rsid w:val="00D053CD"/>
    <w:rsid w:val="00D06A84"/>
    <w:rsid w:val="00D06BC2"/>
    <w:rsid w:val="00D0724E"/>
    <w:rsid w:val="00D07458"/>
    <w:rsid w:val="00D14B62"/>
    <w:rsid w:val="00D16953"/>
    <w:rsid w:val="00D16D91"/>
    <w:rsid w:val="00D17A8F"/>
    <w:rsid w:val="00D24BD7"/>
    <w:rsid w:val="00D27CD5"/>
    <w:rsid w:val="00D35092"/>
    <w:rsid w:val="00D37494"/>
    <w:rsid w:val="00D37AE2"/>
    <w:rsid w:val="00D4102B"/>
    <w:rsid w:val="00D41D92"/>
    <w:rsid w:val="00D438BB"/>
    <w:rsid w:val="00D46011"/>
    <w:rsid w:val="00D47511"/>
    <w:rsid w:val="00D51241"/>
    <w:rsid w:val="00D51270"/>
    <w:rsid w:val="00D515C3"/>
    <w:rsid w:val="00D55D67"/>
    <w:rsid w:val="00D60836"/>
    <w:rsid w:val="00D6220C"/>
    <w:rsid w:val="00D626FE"/>
    <w:rsid w:val="00D70176"/>
    <w:rsid w:val="00D705AD"/>
    <w:rsid w:val="00D70D1D"/>
    <w:rsid w:val="00D722DA"/>
    <w:rsid w:val="00D72BD0"/>
    <w:rsid w:val="00D752DA"/>
    <w:rsid w:val="00D75752"/>
    <w:rsid w:val="00D76786"/>
    <w:rsid w:val="00D81DCC"/>
    <w:rsid w:val="00D8267B"/>
    <w:rsid w:val="00D84BCD"/>
    <w:rsid w:val="00D85549"/>
    <w:rsid w:val="00D85E38"/>
    <w:rsid w:val="00D9014D"/>
    <w:rsid w:val="00D95AF5"/>
    <w:rsid w:val="00D96AD2"/>
    <w:rsid w:val="00D96F45"/>
    <w:rsid w:val="00DA0BC5"/>
    <w:rsid w:val="00DA227A"/>
    <w:rsid w:val="00DA5079"/>
    <w:rsid w:val="00DB107E"/>
    <w:rsid w:val="00DB359A"/>
    <w:rsid w:val="00DB4FD7"/>
    <w:rsid w:val="00DC19FE"/>
    <w:rsid w:val="00DC1FB8"/>
    <w:rsid w:val="00DC30D1"/>
    <w:rsid w:val="00DC399C"/>
    <w:rsid w:val="00DC4503"/>
    <w:rsid w:val="00DC7F59"/>
    <w:rsid w:val="00DD0029"/>
    <w:rsid w:val="00DD26D6"/>
    <w:rsid w:val="00DD3D5A"/>
    <w:rsid w:val="00DD5177"/>
    <w:rsid w:val="00DD61C0"/>
    <w:rsid w:val="00DE1882"/>
    <w:rsid w:val="00DE1A02"/>
    <w:rsid w:val="00DE2012"/>
    <w:rsid w:val="00DE20DE"/>
    <w:rsid w:val="00DE54A8"/>
    <w:rsid w:val="00DE6FC8"/>
    <w:rsid w:val="00DF0C27"/>
    <w:rsid w:val="00DF11B4"/>
    <w:rsid w:val="00E008CE"/>
    <w:rsid w:val="00E01924"/>
    <w:rsid w:val="00E01FF2"/>
    <w:rsid w:val="00E03CE3"/>
    <w:rsid w:val="00E05C85"/>
    <w:rsid w:val="00E07E59"/>
    <w:rsid w:val="00E12500"/>
    <w:rsid w:val="00E16D81"/>
    <w:rsid w:val="00E17027"/>
    <w:rsid w:val="00E200A0"/>
    <w:rsid w:val="00E21E25"/>
    <w:rsid w:val="00E25248"/>
    <w:rsid w:val="00E25C7C"/>
    <w:rsid w:val="00E2679B"/>
    <w:rsid w:val="00E30FCE"/>
    <w:rsid w:val="00E32494"/>
    <w:rsid w:val="00E3347E"/>
    <w:rsid w:val="00E352FF"/>
    <w:rsid w:val="00E402B0"/>
    <w:rsid w:val="00E40756"/>
    <w:rsid w:val="00E42353"/>
    <w:rsid w:val="00E44424"/>
    <w:rsid w:val="00E44601"/>
    <w:rsid w:val="00E46D1D"/>
    <w:rsid w:val="00E46F08"/>
    <w:rsid w:val="00E5028A"/>
    <w:rsid w:val="00E538D4"/>
    <w:rsid w:val="00E53F00"/>
    <w:rsid w:val="00E544CB"/>
    <w:rsid w:val="00E56DBB"/>
    <w:rsid w:val="00E60947"/>
    <w:rsid w:val="00E63BA5"/>
    <w:rsid w:val="00E63C06"/>
    <w:rsid w:val="00E6424D"/>
    <w:rsid w:val="00E6484A"/>
    <w:rsid w:val="00E65BFC"/>
    <w:rsid w:val="00E66295"/>
    <w:rsid w:val="00E67044"/>
    <w:rsid w:val="00E70A38"/>
    <w:rsid w:val="00E72095"/>
    <w:rsid w:val="00E7287F"/>
    <w:rsid w:val="00E72959"/>
    <w:rsid w:val="00E744BC"/>
    <w:rsid w:val="00E74823"/>
    <w:rsid w:val="00E819A0"/>
    <w:rsid w:val="00E82778"/>
    <w:rsid w:val="00E83EBF"/>
    <w:rsid w:val="00E853DB"/>
    <w:rsid w:val="00E853FC"/>
    <w:rsid w:val="00E858EC"/>
    <w:rsid w:val="00E86A90"/>
    <w:rsid w:val="00E87DE9"/>
    <w:rsid w:val="00E90C8E"/>
    <w:rsid w:val="00E95D4A"/>
    <w:rsid w:val="00E97668"/>
    <w:rsid w:val="00E97969"/>
    <w:rsid w:val="00EA169D"/>
    <w:rsid w:val="00EA2EDA"/>
    <w:rsid w:val="00EA3B33"/>
    <w:rsid w:val="00EA4569"/>
    <w:rsid w:val="00EA4A8A"/>
    <w:rsid w:val="00EA522F"/>
    <w:rsid w:val="00EA6515"/>
    <w:rsid w:val="00EB06BB"/>
    <w:rsid w:val="00EB0CAB"/>
    <w:rsid w:val="00EB11C2"/>
    <w:rsid w:val="00EB1E2C"/>
    <w:rsid w:val="00EB3286"/>
    <w:rsid w:val="00EB6865"/>
    <w:rsid w:val="00EC396F"/>
    <w:rsid w:val="00ED00D8"/>
    <w:rsid w:val="00ED211A"/>
    <w:rsid w:val="00ED3B50"/>
    <w:rsid w:val="00ED40F7"/>
    <w:rsid w:val="00EE3886"/>
    <w:rsid w:val="00EE39D1"/>
    <w:rsid w:val="00EE5711"/>
    <w:rsid w:val="00EE5E10"/>
    <w:rsid w:val="00EE5F2D"/>
    <w:rsid w:val="00EF1281"/>
    <w:rsid w:val="00EF2DAA"/>
    <w:rsid w:val="00EF3343"/>
    <w:rsid w:val="00EF5CD4"/>
    <w:rsid w:val="00EF6197"/>
    <w:rsid w:val="00EF7175"/>
    <w:rsid w:val="00F001B5"/>
    <w:rsid w:val="00F00C69"/>
    <w:rsid w:val="00F06FF8"/>
    <w:rsid w:val="00F0766A"/>
    <w:rsid w:val="00F07D3C"/>
    <w:rsid w:val="00F114F8"/>
    <w:rsid w:val="00F11F37"/>
    <w:rsid w:val="00F1338D"/>
    <w:rsid w:val="00F21ADD"/>
    <w:rsid w:val="00F24D37"/>
    <w:rsid w:val="00F259F1"/>
    <w:rsid w:val="00F26B1B"/>
    <w:rsid w:val="00F3057C"/>
    <w:rsid w:val="00F3220C"/>
    <w:rsid w:val="00F33C54"/>
    <w:rsid w:val="00F341F9"/>
    <w:rsid w:val="00F353B6"/>
    <w:rsid w:val="00F35A8F"/>
    <w:rsid w:val="00F4164D"/>
    <w:rsid w:val="00F41677"/>
    <w:rsid w:val="00F433AB"/>
    <w:rsid w:val="00F438CF"/>
    <w:rsid w:val="00F4503E"/>
    <w:rsid w:val="00F45445"/>
    <w:rsid w:val="00F45517"/>
    <w:rsid w:val="00F4614E"/>
    <w:rsid w:val="00F464B7"/>
    <w:rsid w:val="00F5354A"/>
    <w:rsid w:val="00F54134"/>
    <w:rsid w:val="00F55DF6"/>
    <w:rsid w:val="00F5733E"/>
    <w:rsid w:val="00F6115C"/>
    <w:rsid w:val="00F6221D"/>
    <w:rsid w:val="00F630B7"/>
    <w:rsid w:val="00F63B60"/>
    <w:rsid w:val="00F6555D"/>
    <w:rsid w:val="00F7047C"/>
    <w:rsid w:val="00F7094E"/>
    <w:rsid w:val="00F71628"/>
    <w:rsid w:val="00F71E3E"/>
    <w:rsid w:val="00F71FA3"/>
    <w:rsid w:val="00F72AB8"/>
    <w:rsid w:val="00F72E22"/>
    <w:rsid w:val="00F77769"/>
    <w:rsid w:val="00F77C7F"/>
    <w:rsid w:val="00F81C08"/>
    <w:rsid w:val="00F83E33"/>
    <w:rsid w:val="00F849EC"/>
    <w:rsid w:val="00F863C3"/>
    <w:rsid w:val="00F86565"/>
    <w:rsid w:val="00F9047F"/>
    <w:rsid w:val="00F93097"/>
    <w:rsid w:val="00F93A8C"/>
    <w:rsid w:val="00F94DC5"/>
    <w:rsid w:val="00FA02DA"/>
    <w:rsid w:val="00FA04E1"/>
    <w:rsid w:val="00FA1133"/>
    <w:rsid w:val="00FA246D"/>
    <w:rsid w:val="00FB07CF"/>
    <w:rsid w:val="00FB1733"/>
    <w:rsid w:val="00FB1DD5"/>
    <w:rsid w:val="00FB3FB4"/>
    <w:rsid w:val="00FB6F1F"/>
    <w:rsid w:val="00FB7F33"/>
    <w:rsid w:val="00FC07AB"/>
    <w:rsid w:val="00FC25BF"/>
    <w:rsid w:val="00FC31BD"/>
    <w:rsid w:val="00FC3718"/>
    <w:rsid w:val="00FD258E"/>
    <w:rsid w:val="00FD662D"/>
    <w:rsid w:val="00FE2D0E"/>
    <w:rsid w:val="00FE49D9"/>
    <w:rsid w:val="00FE6315"/>
    <w:rsid w:val="00FE7CD7"/>
    <w:rsid w:val="00FF15DD"/>
    <w:rsid w:val="00FF1A6B"/>
    <w:rsid w:val="00FF359A"/>
    <w:rsid w:val="00FF5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F5BF5"/>
  <w15:chartTrackingRefBased/>
  <w15:docId w15:val="{39E41515-8D4E-4FBF-BE11-8915FB9B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963446"/>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480" w:lineRule="auto"/>
      <w:ind w:left="720" w:hanging="720"/>
      <w:outlineLvl w:val="0"/>
    </w:pPr>
    <w:rPr>
      <w:rFonts w:ascii="Courier New" w:eastAsia="Times New Roman" w:hAnsi="Courier New" w:cs="Courier New"/>
      <w:kern w:val="0"/>
      <w:sz w:val="24"/>
      <w:szCs w:val="24"/>
      <w14:ligatures w14:val="none"/>
    </w:rPr>
  </w:style>
  <w:style w:type="paragraph" w:styleId="Heading2">
    <w:name w:val="heading 2"/>
    <w:basedOn w:val="Normal"/>
    <w:link w:val="Heading2Char"/>
    <w:qFormat/>
    <w:rsid w:val="00963446"/>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480" w:lineRule="auto"/>
      <w:ind w:left="1440" w:hanging="720"/>
      <w:outlineLvl w:val="1"/>
    </w:pPr>
    <w:rPr>
      <w:rFonts w:ascii="Courier New" w:eastAsia="Times New Roman" w:hAnsi="Courier New" w:cs="Courier New"/>
      <w:kern w:val="0"/>
      <w:sz w:val="24"/>
      <w:szCs w:val="24"/>
      <w14:ligatures w14:val="none"/>
    </w:rPr>
  </w:style>
  <w:style w:type="paragraph" w:styleId="Heading3">
    <w:name w:val="heading 3"/>
    <w:basedOn w:val="Normal"/>
    <w:next w:val="Normal"/>
    <w:link w:val="Heading3Char"/>
    <w:uiPriority w:val="9"/>
    <w:semiHidden/>
    <w:unhideWhenUsed/>
    <w:qFormat/>
    <w:rsid w:val="00AB19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3446"/>
    <w:rPr>
      <w:rFonts w:ascii="Courier New" w:eastAsia="Times New Roman" w:hAnsi="Courier New" w:cs="Courier New"/>
      <w:kern w:val="0"/>
      <w:sz w:val="24"/>
      <w:szCs w:val="24"/>
      <w14:ligatures w14:val="none"/>
    </w:rPr>
  </w:style>
  <w:style w:type="character" w:customStyle="1" w:styleId="Heading2Char">
    <w:name w:val="Heading 2 Char"/>
    <w:basedOn w:val="DefaultParagraphFont"/>
    <w:link w:val="Heading2"/>
    <w:rsid w:val="00963446"/>
    <w:rPr>
      <w:rFonts w:ascii="Courier New" w:eastAsia="Times New Roman" w:hAnsi="Courier New" w:cs="Courier New"/>
      <w:kern w:val="0"/>
      <w:sz w:val="24"/>
      <w:szCs w:val="24"/>
      <w14:ligatures w14:val="none"/>
    </w:rPr>
  </w:style>
  <w:style w:type="character" w:customStyle="1" w:styleId="Heading3Char">
    <w:name w:val="Heading 3 Char"/>
    <w:basedOn w:val="DefaultParagraphFont"/>
    <w:link w:val="Heading3"/>
    <w:uiPriority w:val="9"/>
    <w:semiHidden/>
    <w:rsid w:val="00AB1981"/>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unhideWhenUsed/>
    <w:rsid w:val="00750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750B3D"/>
    <w:rPr>
      <w:rFonts w:ascii="Courier New" w:eastAsia="Times New Roman" w:hAnsi="Courier New" w:cs="Courier New"/>
      <w:kern w:val="0"/>
      <w:sz w:val="20"/>
      <w:szCs w:val="20"/>
      <w14:ligatures w14:val="none"/>
    </w:rPr>
  </w:style>
  <w:style w:type="character" w:styleId="Hyperlink">
    <w:name w:val="Hyperlink"/>
    <w:basedOn w:val="DefaultParagraphFont"/>
    <w:uiPriority w:val="99"/>
    <w:unhideWhenUsed/>
    <w:rsid w:val="007E7ECB"/>
    <w:rPr>
      <w:color w:val="0000FF"/>
      <w:u w:val="single"/>
    </w:rPr>
  </w:style>
  <w:style w:type="character" w:styleId="UnresolvedMention">
    <w:name w:val="Unresolved Mention"/>
    <w:basedOn w:val="DefaultParagraphFont"/>
    <w:uiPriority w:val="99"/>
    <w:semiHidden/>
    <w:unhideWhenUsed/>
    <w:rsid w:val="0089226B"/>
    <w:rPr>
      <w:color w:val="605E5C"/>
      <w:shd w:val="clear" w:color="auto" w:fill="E1DFDD"/>
    </w:rPr>
  </w:style>
  <w:style w:type="paragraph" w:styleId="Header">
    <w:name w:val="header"/>
    <w:basedOn w:val="Normal"/>
    <w:link w:val="HeaderChar"/>
    <w:uiPriority w:val="99"/>
    <w:unhideWhenUsed/>
    <w:rsid w:val="00135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68D"/>
  </w:style>
  <w:style w:type="paragraph" w:styleId="Footer">
    <w:name w:val="footer"/>
    <w:basedOn w:val="Normal"/>
    <w:link w:val="FooterChar"/>
    <w:uiPriority w:val="99"/>
    <w:unhideWhenUsed/>
    <w:rsid w:val="00135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94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2.nycourts.gov/rules/comments/index.shtml" TargetMode="External"/><Relationship Id="rId3" Type="http://schemas.openxmlformats.org/officeDocument/2006/relationships/settings" Target="settings.xml"/><Relationship Id="rId7" Type="http://schemas.openxmlformats.org/officeDocument/2006/relationships/hyperlink" Target="https://www.nycourts.gov/LegacyPDFS/rules/comments/pdf/requestforpubliccomment-adrconfidentiality-09292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3163</Words>
  <Characters>18035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Wagner</dc:creator>
  <cp:keywords/>
  <dc:description/>
  <cp:lastModifiedBy>Bruce J Wagner</cp:lastModifiedBy>
  <cp:revision>2</cp:revision>
  <cp:lastPrinted>2025-10-03T16:56:00Z</cp:lastPrinted>
  <dcterms:created xsi:type="dcterms:W3CDTF">2025-10-03T17:00:00Z</dcterms:created>
  <dcterms:modified xsi:type="dcterms:W3CDTF">2025-10-03T17:00:00Z</dcterms:modified>
</cp:coreProperties>
</file>