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78E7" w14:textId="77777777" w:rsidR="00313968" w:rsidRDefault="00313968" w:rsidP="00313968">
      <w:pPr>
        <w:spacing w:after="0" w:line="240" w:lineRule="auto"/>
        <w:jc w:val="center"/>
        <w:rPr>
          <w:rFonts w:ascii="Times New Roman" w:hAnsi="Times New Roman"/>
          <w:b/>
          <w:color w:val="000000"/>
          <w:sz w:val="28"/>
          <w:szCs w:val="28"/>
          <w:u w:val="single"/>
        </w:rPr>
      </w:pPr>
      <w:r>
        <w:rPr>
          <w:rFonts w:ascii="Times New Roman" w:hAnsi="Times New Roman"/>
          <w:b/>
          <w:color w:val="000000"/>
          <w:sz w:val="28"/>
          <w:szCs w:val="28"/>
          <w:u w:val="single"/>
        </w:rPr>
        <w:t>Agenda</w:t>
      </w:r>
    </w:p>
    <w:p w14:paraId="6118EF03" w14:textId="77777777" w:rsidR="00313968" w:rsidRDefault="00313968" w:rsidP="00313968">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NYSBA Committee on Civil Practice Law and Rules</w:t>
      </w:r>
    </w:p>
    <w:p w14:paraId="14962FAB" w14:textId="77777777" w:rsidR="00313968" w:rsidRDefault="00313968" w:rsidP="00313968">
      <w:pPr>
        <w:spacing w:after="0" w:line="240" w:lineRule="auto"/>
        <w:jc w:val="center"/>
        <w:rPr>
          <w:rFonts w:ascii="Times New Roman" w:hAnsi="Times New Roman"/>
          <w:color w:val="000000"/>
        </w:rPr>
      </w:pPr>
      <w:r>
        <w:rPr>
          <w:rFonts w:ascii="Times New Roman" w:hAnsi="Times New Roman"/>
          <w:color w:val="000000"/>
        </w:rPr>
        <w:t>Friday, June 4, 2021, 12:00 p.m. – 2:00 p.m.</w:t>
      </w:r>
      <w:r>
        <w:rPr>
          <w:rFonts w:ascii="Times New Roman" w:hAnsi="Times New Roman"/>
          <w:color w:val="000000"/>
        </w:rPr>
        <w:br/>
      </w:r>
    </w:p>
    <w:p w14:paraId="60AF63F9" w14:textId="77777777" w:rsidR="00313968" w:rsidRDefault="00313968" w:rsidP="00313968">
      <w:pPr>
        <w:spacing w:after="0" w:line="240" w:lineRule="auto"/>
        <w:jc w:val="center"/>
        <w:rPr>
          <w:rFonts w:ascii="Times New Roman" w:hAnsi="Times New Roman"/>
          <w:b/>
          <w:bCs/>
          <w:color w:val="000000"/>
        </w:rPr>
      </w:pPr>
      <w:r>
        <w:rPr>
          <w:rFonts w:ascii="Times New Roman" w:hAnsi="Times New Roman"/>
          <w:b/>
          <w:bCs/>
          <w:color w:val="000000"/>
        </w:rPr>
        <w:t>Via Zoom Conference</w:t>
      </w:r>
    </w:p>
    <w:p w14:paraId="439B31C8" w14:textId="77777777" w:rsidR="00313968" w:rsidRDefault="00313968" w:rsidP="00313968">
      <w:pPr>
        <w:pStyle w:val="PlainText"/>
        <w:jc w:val="center"/>
        <w:rPr>
          <w:rFonts w:ascii="Times New Roman" w:hAnsi="Times New Roman" w:cs="Times New Roman"/>
          <w:szCs w:val="22"/>
        </w:rPr>
      </w:pPr>
      <w:r>
        <w:rPr>
          <w:rFonts w:ascii="Times New Roman" w:hAnsi="Times New Roman" w:cs="Times New Roman"/>
          <w:szCs w:val="22"/>
        </w:rPr>
        <w:t>Dial-In Number: 888 475 4499</w:t>
      </w:r>
      <w:r>
        <w:rPr>
          <w:rFonts w:ascii="Times New Roman" w:hAnsi="Times New Roman" w:cs="Times New Roman"/>
          <w:szCs w:val="22"/>
        </w:rPr>
        <w:br/>
        <w:t>Meeting ID: 574 909 5451</w:t>
      </w:r>
    </w:p>
    <w:p w14:paraId="33D195D5" w14:textId="77777777" w:rsidR="00313968" w:rsidRDefault="00313968" w:rsidP="00313968">
      <w:pPr>
        <w:pStyle w:val="PlainText"/>
        <w:jc w:val="center"/>
        <w:rPr>
          <w:rFonts w:ascii="Times New Roman" w:hAnsi="Times New Roman" w:cs="Times New Roman"/>
          <w:szCs w:val="22"/>
        </w:rPr>
      </w:pPr>
      <w:r>
        <w:rPr>
          <w:rFonts w:ascii="Times New Roman" w:hAnsi="Times New Roman" w:cs="Times New Roman"/>
          <w:szCs w:val="22"/>
        </w:rPr>
        <w:t>Passcode: 042089</w:t>
      </w:r>
    </w:p>
    <w:p w14:paraId="0A6DCD7F" w14:textId="77777777" w:rsidR="00313968" w:rsidRDefault="00313968" w:rsidP="00313968">
      <w:pPr>
        <w:spacing w:after="0" w:line="240" w:lineRule="auto"/>
        <w:jc w:val="center"/>
        <w:rPr>
          <w:rFonts w:ascii="Times New Roman" w:hAnsi="Times New Roman"/>
          <w:color w:val="000000"/>
          <w:sz w:val="24"/>
          <w:szCs w:val="24"/>
        </w:rPr>
      </w:pPr>
    </w:p>
    <w:p w14:paraId="31712EB2" w14:textId="77777777" w:rsidR="00313968" w:rsidRDefault="00313968" w:rsidP="00313968">
      <w:pPr>
        <w:spacing w:after="0" w:line="240" w:lineRule="auto"/>
        <w:jc w:val="center"/>
        <w:rPr>
          <w:rFonts w:ascii="Times New Roman" w:hAnsi="Times New Roman"/>
          <w:b/>
          <w:bCs/>
          <w:sz w:val="24"/>
          <w:szCs w:val="24"/>
        </w:rPr>
      </w:pPr>
      <w:r>
        <w:rPr>
          <w:rFonts w:ascii="Times New Roman" w:hAnsi="Times New Roman"/>
          <w:b/>
          <w:bCs/>
          <w:sz w:val="24"/>
          <w:szCs w:val="24"/>
        </w:rPr>
        <w:t>Please see the link below to view meeting materials:</w:t>
      </w:r>
    </w:p>
    <w:p w14:paraId="5E1926EC" w14:textId="77777777" w:rsidR="00313968" w:rsidRDefault="00063C94" w:rsidP="00313968">
      <w:pPr>
        <w:spacing w:after="0" w:line="240" w:lineRule="auto"/>
        <w:jc w:val="center"/>
        <w:rPr>
          <w:rFonts w:ascii="Times New Roman" w:hAnsi="Times New Roman"/>
          <w:sz w:val="24"/>
          <w:szCs w:val="24"/>
        </w:rPr>
      </w:pPr>
      <w:hyperlink r:id="rId11" w:history="1">
        <w:r w:rsidR="00313968">
          <w:rPr>
            <w:rStyle w:val="Hyperlink"/>
            <w:rFonts w:ascii="Times New Roman" w:hAnsi="Times New Roman"/>
            <w:sz w:val="24"/>
            <w:szCs w:val="24"/>
          </w:rPr>
          <w:t>http://www.nysba.org/CPLRJune2021</w:t>
        </w:r>
      </w:hyperlink>
    </w:p>
    <w:p w14:paraId="1DF9C18B" w14:textId="1182AF18" w:rsidR="00B6062C" w:rsidRDefault="00B6062C">
      <w:pPr>
        <w:spacing w:after="0" w:line="240" w:lineRule="auto"/>
        <w:jc w:val="center"/>
        <w:rPr>
          <w:rFonts w:ascii="Times New Roman" w:hAnsi="Times New Roman"/>
          <w:sz w:val="24"/>
          <w:szCs w:val="24"/>
        </w:rPr>
      </w:pPr>
    </w:p>
    <w:p w14:paraId="6A328872" w14:textId="2D46C0DF" w:rsidR="00B60E1B" w:rsidRPr="00AF6382" w:rsidRDefault="00B60E1B" w:rsidP="00AF6382">
      <w:pPr>
        <w:spacing w:after="160" w:line="259" w:lineRule="auto"/>
        <w:contextualSpacing/>
        <w:jc w:val="center"/>
        <w:rPr>
          <w:rFonts w:ascii="Times New Roman" w:hAnsi="Times New Roman"/>
          <w:sz w:val="24"/>
        </w:rPr>
      </w:pPr>
      <w:r w:rsidRPr="00AF6382">
        <w:rPr>
          <w:rFonts w:ascii="Times New Roman" w:hAnsi="Times New Roman"/>
          <w:sz w:val="24"/>
        </w:rPr>
        <w:t xml:space="preserve">Welcome by the co-chairs, Souren </w:t>
      </w:r>
      <w:r w:rsidR="0026504C" w:rsidRPr="00AF6382">
        <w:rPr>
          <w:rFonts w:ascii="Times New Roman" w:hAnsi="Times New Roman"/>
          <w:sz w:val="24"/>
        </w:rPr>
        <w:t xml:space="preserve">A. </w:t>
      </w:r>
      <w:r w:rsidRPr="00AF6382">
        <w:rPr>
          <w:rFonts w:ascii="Times New Roman" w:hAnsi="Times New Roman"/>
          <w:sz w:val="24"/>
        </w:rPr>
        <w:t>Israelyan and Domenick Napoletano</w:t>
      </w:r>
    </w:p>
    <w:p w14:paraId="63CBFF05" w14:textId="11AF8E47" w:rsidR="00FD442A" w:rsidRPr="00FD442A" w:rsidRDefault="00B60E1B" w:rsidP="00FD442A">
      <w:pPr>
        <w:pStyle w:val="ListParagraph"/>
        <w:numPr>
          <w:ilvl w:val="0"/>
          <w:numId w:val="15"/>
        </w:numPr>
        <w:spacing w:after="160" w:line="259" w:lineRule="auto"/>
        <w:contextualSpacing/>
        <w:rPr>
          <w:rFonts w:ascii="Times New Roman" w:hAnsi="Times New Roman"/>
          <w:sz w:val="24"/>
        </w:rPr>
      </w:pPr>
      <w:r w:rsidRPr="00D1799A">
        <w:rPr>
          <w:rFonts w:ascii="Times New Roman" w:hAnsi="Times New Roman"/>
          <w:color w:val="000000"/>
          <w:sz w:val="24"/>
          <w:szCs w:val="24"/>
        </w:rPr>
        <w:t xml:space="preserve">Approval of Minutes for the Committee Meeting of </w:t>
      </w:r>
      <w:r w:rsidR="00B250E3">
        <w:rPr>
          <w:rFonts w:ascii="Times New Roman" w:hAnsi="Times New Roman"/>
          <w:color w:val="000000"/>
          <w:sz w:val="24"/>
          <w:szCs w:val="24"/>
        </w:rPr>
        <w:t>February 26</w:t>
      </w:r>
      <w:r w:rsidR="007A6285">
        <w:rPr>
          <w:rFonts w:ascii="Times New Roman" w:hAnsi="Times New Roman"/>
          <w:color w:val="000000"/>
          <w:sz w:val="24"/>
          <w:szCs w:val="24"/>
        </w:rPr>
        <w:t>, 202</w:t>
      </w:r>
      <w:r w:rsidR="00B250E3">
        <w:rPr>
          <w:rFonts w:ascii="Times New Roman" w:hAnsi="Times New Roman"/>
          <w:color w:val="000000"/>
          <w:sz w:val="24"/>
          <w:szCs w:val="24"/>
        </w:rPr>
        <w:t>1</w:t>
      </w:r>
      <w:r w:rsidR="007A6285">
        <w:rPr>
          <w:rFonts w:ascii="Times New Roman" w:hAnsi="Times New Roman"/>
          <w:color w:val="000000"/>
          <w:sz w:val="24"/>
          <w:szCs w:val="24"/>
        </w:rPr>
        <w:t xml:space="preserve"> </w:t>
      </w:r>
      <w:r w:rsidR="004212BA">
        <w:rPr>
          <w:rFonts w:ascii="Times New Roman" w:hAnsi="Times New Roman"/>
          <w:color w:val="000000"/>
          <w:sz w:val="24"/>
          <w:szCs w:val="24"/>
        </w:rPr>
        <w:tab/>
      </w:r>
      <w:r w:rsidR="007B4AB1">
        <w:rPr>
          <w:rFonts w:ascii="Times New Roman" w:hAnsi="Times New Roman"/>
          <w:b/>
          <w:bCs/>
          <w:color w:val="000000"/>
          <w:sz w:val="24"/>
          <w:szCs w:val="24"/>
        </w:rPr>
        <w:t>(</w:t>
      </w:r>
      <w:r w:rsidRPr="004212BA">
        <w:rPr>
          <w:rFonts w:ascii="Times New Roman" w:hAnsi="Times New Roman"/>
          <w:b/>
          <w:bCs/>
          <w:color w:val="000000"/>
          <w:sz w:val="24"/>
          <w:szCs w:val="24"/>
        </w:rPr>
        <w:t xml:space="preserve">Exhibit </w:t>
      </w:r>
      <w:r w:rsidR="00AF6382">
        <w:rPr>
          <w:rFonts w:ascii="Times New Roman" w:hAnsi="Times New Roman"/>
          <w:b/>
          <w:bCs/>
          <w:color w:val="000000"/>
          <w:sz w:val="24"/>
          <w:szCs w:val="24"/>
        </w:rPr>
        <w:t>1</w:t>
      </w:r>
      <w:r w:rsidRPr="007B4AB1">
        <w:rPr>
          <w:rFonts w:ascii="Times New Roman" w:hAnsi="Times New Roman"/>
          <w:b/>
          <w:bCs/>
          <w:color w:val="000000"/>
          <w:sz w:val="24"/>
          <w:szCs w:val="24"/>
        </w:rPr>
        <w:t>)</w:t>
      </w:r>
    </w:p>
    <w:p w14:paraId="0C2DE930" w14:textId="77777777" w:rsidR="00FD442A" w:rsidRDefault="00FD442A" w:rsidP="00FD442A">
      <w:pPr>
        <w:pStyle w:val="ListParagraph"/>
        <w:spacing w:after="160" w:line="259" w:lineRule="auto"/>
        <w:contextualSpacing/>
        <w:rPr>
          <w:rFonts w:ascii="Times New Roman" w:hAnsi="Times New Roman"/>
          <w:sz w:val="24"/>
        </w:rPr>
      </w:pPr>
    </w:p>
    <w:p w14:paraId="2846B83E" w14:textId="77777777" w:rsidR="00D70DE3" w:rsidRDefault="00B60E1B" w:rsidP="00D70DE3">
      <w:pPr>
        <w:pStyle w:val="ListParagraph"/>
        <w:numPr>
          <w:ilvl w:val="0"/>
          <w:numId w:val="15"/>
        </w:numPr>
        <w:spacing w:after="160" w:line="259" w:lineRule="auto"/>
        <w:contextualSpacing/>
        <w:rPr>
          <w:rFonts w:ascii="Times New Roman" w:hAnsi="Times New Roman"/>
          <w:sz w:val="24"/>
        </w:rPr>
      </w:pPr>
      <w:r w:rsidRPr="00240705">
        <w:rPr>
          <w:rFonts w:ascii="Times New Roman" w:hAnsi="Times New Roman"/>
          <w:sz w:val="24"/>
        </w:rPr>
        <w:t xml:space="preserve">Discussion of the current state of legislative activity </w:t>
      </w:r>
      <w:r w:rsidR="0026504C">
        <w:rPr>
          <w:rFonts w:ascii="Times New Roman" w:hAnsi="Times New Roman"/>
          <w:sz w:val="24"/>
        </w:rPr>
        <w:tab/>
      </w:r>
      <w:r w:rsidR="008F7997" w:rsidRPr="00EC4D85">
        <w:rPr>
          <w:rFonts w:ascii="Times New Roman" w:hAnsi="Times New Roman"/>
          <w:sz w:val="24"/>
        </w:rPr>
        <w:t>Adriel F. Col</w:t>
      </w:r>
      <w:r w:rsidR="008F7997" w:rsidRPr="00EC4D85">
        <w:rPr>
          <w:rFonts w:ascii="Times New Roman" w:hAnsi="Times New Roman" w:cs="Calibri"/>
          <w:color w:val="000000"/>
          <w:sz w:val="24"/>
          <w:szCs w:val="28"/>
          <w:bdr w:val="none" w:sz="0" w:space="0" w:color="auto" w:frame="1"/>
          <w:shd w:val="clear" w:color="auto" w:fill="FFFFFF"/>
        </w:rPr>
        <w:t>ó</w:t>
      </w:r>
      <w:r w:rsidR="008F7997" w:rsidRPr="00EC4D85">
        <w:rPr>
          <w:rFonts w:ascii="Times New Roman" w:hAnsi="Times New Roman"/>
          <w:sz w:val="24"/>
        </w:rPr>
        <w:t>n-</w:t>
      </w:r>
      <w:proofErr w:type="spellStart"/>
      <w:r w:rsidR="008F7997" w:rsidRPr="00EC4D85">
        <w:rPr>
          <w:rFonts w:ascii="Times New Roman" w:hAnsi="Times New Roman"/>
          <w:sz w:val="24"/>
        </w:rPr>
        <w:t>Casiano</w:t>
      </w:r>
      <w:proofErr w:type="spellEnd"/>
    </w:p>
    <w:p w14:paraId="5016BF28" w14:textId="77777777" w:rsidR="00D70DE3" w:rsidRDefault="00D70DE3" w:rsidP="00D70DE3">
      <w:pPr>
        <w:pStyle w:val="ListParagraph"/>
        <w:spacing w:after="160" w:line="259" w:lineRule="auto"/>
        <w:ind w:left="1440"/>
        <w:contextualSpacing/>
        <w:rPr>
          <w:rFonts w:ascii="Times New Roman" w:hAnsi="Times New Roman"/>
          <w:sz w:val="24"/>
        </w:rPr>
      </w:pPr>
    </w:p>
    <w:p w14:paraId="6159FC53" w14:textId="3E409EBE" w:rsidR="00D70DE3" w:rsidRPr="007B4AB1" w:rsidRDefault="00D70DE3" w:rsidP="00D70DE3">
      <w:pPr>
        <w:pStyle w:val="ListParagraph"/>
        <w:numPr>
          <w:ilvl w:val="1"/>
          <w:numId w:val="15"/>
        </w:numPr>
        <w:spacing w:after="160" w:line="259" w:lineRule="auto"/>
        <w:contextualSpacing/>
        <w:rPr>
          <w:rFonts w:ascii="Times New Roman" w:hAnsi="Times New Roman"/>
          <w:sz w:val="24"/>
        </w:rPr>
      </w:pPr>
      <w:r w:rsidRPr="00D70DE3">
        <w:rPr>
          <w:rFonts w:ascii="Times New Roman" w:hAnsi="Times New Roman"/>
          <w:sz w:val="24"/>
        </w:rPr>
        <w:t>S523 &amp; S523-A (</w:t>
      </w:r>
      <w:proofErr w:type="spellStart"/>
      <w:r w:rsidRPr="00D70DE3">
        <w:rPr>
          <w:rFonts w:ascii="Times New Roman" w:hAnsi="Times New Roman"/>
          <w:sz w:val="24"/>
        </w:rPr>
        <w:t>Hoyman</w:t>
      </w:r>
      <w:proofErr w:type="spellEnd"/>
      <w:r w:rsidRPr="00D70DE3">
        <w:rPr>
          <w:rFonts w:ascii="Times New Roman" w:hAnsi="Times New Roman"/>
          <w:sz w:val="24"/>
        </w:rPr>
        <w:t>) /A4580 &amp; 4580-A (Lavine)</w:t>
      </w:r>
      <w:r w:rsidRPr="00D70DE3">
        <w:rPr>
          <w:rFonts w:ascii="Times New Roman" w:hAnsi="Times New Roman"/>
          <w:sz w:val="24"/>
        </w:rPr>
        <w:tab/>
      </w:r>
      <w:r w:rsidRPr="00D70DE3">
        <w:rPr>
          <w:rFonts w:ascii="Times New Roman" w:hAnsi="Times New Roman"/>
          <w:sz w:val="24"/>
        </w:rPr>
        <w:tab/>
      </w:r>
      <w:r w:rsidRPr="007B4AB1">
        <w:rPr>
          <w:rFonts w:ascii="Times New Roman" w:hAnsi="Times New Roman"/>
          <w:b/>
          <w:bCs/>
          <w:sz w:val="24"/>
        </w:rPr>
        <w:t>(Exhibits 2-3)</w:t>
      </w:r>
    </w:p>
    <w:p w14:paraId="03D79642" w14:textId="30816E77" w:rsidR="00D70DE3" w:rsidRDefault="00BE2BC4" w:rsidP="00D70DE3">
      <w:pPr>
        <w:pStyle w:val="ListParagraph"/>
        <w:spacing w:after="0" w:line="259" w:lineRule="auto"/>
        <w:ind w:left="1440"/>
        <w:contextualSpacing/>
        <w:rPr>
          <w:rFonts w:ascii="Times New Roman" w:hAnsi="Times New Roman"/>
          <w:sz w:val="24"/>
        </w:rPr>
      </w:pPr>
      <w:r w:rsidRPr="00BE2BC4">
        <w:rPr>
          <w:rFonts w:ascii="Times New Roman" w:hAnsi="Times New Roman"/>
          <w:sz w:val="24"/>
        </w:rPr>
        <w:t xml:space="preserve">Article 53 of CPLR – Recognition of Foreign Country Money Judgments </w:t>
      </w:r>
    </w:p>
    <w:p w14:paraId="08D5DEEC" w14:textId="77777777" w:rsidR="00BE2BC4" w:rsidRPr="009C74F6" w:rsidRDefault="00BE2BC4" w:rsidP="00020676">
      <w:pPr>
        <w:pStyle w:val="ListParagraph"/>
        <w:spacing w:after="0" w:line="259" w:lineRule="auto"/>
        <w:ind w:left="1440"/>
        <w:contextualSpacing/>
        <w:rPr>
          <w:rFonts w:ascii="Times New Roman" w:hAnsi="Times New Roman"/>
          <w:sz w:val="24"/>
        </w:rPr>
      </w:pPr>
    </w:p>
    <w:p w14:paraId="6BE74633" w14:textId="043231B7" w:rsidR="00BE2BC4" w:rsidRPr="009C3C92" w:rsidRDefault="00D121B7" w:rsidP="009C3C92">
      <w:pPr>
        <w:pStyle w:val="ListParagraph"/>
        <w:numPr>
          <w:ilvl w:val="0"/>
          <w:numId w:val="15"/>
        </w:numPr>
        <w:spacing w:after="0" w:line="240" w:lineRule="auto"/>
        <w:rPr>
          <w:rFonts w:ascii="Times New Roman" w:hAnsi="Times New Roman"/>
          <w:sz w:val="24"/>
          <w:szCs w:val="24"/>
        </w:rPr>
      </w:pPr>
      <w:r w:rsidRPr="00D121B7">
        <w:rPr>
          <w:rFonts w:ascii="Times New Roman" w:hAnsi="Times New Roman"/>
          <w:sz w:val="24"/>
        </w:rPr>
        <w:t xml:space="preserve">Report on </w:t>
      </w:r>
      <w:r>
        <w:rPr>
          <w:rFonts w:ascii="Times New Roman" w:hAnsi="Times New Roman"/>
          <w:sz w:val="24"/>
        </w:rPr>
        <w:t xml:space="preserve">NYSBA’s Executive Committee actions on CPLR Committee’s affirmative legislative proposals – </w:t>
      </w:r>
      <w:r w:rsidRPr="00D121B7">
        <w:rPr>
          <w:rFonts w:ascii="Times New Roman" w:hAnsi="Times New Roman"/>
          <w:sz w:val="24"/>
          <w:szCs w:val="24"/>
        </w:rPr>
        <w:t>CPLR</w:t>
      </w:r>
      <w:r>
        <w:rPr>
          <w:rFonts w:ascii="Times New Roman" w:hAnsi="Times New Roman"/>
          <w:sz w:val="24"/>
          <w:szCs w:val="24"/>
        </w:rPr>
        <w:t xml:space="preserve"> </w:t>
      </w:r>
      <w:r w:rsidRPr="00D121B7">
        <w:rPr>
          <w:rFonts w:ascii="Times New Roman" w:hAnsi="Times New Roman"/>
          <w:sz w:val="24"/>
          <w:szCs w:val="24"/>
        </w:rPr>
        <w:t>3113 (d) and 3107; CPLR 312-b</w:t>
      </w:r>
      <w:r>
        <w:rPr>
          <w:rFonts w:ascii="Times New Roman" w:hAnsi="Times New Roman"/>
          <w:sz w:val="24"/>
          <w:szCs w:val="24"/>
        </w:rPr>
        <w:t>; CPLR 2016</w:t>
      </w:r>
    </w:p>
    <w:p w14:paraId="01817562" w14:textId="77777777" w:rsidR="005D673A" w:rsidRDefault="005D673A" w:rsidP="00AE4C6E">
      <w:pPr>
        <w:pStyle w:val="ListParagraph"/>
        <w:spacing w:after="160" w:line="259" w:lineRule="auto"/>
        <w:ind w:left="6480"/>
        <w:contextualSpacing/>
        <w:rPr>
          <w:rFonts w:ascii="Times New Roman" w:hAnsi="Times New Roman"/>
          <w:sz w:val="24"/>
        </w:rPr>
      </w:pPr>
    </w:p>
    <w:p w14:paraId="1699D4CF" w14:textId="5789B1CC" w:rsidR="00613F51" w:rsidRDefault="00613F51" w:rsidP="008627D0">
      <w:pPr>
        <w:pStyle w:val="ListParagraph"/>
        <w:numPr>
          <w:ilvl w:val="0"/>
          <w:numId w:val="15"/>
        </w:numPr>
        <w:spacing w:after="160" w:line="259" w:lineRule="auto"/>
        <w:contextualSpacing/>
        <w:rPr>
          <w:rFonts w:ascii="Times New Roman" w:hAnsi="Times New Roman"/>
          <w:sz w:val="24"/>
          <w:u w:val="single"/>
        </w:rPr>
      </w:pPr>
      <w:r w:rsidRPr="00361C9E">
        <w:rPr>
          <w:rFonts w:ascii="Times New Roman" w:hAnsi="Times New Roman"/>
          <w:sz w:val="24"/>
          <w:u w:val="single"/>
        </w:rPr>
        <w:t xml:space="preserve">CPLR </w:t>
      </w:r>
      <w:r w:rsidR="00F053F7">
        <w:rPr>
          <w:rFonts w:ascii="Times New Roman" w:hAnsi="Times New Roman"/>
          <w:sz w:val="24"/>
          <w:u w:val="single"/>
        </w:rPr>
        <w:t xml:space="preserve">Committee’s affirmative </w:t>
      </w:r>
      <w:r w:rsidR="00361C9E" w:rsidRPr="00361C9E">
        <w:rPr>
          <w:rFonts w:ascii="Times New Roman" w:hAnsi="Times New Roman"/>
          <w:sz w:val="24"/>
          <w:u w:val="single"/>
        </w:rPr>
        <w:t xml:space="preserve">proposals </w:t>
      </w:r>
    </w:p>
    <w:p w14:paraId="1EF294C6" w14:textId="77777777" w:rsidR="00361C9E" w:rsidRPr="00361C9E" w:rsidRDefault="00361C9E" w:rsidP="00361C9E">
      <w:pPr>
        <w:pStyle w:val="ListParagraph"/>
        <w:spacing w:after="160" w:line="259" w:lineRule="auto"/>
        <w:contextualSpacing/>
        <w:rPr>
          <w:rFonts w:ascii="Times New Roman" w:hAnsi="Times New Roman"/>
          <w:sz w:val="24"/>
          <w:u w:val="single"/>
        </w:rPr>
      </w:pPr>
    </w:p>
    <w:p w14:paraId="703E265F" w14:textId="77777777" w:rsidR="00F12E45" w:rsidRDefault="00972DD2" w:rsidP="00972DD2">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 xml:space="preserve">CPLR 3025 (b) – Motion to amend </w:t>
      </w:r>
      <w:proofErr w:type="gramStart"/>
      <w:r>
        <w:rPr>
          <w:rFonts w:ascii="Times New Roman" w:hAnsi="Times New Roman"/>
          <w:sz w:val="24"/>
        </w:rPr>
        <w:t>pleadings</w:t>
      </w:r>
      <w:proofErr w:type="gramEnd"/>
      <w:r>
        <w:rPr>
          <w:rFonts w:ascii="Times New Roman" w:hAnsi="Times New Roman"/>
          <w:sz w:val="24"/>
        </w:rPr>
        <w:tab/>
      </w:r>
      <w:r>
        <w:rPr>
          <w:rFonts w:ascii="Times New Roman" w:hAnsi="Times New Roman"/>
          <w:sz w:val="24"/>
        </w:rPr>
        <w:tab/>
      </w:r>
      <w:r>
        <w:rPr>
          <w:rFonts w:ascii="Times New Roman" w:hAnsi="Times New Roman"/>
          <w:sz w:val="24"/>
        </w:rPr>
        <w:tab/>
      </w:r>
    </w:p>
    <w:p w14:paraId="7A6421DD" w14:textId="37E86696" w:rsidR="00972DD2" w:rsidRDefault="00F12E45" w:rsidP="00F12E45">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t xml:space="preserve">Proposal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72DD2" w:rsidRPr="007B4AB1">
        <w:rPr>
          <w:rFonts w:ascii="Times New Roman" w:hAnsi="Times New Roman"/>
          <w:b/>
          <w:bCs/>
          <w:sz w:val="24"/>
        </w:rPr>
        <w:t>(</w:t>
      </w:r>
      <w:r w:rsidR="00972DD2" w:rsidRPr="004030BF">
        <w:rPr>
          <w:rFonts w:ascii="Times New Roman" w:hAnsi="Times New Roman"/>
          <w:b/>
          <w:bCs/>
          <w:sz w:val="24"/>
        </w:rPr>
        <w:t>Exhibit</w:t>
      </w:r>
      <w:r w:rsidR="00972DD2">
        <w:rPr>
          <w:rFonts w:ascii="Times New Roman" w:hAnsi="Times New Roman"/>
          <w:sz w:val="24"/>
        </w:rPr>
        <w:t xml:space="preserve"> </w:t>
      </w:r>
      <w:r w:rsidR="007B4AB1" w:rsidRPr="007B4AB1">
        <w:rPr>
          <w:rFonts w:ascii="Times New Roman" w:hAnsi="Times New Roman"/>
          <w:b/>
          <w:bCs/>
          <w:sz w:val="24"/>
        </w:rPr>
        <w:t>4</w:t>
      </w:r>
      <w:r w:rsidR="00972DD2" w:rsidRPr="007B4AB1">
        <w:rPr>
          <w:rFonts w:ascii="Times New Roman" w:hAnsi="Times New Roman"/>
          <w:b/>
          <w:bCs/>
          <w:sz w:val="24"/>
        </w:rPr>
        <w:t>)</w:t>
      </w:r>
    </w:p>
    <w:p w14:paraId="2170385A" w14:textId="172D178E" w:rsidR="00F12E45" w:rsidRDefault="00F12E45" w:rsidP="00F12E45">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t xml:space="preserve">Supporting materials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B4AB1">
        <w:rPr>
          <w:rFonts w:ascii="Times New Roman" w:hAnsi="Times New Roman"/>
          <w:b/>
          <w:bCs/>
          <w:sz w:val="24"/>
        </w:rPr>
        <w:t xml:space="preserve">(Exhibit </w:t>
      </w:r>
      <w:r w:rsidR="007B4AB1" w:rsidRPr="007B4AB1">
        <w:rPr>
          <w:rFonts w:ascii="Times New Roman" w:hAnsi="Times New Roman"/>
          <w:b/>
          <w:bCs/>
          <w:sz w:val="24"/>
        </w:rPr>
        <w:t>5</w:t>
      </w:r>
      <w:r w:rsidRPr="007B4AB1">
        <w:rPr>
          <w:rFonts w:ascii="Times New Roman" w:hAnsi="Times New Roman"/>
          <w:b/>
          <w:bCs/>
          <w:sz w:val="24"/>
        </w:rPr>
        <w:t>)</w:t>
      </w:r>
    </w:p>
    <w:p w14:paraId="7560F266" w14:textId="77777777" w:rsidR="00972DD2" w:rsidRDefault="00972DD2" w:rsidP="00F12E45">
      <w:pPr>
        <w:pStyle w:val="ListParagraph"/>
        <w:numPr>
          <w:ilvl w:val="3"/>
          <w:numId w:val="15"/>
        </w:numPr>
        <w:spacing w:after="160" w:line="259" w:lineRule="auto"/>
        <w:contextualSpacing/>
        <w:rPr>
          <w:rFonts w:ascii="Times New Roman" w:hAnsi="Times New Roman"/>
          <w:sz w:val="24"/>
        </w:rPr>
      </w:pPr>
      <w:r>
        <w:rPr>
          <w:rFonts w:ascii="Times New Roman" w:hAnsi="Times New Roman"/>
          <w:i/>
          <w:iCs/>
          <w:sz w:val="24"/>
        </w:rPr>
        <w:t>Kamara v 767 Fifth Partners, LLC</w:t>
      </w:r>
      <w:r>
        <w:rPr>
          <w:rFonts w:ascii="Times New Roman" w:hAnsi="Times New Roman"/>
          <w:sz w:val="24"/>
        </w:rPr>
        <w:t>, 188 AD3d 602 (1st Dept 2020)</w:t>
      </w:r>
    </w:p>
    <w:p w14:paraId="234025C6" w14:textId="77777777" w:rsidR="00972DD2" w:rsidRDefault="00972DD2" w:rsidP="00F12E45">
      <w:pPr>
        <w:pStyle w:val="ListParagraph"/>
        <w:numPr>
          <w:ilvl w:val="3"/>
          <w:numId w:val="15"/>
        </w:numPr>
        <w:spacing w:after="160" w:line="259" w:lineRule="auto"/>
        <w:contextualSpacing/>
        <w:rPr>
          <w:rFonts w:ascii="Times New Roman" w:hAnsi="Times New Roman"/>
          <w:sz w:val="24"/>
        </w:rPr>
      </w:pPr>
      <w:proofErr w:type="spellStart"/>
      <w:r>
        <w:rPr>
          <w:rFonts w:ascii="Times New Roman" w:hAnsi="Times New Roman"/>
          <w:i/>
          <w:iCs/>
          <w:sz w:val="24"/>
        </w:rPr>
        <w:t>Frangidakis</w:t>
      </w:r>
      <w:proofErr w:type="spellEnd"/>
      <w:r>
        <w:rPr>
          <w:rFonts w:ascii="Times New Roman" w:hAnsi="Times New Roman"/>
          <w:i/>
          <w:iCs/>
          <w:sz w:val="24"/>
        </w:rPr>
        <w:t xml:space="preserve"> v 51 W. 81st St. Corp.</w:t>
      </w:r>
      <w:r>
        <w:rPr>
          <w:rFonts w:ascii="Times New Roman" w:hAnsi="Times New Roman"/>
          <w:sz w:val="24"/>
        </w:rPr>
        <w:t>, 161 AD3d 478 (1st Dept 2018)</w:t>
      </w:r>
    </w:p>
    <w:p w14:paraId="6EF5D400" w14:textId="77777777" w:rsidR="00972DD2" w:rsidRDefault="00972DD2" w:rsidP="00F12E45">
      <w:pPr>
        <w:pStyle w:val="ListParagraph"/>
        <w:numPr>
          <w:ilvl w:val="3"/>
          <w:numId w:val="15"/>
        </w:numPr>
        <w:spacing w:after="160" w:line="259" w:lineRule="auto"/>
        <w:contextualSpacing/>
        <w:rPr>
          <w:rFonts w:ascii="Times New Roman" w:hAnsi="Times New Roman"/>
          <w:sz w:val="24"/>
        </w:rPr>
      </w:pPr>
      <w:r>
        <w:rPr>
          <w:rFonts w:ascii="Times New Roman" w:hAnsi="Times New Roman"/>
          <w:i/>
          <w:iCs/>
          <w:sz w:val="24"/>
        </w:rPr>
        <w:t>NYAHSA Servs., Inc., Self-Insurance Trust v People Care Inc.</w:t>
      </w:r>
      <w:r>
        <w:rPr>
          <w:rFonts w:ascii="Times New Roman" w:hAnsi="Times New Roman"/>
          <w:sz w:val="24"/>
        </w:rPr>
        <w:t>, 156 AD3d 99 (3d Dept 2017)</w:t>
      </w:r>
    </w:p>
    <w:p w14:paraId="67D2F13E" w14:textId="77777777" w:rsidR="00972DD2" w:rsidRDefault="00972DD2" w:rsidP="00F12E45">
      <w:pPr>
        <w:pStyle w:val="ListParagraph"/>
        <w:numPr>
          <w:ilvl w:val="3"/>
          <w:numId w:val="15"/>
        </w:numPr>
        <w:spacing w:after="160" w:line="259" w:lineRule="auto"/>
        <w:contextualSpacing/>
        <w:rPr>
          <w:rFonts w:ascii="Times New Roman" w:hAnsi="Times New Roman"/>
          <w:sz w:val="24"/>
        </w:rPr>
      </w:pPr>
      <w:r>
        <w:rPr>
          <w:rFonts w:ascii="Times New Roman" w:hAnsi="Times New Roman"/>
          <w:i/>
          <w:iCs/>
          <w:sz w:val="24"/>
        </w:rPr>
        <w:t xml:space="preserve">Matter of </w:t>
      </w:r>
      <w:proofErr w:type="spellStart"/>
      <w:r>
        <w:rPr>
          <w:rFonts w:ascii="Times New Roman" w:hAnsi="Times New Roman"/>
          <w:i/>
          <w:iCs/>
          <w:sz w:val="24"/>
        </w:rPr>
        <w:t>Bynam</w:t>
      </w:r>
      <w:proofErr w:type="spellEnd"/>
      <w:r>
        <w:rPr>
          <w:rFonts w:ascii="Times New Roman" w:hAnsi="Times New Roman"/>
          <w:i/>
          <w:iCs/>
          <w:sz w:val="24"/>
        </w:rPr>
        <w:t xml:space="preserve"> v Camp Bisco, LLC</w:t>
      </w:r>
      <w:r>
        <w:rPr>
          <w:rFonts w:ascii="Times New Roman" w:hAnsi="Times New Roman"/>
          <w:sz w:val="24"/>
        </w:rPr>
        <w:t>, 155 AD3d 1503 (3d Dept 2017)</w:t>
      </w:r>
    </w:p>
    <w:p w14:paraId="5DB747BA" w14:textId="77777777" w:rsidR="00F12E45" w:rsidRDefault="00972DD2" w:rsidP="00F12E45">
      <w:pPr>
        <w:pStyle w:val="ListParagraph"/>
        <w:numPr>
          <w:ilvl w:val="3"/>
          <w:numId w:val="15"/>
        </w:numPr>
        <w:spacing w:after="160" w:line="259" w:lineRule="auto"/>
        <w:contextualSpacing/>
        <w:rPr>
          <w:rFonts w:ascii="Times New Roman" w:hAnsi="Times New Roman"/>
          <w:sz w:val="24"/>
        </w:rPr>
      </w:pPr>
      <w:r>
        <w:rPr>
          <w:rFonts w:ascii="Times New Roman" w:hAnsi="Times New Roman"/>
          <w:i/>
          <w:iCs/>
          <w:sz w:val="24"/>
        </w:rPr>
        <w:t>Lucid v Mancuso</w:t>
      </w:r>
      <w:r>
        <w:rPr>
          <w:rFonts w:ascii="Times New Roman" w:hAnsi="Times New Roman"/>
          <w:sz w:val="24"/>
        </w:rPr>
        <w:t>, 49 AD3d 220 (2d Dept 2008)</w:t>
      </w:r>
    </w:p>
    <w:p w14:paraId="2A674866" w14:textId="194DD36E" w:rsidR="00972DD2" w:rsidRDefault="00972DD2" w:rsidP="00F12E45">
      <w:pPr>
        <w:pStyle w:val="ListParagraph"/>
        <w:numPr>
          <w:ilvl w:val="3"/>
          <w:numId w:val="15"/>
        </w:numPr>
        <w:spacing w:after="160" w:line="259" w:lineRule="auto"/>
        <w:contextualSpacing/>
        <w:rPr>
          <w:rFonts w:ascii="Times New Roman" w:hAnsi="Times New Roman"/>
          <w:sz w:val="24"/>
        </w:rPr>
      </w:pPr>
      <w:r w:rsidRPr="00F12E45">
        <w:rPr>
          <w:rFonts w:ascii="Times New Roman" w:hAnsi="Times New Roman"/>
          <w:i/>
          <w:iCs/>
          <w:sz w:val="24"/>
        </w:rPr>
        <w:t>Seeley v Shen</w:t>
      </w:r>
      <w:r w:rsidRPr="00F12E45">
        <w:rPr>
          <w:rFonts w:ascii="Times New Roman" w:hAnsi="Times New Roman"/>
          <w:sz w:val="24"/>
        </w:rPr>
        <w:t>, Sup Ct, Montgomery County, Dec. 23, 2020, Slezak, J., index No. 986/14</w:t>
      </w:r>
    </w:p>
    <w:p w14:paraId="59B4D649" w14:textId="77777777" w:rsidR="00F12E45" w:rsidRPr="00F12E45" w:rsidRDefault="00F12E45" w:rsidP="00F12E45">
      <w:pPr>
        <w:pStyle w:val="ListParagraph"/>
        <w:spacing w:after="160" w:line="259" w:lineRule="auto"/>
        <w:ind w:left="2880"/>
        <w:contextualSpacing/>
        <w:rPr>
          <w:rFonts w:ascii="Times New Roman" w:hAnsi="Times New Roman"/>
          <w:sz w:val="24"/>
        </w:rPr>
      </w:pPr>
    </w:p>
    <w:p w14:paraId="662710F7" w14:textId="20D48657" w:rsidR="00B250E3" w:rsidRDefault="00972DD2" w:rsidP="00972DD2">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CPLR 3001 – Declaratory judgment</w:t>
      </w:r>
      <w:r>
        <w:rPr>
          <w:rFonts w:ascii="Times New Roman" w:hAnsi="Times New Roman"/>
          <w:sz w:val="24"/>
        </w:rPr>
        <w:tab/>
      </w:r>
      <w:r>
        <w:rPr>
          <w:rFonts w:ascii="Times New Roman" w:hAnsi="Times New Roman"/>
          <w:sz w:val="24"/>
        </w:rPr>
        <w:tab/>
      </w:r>
      <w:r>
        <w:rPr>
          <w:rFonts w:ascii="Times New Roman" w:hAnsi="Times New Roman"/>
          <w:sz w:val="24"/>
        </w:rPr>
        <w:tab/>
      </w:r>
      <w:r w:rsidR="007B4AB1">
        <w:rPr>
          <w:rFonts w:ascii="Times New Roman" w:hAnsi="Times New Roman"/>
          <w:sz w:val="24"/>
        </w:rPr>
        <w:tab/>
      </w:r>
      <w:r w:rsidR="007B4AB1">
        <w:rPr>
          <w:rFonts w:ascii="Times New Roman" w:hAnsi="Times New Roman"/>
          <w:sz w:val="24"/>
        </w:rPr>
        <w:tab/>
      </w:r>
      <w:r w:rsidR="007B4AB1" w:rsidRPr="007B4AB1">
        <w:rPr>
          <w:rFonts w:ascii="Times New Roman" w:hAnsi="Times New Roman"/>
          <w:b/>
          <w:bCs/>
          <w:sz w:val="24"/>
        </w:rPr>
        <w:t>(Exhibits 6-9)</w:t>
      </w:r>
      <w:r>
        <w:rPr>
          <w:rFonts w:ascii="Times New Roman" w:hAnsi="Times New Roman"/>
          <w:sz w:val="24"/>
        </w:rPr>
        <w:tab/>
      </w:r>
      <w:r>
        <w:rPr>
          <w:rFonts w:ascii="Times New Roman" w:hAnsi="Times New Roman"/>
          <w:sz w:val="24"/>
        </w:rPr>
        <w:tab/>
      </w:r>
    </w:p>
    <w:p w14:paraId="4DB0FBBB" w14:textId="77777777" w:rsidR="00F12E45" w:rsidRDefault="00972DD2" w:rsidP="00F12E45">
      <w:pPr>
        <w:pStyle w:val="ListParagraph"/>
        <w:numPr>
          <w:ilvl w:val="2"/>
          <w:numId w:val="15"/>
        </w:numPr>
        <w:spacing w:after="0" w:line="259" w:lineRule="auto"/>
        <w:contextualSpacing/>
        <w:rPr>
          <w:rFonts w:ascii="Times New Roman" w:hAnsi="Times New Roman"/>
          <w:sz w:val="24"/>
        </w:rPr>
      </w:pPr>
      <w:r>
        <w:rPr>
          <w:rFonts w:ascii="Times New Roman" w:hAnsi="Times New Roman"/>
          <w:i/>
          <w:iCs/>
          <w:sz w:val="24"/>
        </w:rPr>
        <w:t xml:space="preserve">159 MP Corp. v </w:t>
      </w:r>
      <w:proofErr w:type="spellStart"/>
      <w:r>
        <w:rPr>
          <w:rFonts w:ascii="Times New Roman" w:hAnsi="Times New Roman"/>
          <w:i/>
          <w:iCs/>
          <w:sz w:val="24"/>
        </w:rPr>
        <w:t>Redbridge</w:t>
      </w:r>
      <w:proofErr w:type="spellEnd"/>
      <w:r>
        <w:rPr>
          <w:rFonts w:ascii="Times New Roman" w:hAnsi="Times New Roman"/>
          <w:i/>
          <w:iCs/>
          <w:sz w:val="24"/>
        </w:rPr>
        <w:t xml:space="preserve"> Bedford, LLC</w:t>
      </w:r>
      <w:r>
        <w:rPr>
          <w:rFonts w:ascii="Times New Roman" w:hAnsi="Times New Roman"/>
          <w:sz w:val="24"/>
        </w:rPr>
        <w:t xml:space="preserve">, 33 NY3d 353 (2019, Wilson, J., dissenting) – whether a contractual provision barring a declaratory judgment is against the public policy – </w:t>
      </w:r>
      <w:r w:rsidRPr="007E145F">
        <w:rPr>
          <w:rFonts w:ascii="Times New Roman" w:hAnsi="Times New Roman"/>
          <w:i/>
          <w:iCs/>
          <w:sz w:val="24"/>
        </w:rPr>
        <w:t>Yellowstone</w:t>
      </w:r>
      <w:r>
        <w:rPr>
          <w:rFonts w:ascii="Times New Roman" w:hAnsi="Times New Roman"/>
          <w:sz w:val="24"/>
        </w:rPr>
        <w:t xml:space="preserve"> </w:t>
      </w:r>
      <w:proofErr w:type="gramStart"/>
      <w:r>
        <w:rPr>
          <w:rFonts w:ascii="Times New Roman" w:hAnsi="Times New Roman"/>
          <w:sz w:val="24"/>
        </w:rPr>
        <w:t>injunctions</w:t>
      </w:r>
      <w:proofErr w:type="gramEnd"/>
    </w:p>
    <w:p w14:paraId="42B5178B" w14:textId="0786BB15" w:rsidR="00F12E45" w:rsidRPr="00F12E45" w:rsidRDefault="00F12E45" w:rsidP="00F12E45">
      <w:pPr>
        <w:spacing w:after="160" w:line="259" w:lineRule="auto"/>
        <w:ind w:left="7920"/>
        <w:contextualSpacing/>
        <w:rPr>
          <w:rFonts w:ascii="Times New Roman" w:hAnsi="Times New Roman"/>
          <w:sz w:val="24"/>
        </w:rPr>
      </w:pPr>
      <w:r w:rsidRPr="009C3C92">
        <w:rPr>
          <w:rFonts w:ascii="Times New Roman" w:hAnsi="Times New Roman"/>
          <w:b/>
          <w:bCs/>
          <w:sz w:val="24"/>
        </w:rPr>
        <w:t>(</w:t>
      </w:r>
      <w:r w:rsidRPr="00F12E45">
        <w:rPr>
          <w:rFonts w:ascii="Times New Roman" w:hAnsi="Times New Roman"/>
          <w:b/>
          <w:bCs/>
          <w:sz w:val="24"/>
        </w:rPr>
        <w:t xml:space="preserve">Exhibit </w:t>
      </w:r>
      <w:r w:rsidR="007B4AB1">
        <w:rPr>
          <w:rFonts w:ascii="Times New Roman" w:hAnsi="Times New Roman"/>
          <w:b/>
          <w:bCs/>
          <w:sz w:val="24"/>
        </w:rPr>
        <w:t>6</w:t>
      </w:r>
      <w:r w:rsidRPr="009C3C92">
        <w:rPr>
          <w:rFonts w:ascii="Times New Roman" w:hAnsi="Times New Roman"/>
          <w:b/>
          <w:bCs/>
          <w:sz w:val="24"/>
        </w:rPr>
        <w:t>)</w:t>
      </w:r>
      <w:r w:rsidRPr="00F12E45">
        <w:rPr>
          <w:rFonts w:ascii="Times New Roman" w:hAnsi="Times New Roman"/>
          <w:sz w:val="24"/>
        </w:rPr>
        <w:tab/>
      </w:r>
    </w:p>
    <w:p w14:paraId="4182D670" w14:textId="1CE9DF5C" w:rsidR="00FE189C" w:rsidRDefault="00FE189C" w:rsidP="00972DD2">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lastRenderedPageBreak/>
        <w:t xml:space="preserve">S5614 (2019) – Prohibiting commercial leases from including a waiver of the right to a declaratory judgment action and states that inclusion of such waiver in a commercial lease shall be null and voice as against public policy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12E45">
        <w:rPr>
          <w:rFonts w:ascii="Times New Roman" w:hAnsi="Times New Roman"/>
          <w:b/>
          <w:bCs/>
          <w:sz w:val="24"/>
        </w:rPr>
        <w:t xml:space="preserve">(Exhibit </w:t>
      </w:r>
      <w:r w:rsidR="007B4AB1">
        <w:rPr>
          <w:rFonts w:ascii="Times New Roman" w:hAnsi="Times New Roman"/>
          <w:b/>
          <w:bCs/>
          <w:sz w:val="24"/>
        </w:rPr>
        <w:t>7</w:t>
      </w:r>
      <w:r w:rsidRPr="00F12E45">
        <w:rPr>
          <w:rFonts w:ascii="Times New Roman" w:hAnsi="Times New Roman"/>
          <w:b/>
          <w:bCs/>
          <w:sz w:val="24"/>
        </w:rPr>
        <w:t>)</w:t>
      </w:r>
      <w:r>
        <w:rPr>
          <w:rFonts w:ascii="Times New Roman" w:hAnsi="Times New Roman"/>
          <w:sz w:val="24"/>
        </w:rPr>
        <w:tab/>
      </w:r>
    </w:p>
    <w:p w14:paraId="532A904E" w14:textId="77777777" w:rsidR="007B4AB1" w:rsidRPr="00063C94" w:rsidRDefault="007B4AB1" w:rsidP="007B4AB1">
      <w:pPr>
        <w:pStyle w:val="ListParagraph"/>
        <w:spacing w:after="160" w:line="259" w:lineRule="auto"/>
        <w:ind w:left="2160"/>
        <w:contextualSpacing/>
        <w:rPr>
          <w:rFonts w:ascii="Times New Roman" w:hAnsi="Times New Roman"/>
          <w:sz w:val="20"/>
          <w:szCs w:val="20"/>
        </w:rPr>
      </w:pPr>
    </w:p>
    <w:p w14:paraId="5B055D9C" w14:textId="55708172" w:rsidR="00F12E45" w:rsidRDefault="00F12E45" w:rsidP="00972DD2">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t xml:space="preserve">Real Property Law § 235-h (L 2019, </w:t>
      </w:r>
      <w:proofErr w:type="spellStart"/>
      <w:r>
        <w:rPr>
          <w:rFonts w:ascii="Times New Roman" w:hAnsi="Times New Roman"/>
          <w:sz w:val="24"/>
        </w:rPr>
        <w:t>ch</w:t>
      </w:r>
      <w:proofErr w:type="spellEnd"/>
      <w:r>
        <w:rPr>
          <w:rFonts w:ascii="Times New Roman" w:hAnsi="Times New Roman"/>
          <w:sz w:val="24"/>
        </w:rPr>
        <w:t xml:space="preserve"> 689, § 1)</w:t>
      </w:r>
      <w:r>
        <w:rPr>
          <w:rFonts w:ascii="Times New Roman" w:hAnsi="Times New Roman"/>
          <w:sz w:val="24"/>
        </w:rPr>
        <w:tab/>
      </w:r>
      <w:r>
        <w:rPr>
          <w:rFonts w:ascii="Times New Roman" w:hAnsi="Times New Roman"/>
          <w:sz w:val="24"/>
        </w:rPr>
        <w:tab/>
      </w:r>
      <w:r w:rsidRPr="00F12E45">
        <w:rPr>
          <w:rFonts w:ascii="Times New Roman" w:hAnsi="Times New Roman"/>
          <w:b/>
          <w:bCs/>
          <w:sz w:val="24"/>
        </w:rPr>
        <w:t xml:space="preserve">(Exhibit </w:t>
      </w:r>
      <w:r w:rsidR="007B4AB1">
        <w:rPr>
          <w:rFonts w:ascii="Times New Roman" w:hAnsi="Times New Roman"/>
          <w:b/>
          <w:bCs/>
          <w:sz w:val="24"/>
        </w:rPr>
        <w:t>8</w:t>
      </w:r>
      <w:r w:rsidRPr="00F12E45">
        <w:rPr>
          <w:rFonts w:ascii="Times New Roman" w:hAnsi="Times New Roman"/>
          <w:b/>
          <w:bCs/>
          <w:sz w:val="24"/>
        </w:rPr>
        <w:t>)</w:t>
      </w:r>
      <w:r>
        <w:rPr>
          <w:rFonts w:ascii="Times New Roman" w:hAnsi="Times New Roman"/>
          <w:sz w:val="24"/>
        </w:rPr>
        <w:tab/>
      </w:r>
    </w:p>
    <w:p w14:paraId="1B00840B" w14:textId="77777777" w:rsidR="007B4AB1" w:rsidRPr="00063C94" w:rsidRDefault="007B4AB1" w:rsidP="007B4AB1">
      <w:pPr>
        <w:pStyle w:val="ListParagraph"/>
        <w:spacing w:after="160" w:line="259" w:lineRule="auto"/>
        <w:ind w:left="2160"/>
        <w:contextualSpacing/>
        <w:rPr>
          <w:rFonts w:ascii="Times New Roman" w:hAnsi="Times New Roman"/>
          <w:sz w:val="20"/>
          <w:szCs w:val="20"/>
        </w:rPr>
      </w:pPr>
    </w:p>
    <w:p w14:paraId="1DDA6DBF" w14:textId="704DD340" w:rsidR="00F12E45" w:rsidRPr="007B4AB1" w:rsidRDefault="00F12E45" w:rsidP="00972DD2">
      <w:pPr>
        <w:pStyle w:val="ListParagraph"/>
        <w:numPr>
          <w:ilvl w:val="2"/>
          <w:numId w:val="15"/>
        </w:numPr>
        <w:spacing w:after="160" w:line="259" w:lineRule="auto"/>
        <w:contextualSpacing/>
        <w:rPr>
          <w:rFonts w:ascii="Times New Roman" w:hAnsi="Times New Roman"/>
          <w:sz w:val="24"/>
        </w:rPr>
      </w:pPr>
      <w:proofErr w:type="spellStart"/>
      <w:r>
        <w:rPr>
          <w:rFonts w:ascii="Times New Roman" w:hAnsi="Times New Roman"/>
          <w:i/>
          <w:iCs/>
          <w:sz w:val="24"/>
        </w:rPr>
        <w:t>Redbridge</w:t>
      </w:r>
      <w:proofErr w:type="spellEnd"/>
      <w:r>
        <w:rPr>
          <w:rFonts w:ascii="Times New Roman" w:hAnsi="Times New Roman"/>
          <w:i/>
          <w:iCs/>
          <w:sz w:val="24"/>
        </w:rPr>
        <w:t xml:space="preserve"> Bedford, LLC v 240 Bedford Ave. Re</w:t>
      </w:r>
      <w:r w:rsidRPr="00FE189C">
        <w:rPr>
          <w:rFonts w:ascii="Times New Roman" w:hAnsi="Times New Roman"/>
          <w:i/>
          <w:iCs/>
          <w:sz w:val="24"/>
        </w:rPr>
        <w:t>alty Holding Corp.</w:t>
      </w:r>
      <w:r w:rsidR="00FE189C" w:rsidRPr="00FE189C">
        <w:rPr>
          <w:rFonts w:ascii="Times New Roman" w:hAnsi="Times New Roman"/>
          <w:sz w:val="24"/>
        </w:rPr>
        <w:t xml:space="preserve">, 2021 NY Slip Op 21065 (2d, 11th &amp; 13th Jud </w:t>
      </w:r>
      <w:proofErr w:type="spellStart"/>
      <w:r w:rsidR="00FE189C" w:rsidRPr="00FE189C">
        <w:rPr>
          <w:rFonts w:ascii="Times New Roman" w:hAnsi="Times New Roman"/>
          <w:sz w:val="24"/>
        </w:rPr>
        <w:t>Dists</w:t>
      </w:r>
      <w:proofErr w:type="spellEnd"/>
      <w:r w:rsidR="00FE189C" w:rsidRPr="00FE189C">
        <w:rPr>
          <w:rFonts w:ascii="Times New Roman" w:hAnsi="Times New Roman"/>
          <w:sz w:val="24"/>
        </w:rPr>
        <w:t>, March 19, 2021) (“</w:t>
      </w:r>
      <w:r w:rsidR="00FE189C" w:rsidRPr="00FE189C">
        <w:rPr>
          <w:rFonts w:ascii="Times New Roman" w:hAnsi="Times New Roman" w:cs="Arial"/>
          <w:color w:val="212121"/>
          <w:sz w:val="24"/>
          <w:szCs w:val="21"/>
        </w:rPr>
        <w:t>We rely on the legislature's expression of the public policy of New York, as explicitly set forth in</w:t>
      </w:r>
      <w:r w:rsidR="00B11C62">
        <w:rPr>
          <w:rFonts w:ascii="Times New Roman" w:hAnsi="Times New Roman" w:cs="Arial"/>
          <w:color w:val="212121"/>
          <w:sz w:val="24"/>
          <w:szCs w:val="21"/>
        </w:rPr>
        <w:t xml:space="preserve"> </w:t>
      </w:r>
      <w:r w:rsidR="00FE189C">
        <w:rPr>
          <w:rFonts w:ascii="Times New Roman" w:hAnsi="Times New Roman" w:cs="Arial"/>
          <w:color w:val="212121"/>
          <w:sz w:val="24"/>
          <w:szCs w:val="21"/>
        </w:rPr>
        <w:t xml:space="preserve">Real Property Law </w:t>
      </w:r>
      <w:r w:rsidR="00FE189C">
        <w:rPr>
          <w:rFonts w:ascii="Times New Roman" w:hAnsi="Times New Roman"/>
          <w:sz w:val="24"/>
        </w:rPr>
        <w:t>§ 235-h</w:t>
      </w:r>
      <w:r w:rsidR="00FE189C">
        <w:rPr>
          <w:rFonts w:ascii="Times New Roman" w:hAnsi="Times New Roman" w:cs="Arial"/>
          <w:color w:val="212121"/>
          <w:sz w:val="24"/>
          <w:szCs w:val="21"/>
        </w:rPr>
        <w:t xml:space="preserve"> </w:t>
      </w:r>
      <w:r w:rsidR="00FE189C" w:rsidRPr="00FE189C">
        <w:rPr>
          <w:rFonts w:ascii="Times New Roman" w:hAnsi="Times New Roman" w:cs="Arial"/>
          <w:color w:val="212121"/>
          <w:sz w:val="24"/>
          <w:szCs w:val="21"/>
        </w:rPr>
        <w:t>and reflected in the legislative history thereof, and hold that the clause permitting the termination of the lease based upon tenant's commencement of a declaratory judgment action is unenforceable as against public policy”).</w:t>
      </w:r>
    </w:p>
    <w:p w14:paraId="4A699F09" w14:textId="1CAAC845" w:rsidR="007B4AB1" w:rsidRPr="007B4AB1" w:rsidRDefault="007B4AB1" w:rsidP="007B4AB1">
      <w:pPr>
        <w:pStyle w:val="ListParagraph"/>
        <w:ind w:left="7920"/>
        <w:rPr>
          <w:rFonts w:ascii="Times New Roman" w:hAnsi="Times New Roman"/>
          <w:sz w:val="24"/>
        </w:rPr>
      </w:pPr>
      <w:r w:rsidRPr="00F12E45">
        <w:rPr>
          <w:rFonts w:ascii="Times New Roman" w:hAnsi="Times New Roman"/>
          <w:b/>
          <w:bCs/>
          <w:sz w:val="24"/>
        </w:rPr>
        <w:t xml:space="preserve">(Exhibit </w:t>
      </w:r>
      <w:r>
        <w:rPr>
          <w:rFonts w:ascii="Times New Roman" w:hAnsi="Times New Roman"/>
          <w:b/>
          <w:bCs/>
          <w:sz w:val="24"/>
        </w:rPr>
        <w:t>9</w:t>
      </w:r>
      <w:r w:rsidRPr="00F12E45">
        <w:rPr>
          <w:rFonts w:ascii="Times New Roman" w:hAnsi="Times New Roman"/>
          <w:b/>
          <w:bCs/>
          <w:sz w:val="24"/>
        </w:rPr>
        <w:t>)</w:t>
      </w:r>
    </w:p>
    <w:p w14:paraId="32E251FE" w14:textId="60F46D52" w:rsidR="0073038F" w:rsidRDefault="0073038F" w:rsidP="0073038F">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 xml:space="preserve">CPLR 3211(e) – Motion to dismiss based on a lack of personal </w:t>
      </w:r>
      <w:proofErr w:type="gramStart"/>
      <w:r>
        <w:rPr>
          <w:rFonts w:ascii="Times New Roman" w:hAnsi="Times New Roman"/>
          <w:sz w:val="24"/>
        </w:rPr>
        <w:t>jurisdiction</w:t>
      </w:r>
      <w:proofErr w:type="gramEnd"/>
    </w:p>
    <w:p w14:paraId="7FFB08BF" w14:textId="74AE39BB" w:rsidR="0073038F" w:rsidRPr="0073038F" w:rsidRDefault="0073038F" w:rsidP="0073038F">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t>Proposal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E6D29">
        <w:rPr>
          <w:rFonts w:ascii="Times New Roman" w:hAnsi="Times New Roman"/>
          <w:b/>
          <w:bCs/>
          <w:sz w:val="24"/>
        </w:rPr>
        <w:t xml:space="preserve">(Exhibit </w:t>
      </w:r>
      <w:r w:rsidR="007E6D29" w:rsidRPr="007E6D29">
        <w:rPr>
          <w:rFonts w:ascii="Times New Roman" w:hAnsi="Times New Roman"/>
          <w:b/>
          <w:bCs/>
          <w:sz w:val="24"/>
        </w:rPr>
        <w:t>10</w:t>
      </w:r>
      <w:r w:rsidRPr="007E6D29">
        <w:rPr>
          <w:rFonts w:ascii="Times New Roman" w:hAnsi="Times New Roman"/>
          <w:b/>
          <w:bCs/>
          <w:sz w:val="24"/>
        </w:rPr>
        <w:t>)</w:t>
      </w:r>
      <w:r w:rsidRPr="0073038F">
        <w:rPr>
          <w:rFonts w:ascii="Times New Roman" w:hAnsi="Times New Roman"/>
          <w:sz w:val="24"/>
        </w:rPr>
        <w:tab/>
      </w:r>
    </w:p>
    <w:p w14:paraId="23D2F2EB" w14:textId="5AE9A1F5" w:rsidR="00FE189C" w:rsidRDefault="0073038F" w:rsidP="0073038F">
      <w:pPr>
        <w:pStyle w:val="ListParagraph"/>
        <w:numPr>
          <w:ilvl w:val="2"/>
          <w:numId w:val="15"/>
        </w:numPr>
        <w:spacing w:after="160" w:line="259" w:lineRule="auto"/>
        <w:contextualSpacing/>
        <w:rPr>
          <w:rFonts w:ascii="Times New Roman" w:hAnsi="Times New Roman"/>
          <w:sz w:val="24"/>
        </w:rPr>
      </w:pPr>
      <w:r>
        <w:rPr>
          <w:rFonts w:ascii="Times New Roman" w:hAnsi="Times New Roman"/>
          <w:sz w:val="24"/>
        </w:rPr>
        <w:t>Supporting materials</w:t>
      </w:r>
    </w:p>
    <w:p w14:paraId="43BE6214" w14:textId="59FA0F96" w:rsidR="00FE189C" w:rsidRPr="00FE189C" w:rsidRDefault="00AF6382" w:rsidP="00FE189C">
      <w:pPr>
        <w:pStyle w:val="ListParagraph"/>
        <w:numPr>
          <w:ilvl w:val="3"/>
          <w:numId w:val="15"/>
        </w:numPr>
        <w:spacing w:after="160" w:line="259" w:lineRule="auto"/>
        <w:contextualSpacing/>
        <w:rPr>
          <w:rFonts w:ascii="Times New Roman" w:hAnsi="Times New Roman"/>
          <w:sz w:val="24"/>
        </w:rPr>
      </w:pPr>
      <w:r>
        <w:rPr>
          <w:rFonts w:ascii="Times New Roman" w:hAnsi="Times New Roman"/>
          <w:sz w:val="24"/>
        </w:rPr>
        <w:t>Report to the 1965 Legislature in Relations to the Civil Practice Law and Rules and Proposed Amendment Adopted Pursuant to Section 229 of the Judiciary Law</w:t>
      </w:r>
      <w:r>
        <w:rPr>
          <w:rFonts w:ascii="Times New Roman" w:hAnsi="Times New Roman"/>
          <w:sz w:val="24"/>
        </w:rPr>
        <w:tab/>
      </w:r>
      <w:r>
        <w:rPr>
          <w:rFonts w:ascii="Times New Roman" w:hAnsi="Times New Roman"/>
          <w:sz w:val="24"/>
        </w:rPr>
        <w:tab/>
      </w:r>
      <w:r>
        <w:rPr>
          <w:rFonts w:ascii="Times New Roman" w:hAnsi="Times New Roman"/>
          <w:sz w:val="24"/>
        </w:rPr>
        <w:tab/>
      </w:r>
      <w:r w:rsidRPr="007E6D29">
        <w:rPr>
          <w:rFonts w:ascii="Times New Roman" w:hAnsi="Times New Roman"/>
          <w:b/>
          <w:bCs/>
          <w:sz w:val="24"/>
        </w:rPr>
        <w:t>(</w:t>
      </w:r>
      <w:r w:rsidRPr="00FE189C">
        <w:rPr>
          <w:rFonts w:ascii="Times New Roman" w:hAnsi="Times New Roman"/>
          <w:b/>
          <w:bCs/>
          <w:sz w:val="24"/>
        </w:rPr>
        <w:t>Exhibit</w:t>
      </w:r>
      <w:r w:rsidR="007E6D29">
        <w:rPr>
          <w:rFonts w:ascii="Times New Roman" w:hAnsi="Times New Roman"/>
          <w:b/>
          <w:bCs/>
          <w:sz w:val="24"/>
        </w:rPr>
        <w:t xml:space="preserve"> 11)</w:t>
      </w:r>
      <w:r w:rsidRPr="00FE189C">
        <w:rPr>
          <w:rFonts w:ascii="Times New Roman" w:hAnsi="Times New Roman"/>
          <w:sz w:val="24"/>
        </w:rPr>
        <w:tab/>
      </w:r>
    </w:p>
    <w:p w14:paraId="4697459E" w14:textId="20C54AC5" w:rsidR="00FE189C" w:rsidRDefault="00FE189C" w:rsidP="00FE189C">
      <w:pPr>
        <w:pStyle w:val="ListParagraph"/>
        <w:numPr>
          <w:ilvl w:val="3"/>
          <w:numId w:val="15"/>
        </w:numPr>
        <w:spacing w:after="160" w:line="259" w:lineRule="auto"/>
        <w:contextualSpacing/>
        <w:rPr>
          <w:rFonts w:ascii="Times New Roman" w:hAnsi="Times New Roman"/>
          <w:sz w:val="24"/>
        </w:rPr>
      </w:pPr>
      <w:r w:rsidRPr="00FE189C">
        <w:rPr>
          <w:rFonts w:ascii="Times" w:hAnsi="Times" w:cs="Arial"/>
          <w:color w:val="212121"/>
          <w:sz w:val="24"/>
          <w:szCs w:val="21"/>
        </w:rPr>
        <w:t>N.J. Court Rule 4:6-3</w:t>
      </w:r>
      <w:r w:rsidRPr="00FE189C">
        <w:rPr>
          <w:rFonts w:ascii="Times New Roman" w:hAnsi="Times New Roman"/>
          <w:sz w:val="24"/>
        </w:rPr>
        <w:tab/>
      </w:r>
      <w:r w:rsidR="0073038F" w:rsidRPr="00FE189C">
        <w:rPr>
          <w:rFonts w:ascii="Times New Roman" w:hAnsi="Times New Roman"/>
          <w:sz w:val="24"/>
        </w:rPr>
        <w:tab/>
      </w:r>
      <w:r w:rsidR="0073038F" w:rsidRPr="00FE189C">
        <w:rPr>
          <w:rFonts w:ascii="Times New Roman" w:hAnsi="Times New Roman"/>
          <w:sz w:val="24"/>
        </w:rPr>
        <w:tab/>
      </w:r>
      <w:r w:rsidR="0073038F" w:rsidRPr="00FE189C">
        <w:rPr>
          <w:rFonts w:ascii="Times New Roman" w:hAnsi="Times New Roman"/>
          <w:sz w:val="24"/>
        </w:rPr>
        <w:tab/>
      </w:r>
      <w:r w:rsidR="0073038F" w:rsidRPr="00FE189C">
        <w:rPr>
          <w:rFonts w:ascii="Times New Roman" w:hAnsi="Times New Roman"/>
          <w:sz w:val="24"/>
        </w:rPr>
        <w:tab/>
      </w:r>
      <w:r w:rsidR="0073038F" w:rsidRPr="007E6D29">
        <w:rPr>
          <w:rFonts w:ascii="Times New Roman" w:hAnsi="Times New Roman"/>
          <w:b/>
          <w:bCs/>
          <w:sz w:val="24"/>
        </w:rPr>
        <w:t>(</w:t>
      </w:r>
      <w:r w:rsidR="0073038F" w:rsidRPr="00FE189C">
        <w:rPr>
          <w:rFonts w:ascii="Times New Roman" w:hAnsi="Times New Roman"/>
          <w:b/>
          <w:bCs/>
          <w:sz w:val="24"/>
        </w:rPr>
        <w:t>Exhibit</w:t>
      </w:r>
      <w:r w:rsidR="0073038F" w:rsidRPr="00FE189C">
        <w:rPr>
          <w:rFonts w:ascii="Times New Roman" w:hAnsi="Times New Roman"/>
          <w:sz w:val="24"/>
        </w:rPr>
        <w:t xml:space="preserve"> </w:t>
      </w:r>
      <w:r w:rsidR="007E6D29" w:rsidRPr="007E6D29">
        <w:rPr>
          <w:rFonts w:ascii="Times New Roman" w:hAnsi="Times New Roman"/>
          <w:b/>
          <w:bCs/>
          <w:sz w:val="24"/>
        </w:rPr>
        <w:t>12</w:t>
      </w:r>
      <w:r w:rsidR="0073038F" w:rsidRPr="007E6D29">
        <w:rPr>
          <w:rFonts w:ascii="Times New Roman" w:hAnsi="Times New Roman"/>
          <w:b/>
          <w:bCs/>
          <w:sz w:val="24"/>
        </w:rPr>
        <w:t>)</w:t>
      </w:r>
      <w:r w:rsidR="0073038F" w:rsidRPr="00FE189C">
        <w:rPr>
          <w:rFonts w:ascii="Times New Roman" w:hAnsi="Times New Roman"/>
          <w:sz w:val="24"/>
        </w:rPr>
        <w:tab/>
      </w:r>
    </w:p>
    <w:p w14:paraId="32548B41" w14:textId="6FFB230B" w:rsidR="00FE189C" w:rsidRPr="00FE189C" w:rsidRDefault="00FE189C" w:rsidP="00824BAF">
      <w:pPr>
        <w:pStyle w:val="ListParagraph"/>
        <w:numPr>
          <w:ilvl w:val="3"/>
          <w:numId w:val="15"/>
        </w:numPr>
        <w:spacing w:after="160" w:line="259" w:lineRule="auto"/>
        <w:contextualSpacing/>
        <w:rPr>
          <w:rFonts w:ascii="Times New Roman" w:hAnsi="Times New Roman"/>
          <w:sz w:val="24"/>
        </w:rPr>
      </w:pPr>
      <w:r w:rsidRPr="00FE189C">
        <w:rPr>
          <w:rFonts w:ascii="Times" w:hAnsi="Times" w:cs="Arial"/>
          <w:color w:val="212121"/>
          <w:sz w:val="24"/>
          <w:szCs w:val="21"/>
        </w:rPr>
        <w:t xml:space="preserve">Connecticut Rules for the Superior Court </w:t>
      </w:r>
      <w:r w:rsidRPr="00FE189C">
        <w:rPr>
          <w:rFonts w:ascii="Times" w:hAnsi="Times" w:cs="Times"/>
          <w:color w:val="212121"/>
          <w:sz w:val="24"/>
          <w:szCs w:val="21"/>
        </w:rPr>
        <w:t>§</w:t>
      </w:r>
      <w:r w:rsidRPr="00FE189C">
        <w:rPr>
          <w:rFonts w:ascii="Times" w:hAnsi="Times" w:cs="Arial"/>
          <w:color w:val="212121"/>
          <w:sz w:val="24"/>
          <w:szCs w:val="21"/>
        </w:rPr>
        <w:t xml:space="preserve"> 10-30</w:t>
      </w:r>
      <w:r w:rsidRPr="00FE189C">
        <w:rPr>
          <w:rFonts w:ascii="Times New Roman" w:hAnsi="Times New Roman"/>
          <w:sz w:val="24"/>
        </w:rPr>
        <w:tab/>
      </w:r>
      <w:r w:rsidRPr="00F15AB9">
        <w:rPr>
          <w:rFonts w:ascii="Times New Roman" w:hAnsi="Times New Roman"/>
          <w:b/>
          <w:bCs/>
          <w:sz w:val="24"/>
        </w:rPr>
        <w:t>(</w:t>
      </w:r>
      <w:r w:rsidRPr="00FE189C">
        <w:rPr>
          <w:rFonts w:ascii="Times New Roman" w:hAnsi="Times New Roman"/>
          <w:b/>
          <w:bCs/>
          <w:sz w:val="24"/>
        </w:rPr>
        <w:t>Exhibit</w:t>
      </w:r>
      <w:r w:rsidRPr="00FE189C">
        <w:rPr>
          <w:rFonts w:ascii="Times New Roman" w:hAnsi="Times New Roman"/>
          <w:sz w:val="24"/>
        </w:rPr>
        <w:t xml:space="preserve"> </w:t>
      </w:r>
      <w:r w:rsidR="00F15AB9" w:rsidRPr="00F15AB9">
        <w:rPr>
          <w:rFonts w:ascii="Times New Roman" w:hAnsi="Times New Roman"/>
          <w:b/>
          <w:bCs/>
          <w:sz w:val="24"/>
        </w:rPr>
        <w:t>13</w:t>
      </w:r>
      <w:r w:rsidRPr="00F15AB9">
        <w:rPr>
          <w:rFonts w:ascii="Times New Roman" w:hAnsi="Times New Roman"/>
          <w:b/>
          <w:bCs/>
          <w:sz w:val="24"/>
        </w:rPr>
        <w:t>)</w:t>
      </w:r>
      <w:r w:rsidRPr="00FE189C">
        <w:rPr>
          <w:rFonts w:ascii="Times New Roman" w:hAnsi="Times New Roman"/>
          <w:sz w:val="24"/>
        </w:rPr>
        <w:tab/>
      </w:r>
    </w:p>
    <w:p w14:paraId="64808AAA" w14:textId="77777777" w:rsidR="00FE189C" w:rsidRPr="00063C94" w:rsidRDefault="00FE189C" w:rsidP="00AF6382">
      <w:pPr>
        <w:pStyle w:val="ListParagraph"/>
        <w:spacing w:after="160" w:line="259" w:lineRule="auto"/>
        <w:ind w:left="2880"/>
        <w:contextualSpacing/>
        <w:rPr>
          <w:rFonts w:ascii="Times New Roman" w:hAnsi="Times New Roman"/>
          <w:sz w:val="20"/>
          <w:szCs w:val="20"/>
        </w:rPr>
      </w:pPr>
    </w:p>
    <w:p w14:paraId="6999B083" w14:textId="0A57F5C1" w:rsidR="004030BF" w:rsidRDefault="000D7826" w:rsidP="000D7826">
      <w:pPr>
        <w:pStyle w:val="ListParagraph"/>
        <w:numPr>
          <w:ilvl w:val="0"/>
          <w:numId w:val="15"/>
        </w:numPr>
        <w:spacing w:after="160" w:line="259" w:lineRule="auto"/>
        <w:contextualSpacing/>
        <w:rPr>
          <w:rFonts w:ascii="Times New Roman" w:hAnsi="Times New Roman"/>
          <w:sz w:val="24"/>
          <w:u w:val="single"/>
        </w:rPr>
      </w:pPr>
      <w:r w:rsidRPr="000D7826">
        <w:rPr>
          <w:rFonts w:ascii="Times New Roman" w:hAnsi="Times New Roman"/>
          <w:sz w:val="24"/>
          <w:u w:val="single"/>
        </w:rPr>
        <w:t>Discussion</w:t>
      </w:r>
      <w:r w:rsidR="007E145F">
        <w:rPr>
          <w:rFonts w:ascii="Times New Roman" w:hAnsi="Times New Roman"/>
          <w:sz w:val="24"/>
          <w:u w:val="single"/>
        </w:rPr>
        <w:t>s for possible proposals</w:t>
      </w:r>
      <w:r w:rsidRPr="000D7826">
        <w:rPr>
          <w:rFonts w:ascii="Times New Roman" w:hAnsi="Times New Roman"/>
          <w:sz w:val="24"/>
          <w:u w:val="single"/>
        </w:rPr>
        <w:t xml:space="preserve"> </w:t>
      </w:r>
    </w:p>
    <w:p w14:paraId="6B7BA1EF" w14:textId="77777777" w:rsidR="00692F21" w:rsidRDefault="00692F21" w:rsidP="00692F21">
      <w:pPr>
        <w:pStyle w:val="ListParagraph"/>
        <w:spacing w:after="160" w:line="259" w:lineRule="auto"/>
        <w:contextualSpacing/>
        <w:rPr>
          <w:rFonts w:ascii="Times New Roman" w:hAnsi="Times New Roman"/>
          <w:sz w:val="24"/>
          <w:u w:val="single"/>
        </w:rPr>
      </w:pPr>
    </w:p>
    <w:p w14:paraId="67BC556B" w14:textId="017D6663" w:rsidR="00162EE7" w:rsidRDefault="000B0951" w:rsidP="00162EE7">
      <w:pPr>
        <w:pStyle w:val="ListParagraph"/>
        <w:numPr>
          <w:ilvl w:val="1"/>
          <w:numId w:val="15"/>
        </w:numPr>
        <w:spacing w:before="240" w:after="160" w:line="259" w:lineRule="auto"/>
        <w:contextualSpacing/>
        <w:rPr>
          <w:rFonts w:ascii="Times New Roman" w:hAnsi="Times New Roman"/>
          <w:sz w:val="24"/>
        </w:rPr>
      </w:pPr>
      <w:r>
        <w:rPr>
          <w:rFonts w:ascii="Times New Roman" w:hAnsi="Times New Roman"/>
          <w:sz w:val="24"/>
        </w:rPr>
        <w:t xml:space="preserve">Should </w:t>
      </w:r>
      <w:r w:rsidR="008736C5" w:rsidRPr="002F7B5D">
        <w:rPr>
          <w:rFonts w:ascii="Times New Roman" w:hAnsi="Times New Roman"/>
          <w:sz w:val="24"/>
        </w:rPr>
        <w:t>an individual employee of a municipality be identified in a Notice of Claim served under General Municipal Law § 50-e</w:t>
      </w:r>
      <w:r>
        <w:rPr>
          <w:rFonts w:ascii="Times New Roman" w:hAnsi="Times New Roman"/>
          <w:sz w:val="24"/>
        </w:rPr>
        <w:t>?</w:t>
      </w:r>
    </w:p>
    <w:p w14:paraId="61325E83" w14:textId="77777777" w:rsidR="00162EE7" w:rsidRPr="00162EE7" w:rsidRDefault="00162EE7" w:rsidP="00162EE7">
      <w:pPr>
        <w:pStyle w:val="ListParagraph"/>
        <w:spacing w:after="0"/>
        <w:rPr>
          <w:rFonts w:ascii="Times New Roman" w:hAnsi="Times New Roman"/>
          <w:sz w:val="24"/>
        </w:rPr>
      </w:pPr>
    </w:p>
    <w:p w14:paraId="1AB2D8DB" w14:textId="3F6D83F4" w:rsidR="009D3A93" w:rsidRDefault="008736C5" w:rsidP="000B0951">
      <w:pPr>
        <w:pStyle w:val="ListParagraph"/>
        <w:spacing w:before="240" w:after="160" w:line="259" w:lineRule="auto"/>
        <w:ind w:left="1440"/>
        <w:contextualSpacing/>
        <w:rPr>
          <w:rFonts w:ascii="Times New Roman" w:hAnsi="Times New Roman"/>
          <w:sz w:val="24"/>
        </w:rPr>
      </w:pPr>
      <w:r w:rsidRPr="002F7B5D">
        <w:rPr>
          <w:rFonts w:ascii="Times New Roman" w:hAnsi="Times New Roman"/>
          <w:sz w:val="24"/>
        </w:rPr>
        <w:t>First Department found that an individual employee must be identified in a Notice of Claim and if he or she is not identified therein, a lawsuit against that employee should be dismissed (</w:t>
      </w:r>
      <w:r w:rsidRPr="002F7B5D">
        <w:rPr>
          <w:rFonts w:ascii="Times New Roman" w:hAnsi="Times New Roman"/>
          <w:i/>
          <w:iCs/>
          <w:sz w:val="24"/>
        </w:rPr>
        <w:t xml:space="preserve">see Alvarez v City of New </w:t>
      </w:r>
      <w:r w:rsidRPr="002F7B5D">
        <w:rPr>
          <w:rFonts w:ascii="Times New Roman" w:hAnsi="Times New Roman"/>
          <w:sz w:val="24"/>
        </w:rPr>
        <w:t xml:space="preserve">York, 134 AD3d 599, 606 [1st Dept 2015]; </w:t>
      </w:r>
      <w:r w:rsidRPr="002F7B5D">
        <w:rPr>
          <w:rFonts w:ascii="Times New Roman" w:hAnsi="Times New Roman"/>
          <w:i/>
          <w:iCs/>
          <w:sz w:val="24"/>
        </w:rPr>
        <w:t xml:space="preserve">Cleghorne v City of New </w:t>
      </w:r>
      <w:r w:rsidRPr="002F7B5D">
        <w:rPr>
          <w:rFonts w:ascii="Times New Roman" w:hAnsi="Times New Roman"/>
          <w:sz w:val="24"/>
        </w:rPr>
        <w:t xml:space="preserve">York, 99 AD3d 443, 446 [1st Dept 2012]; </w:t>
      </w:r>
      <w:r w:rsidRPr="002F7B5D">
        <w:rPr>
          <w:rFonts w:ascii="Times New Roman" w:hAnsi="Times New Roman"/>
          <w:i/>
          <w:iCs/>
          <w:sz w:val="24"/>
        </w:rPr>
        <w:t>Tenenbaum v City of New York</w:t>
      </w:r>
      <w:r w:rsidRPr="002F7B5D">
        <w:rPr>
          <w:rFonts w:ascii="Times New Roman" w:hAnsi="Times New Roman"/>
          <w:sz w:val="24"/>
        </w:rPr>
        <w:t>, 30 AD3d 357, 358 [1st Dept 2006]</w:t>
      </w:r>
      <w:r w:rsidR="0054479D">
        <w:rPr>
          <w:rFonts w:ascii="Times New Roman" w:hAnsi="Times New Roman"/>
          <w:sz w:val="24"/>
        </w:rPr>
        <w:t xml:space="preserve">, </w:t>
      </w:r>
      <w:r w:rsidR="0054479D">
        <w:rPr>
          <w:rFonts w:ascii="Times New Roman" w:hAnsi="Times New Roman"/>
          <w:i/>
          <w:iCs/>
          <w:sz w:val="24"/>
        </w:rPr>
        <w:t>abrogated on other ground</w:t>
      </w:r>
      <w:r w:rsidR="009F2E1C">
        <w:rPr>
          <w:rFonts w:ascii="Times New Roman" w:hAnsi="Times New Roman"/>
          <w:i/>
          <w:iCs/>
          <w:sz w:val="24"/>
        </w:rPr>
        <w:t>s</w:t>
      </w:r>
      <w:r w:rsidR="0054479D">
        <w:rPr>
          <w:rFonts w:ascii="Times New Roman" w:hAnsi="Times New Roman"/>
          <w:i/>
          <w:iCs/>
          <w:sz w:val="24"/>
        </w:rPr>
        <w:t xml:space="preserve"> by </w:t>
      </w:r>
      <w:proofErr w:type="spellStart"/>
      <w:r w:rsidR="0054479D">
        <w:rPr>
          <w:rFonts w:ascii="Times New Roman" w:hAnsi="Times New Roman"/>
          <w:i/>
          <w:iCs/>
          <w:sz w:val="24"/>
        </w:rPr>
        <w:t>Kapon</w:t>
      </w:r>
      <w:proofErr w:type="spellEnd"/>
      <w:r w:rsidR="0054479D">
        <w:rPr>
          <w:rFonts w:ascii="Times New Roman" w:hAnsi="Times New Roman"/>
          <w:i/>
          <w:iCs/>
          <w:sz w:val="24"/>
        </w:rPr>
        <w:t xml:space="preserve"> v Koch</w:t>
      </w:r>
      <w:r w:rsidR="0054479D">
        <w:rPr>
          <w:rFonts w:ascii="Times New Roman" w:hAnsi="Times New Roman"/>
          <w:sz w:val="24"/>
        </w:rPr>
        <w:t>, 23 NY3d 32 [2014]</w:t>
      </w:r>
      <w:r w:rsidRPr="002F7B5D">
        <w:rPr>
          <w:rFonts w:ascii="Times New Roman" w:hAnsi="Times New Roman"/>
          <w:sz w:val="24"/>
        </w:rPr>
        <w:t>). Note that municipalities are not required to indemnify employees</w:t>
      </w:r>
      <w:r>
        <w:rPr>
          <w:rFonts w:ascii="Times New Roman" w:hAnsi="Times New Roman"/>
          <w:sz w:val="24"/>
        </w:rPr>
        <w:t xml:space="preserve"> for their </w:t>
      </w:r>
      <w:r w:rsidRPr="002F7B5D">
        <w:rPr>
          <w:rFonts w:ascii="Times New Roman" w:hAnsi="Times New Roman"/>
          <w:sz w:val="24"/>
        </w:rPr>
        <w:t xml:space="preserve">intentional acts. By contrast, the other three </w:t>
      </w:r>
      <w:r w:rsidR="00162EE7">
        <w:rPr>
          <w:rFonts w:ascii="Times New Roman" w:hAnsi="Times New Roman"/>
          <w:sz w:val="24"/>
        </w:rPr>
        <w:t xml:space="preserve">judicial </w:t>
      </w:r>
      <w:r w:rsidRPr="002F7B5D">
        <w:rPr>
          <w:rFonts w:ascii="Times New Roman" w:hAnsi="Times New Roman"/>
          <w:sz w:val="24"/>
        </w:rPr>
        <w:t>departments have held that there is no such requirement as long as the Notice of Claim enables the municipal authority to locate the place, fix the time, and understand the nature of the occurrence (</w:t>
      </w:r>
      <w:r w:rsidRPr="002F7B5D">
        <w:rPr>
          <w:rFonts w:ascii="Times New Roman" w:hAnsi="Times New Roman"/>
          <w:i/>
          <w:iCs/>
          <w:sz w:val="24"/>
        </w:rPr>
        <w:t>see Goodwin v Pretorius</w:t>
      </w:r>
      <w:r w:rsidRPr="002F7B5D">
        <w:rPr>
          <w:rFonts w:ascii="Times New Roman" w:hAnsi="Times New Roman"/>
          <w:sz w:val="24"/>
        </w:rPr>
        <w:t xml:space="preserve">, 105 AD3d 207, 216 [4th Dept 2013]; </w:t>
      </w:r>
      <w:r w:rsidRPr="002F7B5D">
        <w:rPr>
          <w:rFonts w:ascii="Times New Roman" w:hAnsi="Times New Roman"/>
          <w:i/>
          <w:iCs/>
          <w:sz w:val="24"/>
        </w:rPr>
        <w:t>Pierce v Hickey</w:t>
      </w:r>
      <w:r w:rsidRPr="002F7B5D">
        <w:rPr>
          <w:rFonts w:ascii="Times New Roman" w:hAnsi="Times New Roman"/>
          <w:sz w:val="24"/>
        </w:rPr>
        <w:t xml:space="preserve">, 129 AD3d 1287, 1289 [3d Dept 2015]; </w:t>
      </w:r>
      <w:r w:rsidRPr="002F7B5D">
        <w:rPr>
          <w:rFonts w:ascii="Times New Roman" w:hAnsi="Times New Roman"/>
          <w:i/>
          <w:iCs/>
          <w:sz w:val="24"/>
        </w:rPr>
        <w:t>Blake v City of New York</w:t>
      </w:r>
      <w:r w:rsidRPr="002F7B5D">
        <w:rPr>
          <w:rFonts w:ascii="Times New Roman" w:hAnsi="Times New Roman"/>
          <w:sz w:val="24"/>
        </w:rPr>
        <w:t xml:space="preserve">, 148 AD3d 1101, 1106 [2d Dept 2017]; </w:t>
      </w:r>
      <w:r w:rsidRPr="002F7B5D">
        <w:rPr>
          <w:rFonts w:ascii="Times New Roman" w:hAnsi="Times New Roman"/>
          <w:i/>
          <w:iCs/>
          <w:sz w:val="24"/>
        </w:rPr>
        <w:t>Williams v City of New York</w:t>
      </w:r>
      <w:r w:rsidRPr="002F7B5D">
        <w:rPr>
          <w:rFonts w:ascii="Times New Roman" w:hAnsi="Times New Roman"/>
          <w:sz w:val="24"/>
        </w:rPr>
        <w:t xml:space="preserve">, 153 AD3d 1301, 1304-1305 [2d Dept 2017]).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0B0951">
        <w:rPr>
          <w:rFonts w:ascii="Times New Roman" w:hAnsi="Times New Roman"/>
          <w:sz w:val="24"/>
        </w:rPr>
        <w:tab/>
      </w:r>
      <w:r w:rsidR="000B0951">
        <w:rPr>
          <w:rFonts w:ascii="Times New Roman" w:hAnsi="Times New Roman"/>
          <w:sz w:val="24"/>
        </w:rPr>
        <w:tab/>
      </w:r>
      <w:r w:rsidR="0054479D">
        <w:rPr>
          <w:rFonts w:ascii="Times New Roman" w:hAnsi="Times New Roman"/>
          <w:sz w:val="24"/>
        </w:rPr>
        <w:tab/>
      </w:r>
      <w:r w:rsidR="0054479D">
        <w:rPr>
          <w:rFonts w:ascii="Times New Roman" w:hAnsi="Times New Roman"/>
          <w:sz w:val="24"/>
        </w:rPr>
        <w:tab/>
      </w:r>
      <w:r w:rsidR="0054479D">
        <w:rPr>
          <w:rFonts w:ascii="Times New Roman" w:hAnsi="Times New Roman"/>
          <w:sz w:val="24"/>
        </w:rPr>
        <w:tab/>
      </w:r>
      <w:r w:rsidRPr="00F15AB9">
        <w:rPr>
          <w:rFonts w:ascii="Times New Roman" w:hAnsi="Times New Roman"/>
          <w:b/>
          <w:bCs/>
          <w:sz w:val="24"/>
        </w:rPr>
        <w:t>(</w:t>
      </w:r>
      <w:r w:rsidRPr="002F7B5D">
        <w:rPr>
          <w:rFonts w:ascii="Times New Roman" w:hAnsi="Times New Roman"/>
          <w:b/>
          <w:bCs/>
          <w:sz w:val="24"/>
        </w:rPr>
        <w:t xml:space="preserve">Exhibit </w:t>
      </w:r>
      <w:r w:rsidR="00F15AB9">
        <w:rPr>
          <w:rFonts w:ascii="Times New Roman" w:hAnsi="Times New Roman"/>
          <w:b/>
          <w:bCs/>
          <w:sz w:val="24"/>
        </w:rPr>
        <w:t>14)</w:t>
      </w:r>
    </w:p>
    <w:p w14:paraId="652D68F2" w14:textId="77777777" w:rsidR="009D3A93" w:rsidRDefault="009D3A93" w:rsidP="009D3A93">
      <w:pPr>
        <w:pStyle w:val="ListParagraph"/>
        <w:spacing w:before="240" w:after="160" w:line="259" w:lineRule="auto"/>
        <w:ind w:left="1440"/>
        <w:contextualSpacing/>
        <w:rPr>
          <w:rFonts w:ascii="Times New Roman" w:hAnsi="Times New Roman"/>
          <w:sz w:val="24"/>
        </w:rPr>
      </w:pPr>
    </w:p>
    <w:p w14:paraId="61DF8438" w14:textId="3F1FF585" w:rsidR="000B0951" w:rsidRDefault="0008067E" w:rsidP="00D124DB">
      <w:pPr>
        <w:pStyle w:val="ListParagraph"/>
        <w:numPr>
          <w:ilvl w:val="1"/>
          <w:numId w:val="15"/>
        </w:numPr>
        <w:spacing w:before="240" w:after="160" w:line="259" w:lineRule="auto"/>
        <w:contextualSpacing/>
        <w:rPr>
          <w:rFonts w:ascii="Times New Roman" w:hAnsi="Times New Roman"/>
          <w:sz w:val="24"/>
        </w:rPr>
      </w:pPr>
      <w:r w:rsidRPr="00D124DB">
        <w:rPr>
          <w:rFonts w:ascii="Times New Roman" w:hAnsi="Times New Roman"/>
          <w:sz w:val="24"/>
        </w:rPr>
        <w:t xml:space="preserve">Is </w:t>
      </w:r>
      <w:r w:rsidR="000B0951">
        <w:rPr>
          <w:rFonts w:ascii="Times New Roman" w:hAnsi="Times New Roman"/>
          <w:sz w:val="24"/>
        </w:rPr>
        <w:t xml:space="preserve">an </w:t>
      </w:r>
      <w:r w:rsidRPr="00D124DB">
        <w:rPr>
          <w:rFonts w:ascii="Times New Roman" w:hAnsi="Times New Roman"/>
          <w:sz w:val="24"/>
        </w:rPr>
        <w:t>attorney work produc</w:t>
      </w:r>
      <w:r w:rsidR="00E26E7A" w:rsidRPr="00D124DB">
        <w:rPr>
          <w:rFonts w:ascii="Times New Roman" w:hAnsi="Times New Roman"/>
          <w:sz w:val="24"/>
        </w:rPr>
        <w:t>t</w:t>
      </w:r>
      <w:r w:rsidRPr="00D124DB">
        <w:rPr>
          <w:rFonts w:ascii="Times New Roman" w:hAnsi="Times New Roman"/>
          <w:sz w:val="24"/>
        </w:rPr>
        <w:t xml:space="preserve"> privilege waived </w:t>
      </w:r>
      <w:r w:rsidR="00162EE7">
        <w:rPr>
          <w:rFonts w:ascii="Times New Roman" w:hAnsi="Times New Roman"/>
          <w:sz w:val="24"/>
        </w:rPr>
        <w:t xml:space="preserve">by </w:t>
      </w:r>
      <w:r w:rsidRPr="00D124DB">
        <w:rPr>
          <w:rFonts w:ascii="Times New Roman" w:hAnsi="Times New Roman"/>
          <w:sz w:val="24"/>
        </w:rPr>
        <w:t xml:space="preserve">a deponent’s review of </w:t>
      </w:r>
      <w:r w:rsidR="00D124DB">
        <w:rPr>
          <w:rFonts w:ascii="Times New Roman" w:hAnsi="Times New Roman"/>
          <w:sz w:val="24"/>
        </w:rPr>
        <w:t>such</w:t>
      </w:r>
      <w:r w:rsidRPr="00D124DB">
        <w:rPr>
          <w:rFonts w:ascii="Times New Roman" w:hAnsi="Times New Roman"/>
          <w:sz w:val="24"/>
        </w:rPr>
        <w:t xml:space="preserve"> document prior to testimony? The issue could arise when a client</w:t>
      </w:r>
      <w:r w:rsidR="00D124DB">
        <w:rPr>
          <w:rFonts w:ascii="Times New Roman" w:hAnsi="Times New Roman"/>
          <w:sz w:val="24"/>
        </w:rPr>
        <w:t xml:space="preserve">, </w:t>
      </w:r>
      <w:r w:rsidRPr="00D124DB">
        <w:rPr>
          <w:rFonts w:ascii="Times New Roman" w:hAnsi="Times New Roman"/>
          <w:sz w:val="24"/>
        </w:rPr>
        <w:t xml:space="preserve">an expert, or any other deponent </w:t>
      </w:r>
      <w:r w:rsidR="00E26E7A" w:rsidRPr="00D124DB">
        <w:rPr>
          <w:rFonts w:ascii="Times New Roman" w:hAnsi="Times New Roman"/>
          <w:sz w:val="24"/>
        </w:rPr>
        <w:t xml:space="preserve">reviews an </w:t>
      </w:r>
      <w:r w:rsidRPr="00D124DB">
        <w:rPr>
          <w:rFonts w:ascii="Times New Roman" w:hAnsi="Times New Roman"/>
          <w:sz w:val="24"/>
        </w:rPr>
        <w:t>attorney work</w:t>
      </w:r>
      <w:r w:rsidR="00E26E7A" w:rsidRPr="00D124DB">
        <w:rPr>
          <w:rFonts w:ascii="Times New Roman" w:hAnsi="Times New Roman"/>
          <w:sz w:val="24"/>
        </w:rPr>
        <w:t xml:space="preserve"> </w:t>
      </w:r>
      <w:r w:rsidRPr="00D124DB">
        <w:rPr>
          <w:rFonts w:ascii="Times New Roman" w:hAnsi="Times New Roman"/>
          <w:sz w:val="24"/>
        </w:rPr>
        <w:t xml:space="preserve">product prior to </w:t>
      </w:r>
      <w:r w:rsidR="00D124DB">
        <w:rPr>
          <w:rFonts w:ascii="Times New Roman" w:hAnsi="Times New Roman"/>
          <w:sz w:val="24"/>
        </w:rPr>
        <w:t xml:space="preserve">deposition, </w:t>
      </w:r>
      <w:proofErr w:type="gramStart"/>
      <w:r w:rsidR="00D124DB">
        <w:rPr>
          <w:rFonts w:ascii="Times New Roman" w:hAnsi="Times New Roman"/>
          <w:sz w:val="24"/>
        </w:rPr>
        <w:t>hearing</w:t>
      </w:r>
      <w:proofErr w:type="gramEnd"/>
      <w:r w:rsidR="00D124DB">
        <w:rPr>
          <w:rFonts w:ascii="Times New Roman" w:hAnsi="Times New Roman"/>
          <w:sz w:val="24"/>
        </w:rPr>
        <w:t xml:space="preserve"> or trial </w:t>
      </w:r>
      <w:r w:rsidRPr="00D124DB">
        <w:rPr>
          <w:rFonts w:ascii="Times New Roman" w:hAnsi="Times New Roman"/>
          <w:sz w:val="24"/>
        </w:rPr>
        <w:t>testimony</w:t>
      </w:r>
      <w:r w:rsidR="00E26E7A" w:rsidRPr="00D124DB">
        <w:rPr>
          <w:rFonts w:ascii="Times New Roman" w:hAnsi="Times New Roman"/>
          <w:sz w:val="24"/>
        </w:rPr>
        <w:t>.</w:t>
      </w:r>
      <w:r w:rsidRPr="00D124DB">
        <w:rPr>
          <w:rFonts w:ascii="Times New Roman" w:hAnsi="Times New Roman"/>
          <w:sz w:val="24"/>
        </w:rPr>
        <w:t xml:space="preserve"> </w:t>
      </w:r>
      <w:r w:rsidR="000B0951">
        <w:rPr>
          <w:rFonts w:ascii="Times New Roman" w:hAnsi="Times New Roman"/>
          <w:sz w:val="24"/>
        </w:rPr>
        <w:t>CPLR 3101 (c) provides: “Attorney’s work product. The work product of an attorney shall not be obtainable.”</w:t>
      </w:r>
    </w:p>
    <w:p w14:paraId="678AB3DE" w14:textId="77777777" w:rsidR="00162EE7" w:rsidRDefault="00162EE7" w:rsidP="00162EE7">
      <w:pPr>
        <w:pStyle w:val="ListParagraph"/>
        <w:spacing w:before="240" w:after="160" w:line="259" w:lineRule="auto"/>
        <w:ind w:left="1440"/>
        <w:contextualSpacing/>
        <w:rPr>
          <w:rFonts w:ascii="Times New Roman" w:hAnsi="Times New Roman"/>
          <w:sz w:val="24"/>
        </w:rPr>
      </w:pPr>
    </w:p>
    <w:p w14:paraId="28BCC31B" w14:textId="481ACCE7" w:rsidR="000B0951" w:rsidRDefault="00D124DB" w:rsidP="000B0951">
      <w:pPr>
        <w:pStyle w:val="ListParagraph"/>
        <w:spacing w:before="240" w:after="160" w:line="259" w:lineRule="auto"/>
        <w:ind w:left="1440"/>
        <w:contextualSpacing/>
        <w:rPr>
          <w:rFonts w:ascii="Times New Roman" w:hAnsi="Times New Roman"/>
          <w:sz w:val="24"/>
        </w:rPr>
      </w:pPr>
      <w:r w:rsidRPr="00D124DB">
        <w:rPr>
          <w:rFonts w:ascii="Times New Roman" w:hAnsi="Times New Roman"/>
          <w:sz w:val="24"/>
        </w:rPr>
        <w:t xml:space="preserve">The </w:t>
      </w:r>
      <w:r w:rsidR="00A7000B" w:rsidRPr="00D124DB">
        <w:rPr>
          <w:rFonts w:ascii="Times New Roman" w:hAnsi="Times New Roman"/>
          <w:sz w:val="24"/>
        </w:rPr>
        <w:t>Second Department</w:t>
      </w:r>
      <w:r w:rsidRPr="00D124DB">
        <w:rPr>
          <w:rFonts w:ascii="Times New Roman" w:hAnsi="Times New Roman"/>
          <w:sz w:val="24"/>
        </w:rPr>
        <w:t xml:space="preserve"> held that </w:t>
      </w:r>
      <w:r w:rsidR="00A7000B" w:rsidRPr="00D124DB">
        <w:rPr>
          <w:rFonts w:ascii="Times New Roman" w:hAnsi="Times New Roman"/>
          <w:sz w:val="24"/>
        </w:rPr>
        <w:t>“[a]</w:t>
      </w:r>
      <w:proofErr w:type="spellStart"/>
      <w:r w:rsidR="00A7000B" w:rsidRPr="00D124DB">
        <w:rPr>
          <w:rFonts w:ascii="Times New Roman" w:hAnsi="Times New Roman"/>
          <w:color w:val="000000"/>
          <w:sz w:val="24"/>
          <w:szCs w:val="20"/>
        </w:rPr>
        <w:t>ny</w:t>
      </w:r>
      <w:proofErr w:type="spellEnd"/>
      <w:r w:rsidR="00A7000B" w:rsidRPr="00D124DB">
        <w:rPr>
          <w:rFonts w:ascii="Times New Roman" w:hAnsi="Times New Roman"/>
          <w:color w:val="000000"/>
          <w:sz w:val="24"/>
          <w:szCs w:val="20"/>
        </w:rPr>
        <w:t xml:space="preserve"> privilege under</w:t>
      </w:r>
      <w:r w:rsidR="0008067E" w:rsidRPr="00D124DB">
        <w:rPr>
          <w:rFonts w:ascii="Times New Roman" w:hAnsi="Times New Roman"/>
          <w:color w:val="000000"/>
          <w:sz w:val="24"/>
          <w:szCs w:val="20"/>
        </w:rPr>
        <w:t xml:space="preserve"> CPLR 3101 </w:t>
      </w:r>
      <w:r w:rsidR="00A7000B" w:rsidRPr="00D124DB">
        <w:rPr>
          <w:rFonts w:ascii="Times New Roman" w:hAnsi="Times New Roman"/>
          <w:color w:val="000000"/>
          <w:sz w:val="24"/>
          <w:szCs w:val="20"/>
        </w:rPr>
        <w:t xml:space="preserve">was waived when Vincent </w:t>
      </w:r>
      <w:proofErr w:type="spellStart"/>
      <w:r w:rsidR="00A7000B" w:rsidRPr="00D124DB">
        <w:rPr>
          <w:rFonts w:ascii="Times New Roman" w:hAnsi="Times New Roman"/>
          <w:color w:val="000000"/>
          <w:sz w:val="24"/>
          <w:szCs w:val="20"/>
        </w:rPr>
        <w:t>Grieco</w:t>
      </w:r>
      <w:proofErr w:type="spellEnd"/>
      <w:r w:rsidR="00A7000B" w:rsidRPr="00D124DB">
        <w:rPr>
          <w:rFonts w:ascii="Times New Roman" w:hAnsi="Times New Roman"/>
          <w:color w:val="000000"/>
          <w:sz w:val="24"/>
          <w:szCs w:val="20"/>
        </w:rPr>
        <w:t xml:space="preserve"> used his written statement prior to his deposition to refresh his recollection as to the events of the incident, and when the plaintiffs’ witness reread her statement prior to the trial for the same purpose” (</w:t>
      </w:r>
      <w:proofErr w:type="spellStart"/>
      <w:r w:rsidR="00A7000B" w:rsidRPr="00D124DB">
        <w:rPr>
          <w:rFonts w:ascii="Times New Roman" w:hAnsi="Times New Roman"/>
          <w:i/>
          <w:iCs/>
          <w:color w:val="000000"/>
          <w:sz w:val="24"/>
          <w:szCs w:val="20"/>
        </w:rPr>
        <w:t>Grieco</w:t>
      </w:r>
      <w:proofErr w:type="spellEnd"/>
      <w:r w:rsidR="00A7000B" w:rsidRPr="00D124DB">
        <w:rPr>
          <w:rFonts w:ascii="Times New Roman" w:hAnsi="Times New Roman"/>
          <w:i/>
          <w:iCs/>
          <w:color w:val="000000"/>
          <w:sz w:val="24"/>
          <w:szCs w:val="20"/>
        </w:rPr>
        <w:t xml:space="preserve"> v Cunningham</w:t>
      </w:r>
      <w:r w:rsidR="00A7000B" w:rsidRPr="00D124DB">
        <w:rPr>
          <w:rFonts w:ascii="Times New Roman" w:hAnsi="Times New Roman"/>
          <w:color w:val="000000"/>
          <w:sz w:val="24"/>
          <w:szCs w:val="20"/>
        </w:rPr>
        <w:t>, 128 AD2d 502, 502 [2d Dept 1987]</w:t>
      </w:r>
      <w:r w:rsidR="00E26E7A" w:rsidRPr="00D124DB">
        <w:rPr>
          <w:rFonts w:ascii="Times New Roman" w:hAnsi="Times New Roman"/>
          <w:color w:val="000000"/>
          <w:sz w:val="24"/>
          <w:szCs w:val="20"/>
        </w:rPr>
        <w:t xml:space="preserve"> [</w:t>
      </w:r>
      <w:r w:rsidR="00F4709D" w:rsidRPr="00D124DB">
        <w:rPr>
          <w:rFonts w:ascii="Times New Roman" w:hAnsi="Times New Roman"/>
          <w:color w:val="000000"/>
          <w:sz w:val="24"/>
          <w:szCs w:val="20"/>
        </w:rPr>
        <w:t>holding that attorney work produc</w:t>
      </w:r>
      <w:r w:rsidRPr="00D124DB">
        <w:rPr>
          <w:rFonts w:ascii="Times New Roman" w:hAnsi="Times New Roman"/>
          <w:color w:val="000000"/>
          <w:sz w:val="24"/>
          <w:szCs w:val="20"/>
        </w:rPr>
        <w:t>t</w:t>
      </w:r>
      <w:r w:rsidR="00F4709D" w:rsidRPr="00D124DB">
        <w:rPr>
          <w:rFonts w:ascii="Times New Roman" w:hAnsi="Times New Roman"/>
          <w:color w:val="000000"/>
          <w:sz w:val="24"/>
          <w:szCs w:val="20"/>
        </w:rPr>
        <w:t xml:space="preserve"> and attorney client relationship privilege</w:t>
      </w:r>
      <w:r w:rsidRPr="00D124DB">
        <w:rPr>
          <w:rFonts w:ascii="Times New Roman" w:hAnsi="Times New Roman"/>
          <w:color w:val="000000"/>
          <w:sz w:val="24"/>
          <w:szCs w:val="20"/>
        </w:rPr>
        <w:t>s</w:t>
      </w:r>
      <w:r w:rsidR="00F4709D" w:rsidRPr="00D124DB">
        <w:rPr>
          <w:rFonts w:ascii="Times New Roman" w:hAnsi="Times New Roman"/>
          <w:color w:val="000000"/>
          <w:sz w:val="24"/>
          <w:szCs w:val="20"/>
        </w:rPr>
        <w:t xml:space="preserve"> were waived and the written statements made by the attorney’s client and a witness </w:t>
      </w:r>
      <w:r w:rsidR="000B0951">
        <w:rPr>
          <w:rFonts w:ascii="Times New Roman" w:hAnsi="Times New Roman"/>
          <w:color w:val="000000"/>
          <w:sz w:val="24"/>
          <w:szCs w:val="20"/>
        </w:rPr>
        <w:t>must be turned over to the adversary</w:t>
      </w:r>
      <w:r w:rsidR="00F4709D" w:rsidRPr="00D124DB">
        <w:rPr>
          <w:rFonts w:ascii="Times New Roman" w:hAnsi="Times New Roman"/>
          <w:color w:val="000000"/>
          <w:sz w:val="24"/>
          <w:szCs w:val="20"/>
        </w:rPr>
        <w:t>]</w:t>
      </w:r>
      <w:r w:rsidR="00A7000B" w:rsidRPr="00D124DB">
        <w:rPr>
          <w:rFonts w:ascii="Times New Roman" w:hAnsi="Times New Roman"/>
          <w:color w:val="000000"/>
          <w:sz w:val="24"/>
          <w:szCs w:val="20"/>
        </w:rPr>
        <w:t xml:space="preserve">). </w:t>
      </w:r>
      <w:r>
        <w:rPr>
          <w:rFonts w:ascii="Times New Roman" w:hAnsi="Times New Roman"/>
          <w:sz w:val="24"/>
        </w:rPr>
        <w:t xml:space="preserve">The </w:t>
      </w:r>
      <w:r w:rsidRPr="00A7000B">
        <w:rPr>
          <w:rFonts w:ascii="Times New Roman" w:hAnsi="Times New Roman"/>
          <w:sz w:val="24"/>
        </w:rPr>
        <w:t>First Department</w:t>
      </w:r>
      <w:r>
        <w:rPr>
          <w:rFonts w:ascii="Times New Roman" w:hAnsi="Times New Roman"/>
          <w:sz w:val="24"/>
        </w:rPr>
        <w:t>, essentially follow</w:t>
      </w:r>
      <w:r w:rsidR="009C3C92">
        <w:rPr>
          <w:rFonts w:ascii="Times New Roman" w:hAnsi="Times New Roman"/>
          <w:sz w:val="24"/>
        </w:rPr>
        <w:t>ed</w:t>
      </w:r>
      <w:r>
        <w:rPr>
          <w:rFonts w:ascii="Times New Roman" w:hAnsi="Times New Roman"/>
          <w:sz w:val="24"/>
        </w:rPr>
        <w:t xml:space="preserve"> the Second Department in </w:t>
      </w:r>
      <w:r w:rsidRPr="00A7000B">
        <w:rPr>
          <w:rFonts w:ascii="Times New Roman" w:hAnsi="Times New Roman"/>
          <w:i/>
          <w:iCs/>
          <w:sz w:val="24"/>
        </w:rPr>
        <w:t xml:space="preserve">Beach v </w:t>
      </w:r>
      <w:proofErr w:type="spellStart"/>
      <w:r w:rsidRPr="00A7000B">
        <w:rPr>
          <w:rFonts w:ascii="Times New Roman" w:hAnsi="Times New Roman"/>
          <w:i/>
          <w:iCs/>
          <w:sz w:val="24"/>
        </w:rPr>
        <w:t>Touradji</w:t>
      </w:r>
      <w:proofErr w:type="spellEnd"/>
      <w:r w:rsidRPr="00A7000B">
        <w:rPr>
          <w:rFonts w:ascii="Times New Roman" w:hAnsi="Times New Roman"/>
          <w:i/>
          <w:iCs/>
          <w:sz w:val="24"/>
        </w:rPr>
        <w:t xml:space="preserve"> Mgt., LP</w:t>
      </w:r>
      <w:r>
        <w:rPr>
          <w:rFonts w:ascii="Times New Roman" w:hAnsi="Times New Roman"/>
          <w:sz w:val="24"/>
        </w:rPr>
        <w:t xml:space="preserve"> (</w:t>
      </w:r>
      <w:r w:rsidRPr="00A7000B">
        <w:rPr>
          <w:rFonts w:ascii="Times New Roman" w:hAnsi="Times New Roman"/>
          <w:sz w:val="24"/>
        </w:rPr>
        <w:t xml:space="preserve">99 AD3d 167 </w:t>
      </w:r>
      <w:r>
        <w:rPr>
          <w:rFonts w:ascii="Times New Roman" w:hAnsi="Times New Roman"/>
          <w:sz w:val="24"/>
        </w:rPr>
        <w:t>[</w:t>
      </w:r>
      <w:r w:rsidRPr="00A7000B">
        <w:rPr>
          <w:rFonts w:ascii="Times New Roman" w:hAnsi="Times New Roman"/>
          <w:sz w:val="24"/>
        </w:rPr>
        <w:t>1st Dept 2012, Abdus-Salaam, J.</w:t>
      </w:r>
      <w:r>
        <w:rPr>
          <w:rFonts w:ascii="Times New Roman" w:hAnsi="Times New Roman"/>
          <w:sz w:val="24"/>
        </w:rPr>
        <w:t>]</w:t>
      </w:r>
      <w:r w:rsidRPr="00A7000B">
        <w:rPr>
          <w:rFonts w:ascii="Times New Roman" w:hAnsi="Times New Roman"/>
          <w:sz w:val="24"/>
        </w:rPr>
        <w:t>)</w:t>
      </w:r>
      <w:r w:rsidR="00162EE7">
        <w:rPr>
          <w:rFonts w:ascii="Times New Roman" w:hAnsi="Times New Roman"/>
          <w:sz w:val="24"/>
        </w:rPr>
        <w:t>,</w:t>
      </w:r>
      <w:r w:rsidRPr="00A7000B">
        <w:rPr>
          <w:rFonts w:ascii="Times New Roman" w:hAnsi="Times New Roman"/>
          <w:sz w:val="24"/>
        </w:rPr>
        <w:t xml:space="preserve"> </w:t>
      </w:r>
      <w:r w:rsidR="009C3C92">
        <w:rPr>
          <w:rFonts w:ascii="Times New Roman" w:hAnsi="Times New Roman"/>
          <w:sz w:val="24"/>
        </w:rPr>
        <w:t xml:space="preserve">by </w:t>
      </w:r>
      <w:r w:rsidRPr="00A7000B">
        <w:rPr>
          <w:rFonts w:ascii="Times New Roman" w:hAnsi="Times New Roman"/>
          <w:sz w:val="24"/>
        </w:rPr>
        <w:t>order</w:t>
      </w:r>
      <w:r w:rsidR="009C3C92">
        <w:rPr>
          <w:rFonts w:ascii="Times New Roman" w:hAnsi="Times New Roman"/>
          <w:sz w:val="24"/>
        </w:rPr>
        <w:t xml:space="preserve">ing </w:t>
      </w:r>
      <w:r w:rsidRPr="00A7000B">
        <w:rPr>
          <w:rFonts w:ascii="Times New Roman" w:hAnsi="Times New Roman"/>
          <w:sz w:val="24"/>
        </w:rPr>
        <w:t xml:space="preserve">an in-camera review to determine </w:t>
      </w:r>
      <w:r>
        <w:rPr>
          <w:rFonts w:ascii="Times New Roman" w:hAnsi="Times New Roman"/>
          <w:sz w:val="24"/>
        </w:rPr>
        <w:t xml:space="preserve">as to which </w:t>
      </w:r>
      <w:r w:rsidRPr="00A7000B">
        <w:rPr>
          <w:rFonts w:ascii="Times New Roman" w:hAnsi="Times New Roman"/>
          <w:sz w:val="24"/>
        </w:rPr>
        <w:t>portion of plaintiff’s forensic analyst’s report, which was used to refresh the expert’s recollection prior to his testimony, is discoverable</w:t>
      </w:r>
      <w:r>
        <w:rPr>
          <w:rFonts w:ascii="Times New Roman" w:hAnsi="Times New Roman"/>
          <w:sz w:val="24"/>
        </w:rPr>
        <w:t xml:space="preserve">, noting </w:t>
      </w:r>
      <w:r w:rsidRPr="00A7000B">
        <w:rPr>
          <w:rFonts w:ascii="Times New Roman" w:hAnsi="Times New Roman"/>
          <w:sz w:val="24"/>
        </w:rPr>
        <w:t>that “[t]he only portion the analysist’s reports that could be attorney work produc</w:t>
      </w:r>
      <w:r>
        <w:rPr>
          <w:rFonts w:ascii="Times New Roman" w:hAnsi="Times New Roman"/>
          <w:sz w:val="24"/>
        </w:rPr>
        <w:t>t</w:t>
      </w:r>
      <w:r w:rsidRPr="00A7000B">
        <w:rPr>
          <w:rFonts w:ascii="Times New Roman" w:hAnsi="Times New Roman"/>
          <w:sz w:val="24"/>
        </w:rPr>
        <w:t xml:space="preserve"> would be impressions, directions, etc., of counsel”</w:t>
      </w:r>
      <w:r>
        <w:rPr>
          <w:rFonts w:ascii="Times New Roman" w:hAnsi="Times New Roman"/>
          <w:sz w:val="24"/>
        </w:rPr>
        <w:t xml:space="preserve"> (</w:t>
      </w:r>
      <w:r>
        <w:rPr>
          <w:rFonts w:ascii="Times New Roman" w:hAnsi="Times New Roman"/>
          <w:i/>
          <w:iCs/>
          <w:sz w:val="24"/>
        </w:rPr>
        <w:t xml:space="preserve">id. </w:t>
      </w:r>
      <w:r>
        <w:rPr>
          <w:rFonts w:ascii="Times New Roman" w:hAnsi="Times New Roman"/>
          <w:sz w:val="24"/>
        </w:rPr>
        <w:t>at 171)</w:t>
      </w:r>
      <w:r w:rsidRPr="00A7000B">
        <w:rPr>
          <w:rFonts w:ascii="Times New Roman" w:hAnsi="Times New Roman"/>
          <w:sz w:val="24"/>
        </w:rPr>
        <w:t>.</w:t>
      </w:r>
    </w:p>
    <w:p w14:paraId="23B60EC5" w14:textId="613CC806" w:rsidR="00A7000B" w:rsidRPr="00D124DB" w:rsidRDefault="000B0951" w:rsidP="000B0951">
      <w:pPr>
        <w:pStyle w:val="ListParagraph"/>
        <w:spacing w:before="240" w:after="160" w:line="259" w:lineRule="auto"/>
        <w:ind w:left="1440"/>
        <w:contextualSpacing/>
        <w:rPr>
          <w:rFonts w:ascii="Times New Roman" w:hAnsi="Times New Roman"/>
          <w:sz w:val="24"/>
        </w:rPr>
      </w:pPr>
      <w:r>
        <w:rPr>
          <w:rFonts w:ascii="Times New Roman" w:hAnsi="Times New Roman"/>
          <w:color w:val="000000"/>
          <w:sz w:val="24"/>
          <w:szCs w:val="20"/>
        </w:rPr>
        <w:t>T</w:t>
      </w:r>
      <w:r w:rsidR="00A7000B" w:rsidRPr="00D124DB">
        <w:rPr>
          <w:rFonts w:ascii="Times New Roman" w:hAnsi="Times New Roman"/>
          <w:color w:val="000000"/>
          <w:sz w:val="24"/>
          <w:szCs w:val="20"/>
        </w:rPr>
        <w:t xml:space="preserve">he Third </w:t>
      </w:r>
      <w:r w:rsidR="0008067E" w:rsidRPr="00D124DB">
        <w:rPr>
          <w:rFonts w:ascii="Times New Roman" w:hAnsi="Times New Roman"/>
          <w:color w:val="000000"/>
          <w:sz w:val="24"/>
          <w:szCs w:val="20"/>
        </w:rPr>
        <w:t xml:space="preserve">and Fourth </w:t>
      </w:r>
      <w:r w:rsidR="00A7000B" w:rsidRPr="00D124DB">
        <w:rPr>
          <w:rFonts w:ascii="Times New Roman" w:hAnsi="Times New Roman"/>
          <w:color w:val="000000"/>
          <w:sz w:val="24"/>
          <w:szCs w:val="20"/>
        </w:rPr>
        <w:t>Department</w:t>
      </w:r>
      <w:r w:rsidR="0008067E" w:rsidRPr="00D124DB">
        <w:rPr>
          <w:rFonts w:ascii="Times New Roman" w:hAnsi="Times New Roman"/>
          <w:color w:val="000000"/>
          <w:sz w:val="24"/>
          <w:szCs w:val="20"/>
        </w:rPr>
        <w:t>s</w:t>
      </w:r>
      <w:r>
        <w:rPr>
          <w:rFonts w:ascii="Times New Roman" w:hAnsi="Times New Roman"/>
          <w:color w:val="000000"/>
          <w:sz w:val="24"/>
          <w:szCs w:val="20"/>
        </w:rPr>
        <w:t xml:space="preserve">, in the other hand, </w:t>
      </w:r>
      <w:r w:rsidR="0008067E" w:rsidRPr="00D124DB">
        <w:rPr>
          <w:rFonts w:ascii="Times New Roman" w:hAnsi="Times New Roman"/>
          <w:color w:val="000000"/>
          <w:sz w:val="24"/>
          <w:szCs w:val="20"/>
        </w:rPr>
        <w:t xml:space="preserve">have held that an attorney work product </w:t>
      </w:r>
      <w:r w:rsidR="00E26E7A" w:rsidRPr="00D124DB">
        <w:rPr>
          <w:rFonts w:ascii="Times New Roman" w:hAnsi="Times New Roman"/>
          <w:color w:val="000000"/>
          <w:sz w:val="24"/>
          <w:szCs w:val="20"/>
        </w:rPr>
        <w:t xml:space="preserve">privilege </w:t>
      </w:r>
      <w:r w:rsidR="0008067E" w:rsidRPr="00D124DB">
        <w:rPr>
          <w:rFonts w:ascii="Times New Roman" w:hAnsi="Times New Roman"/>
          <w:color w:val="000000"/>
          <w:sz w:val="24"/>
          <w:szCs w:val="20"/>
        </w:rPr>
        <w:t>is not waived by a deponent’s review of the materials in preparation for testimony (</w:t>
      </w:r>
      <w:r w:rsidR="0008067E" w:rsidRPr="00D124DB">
        <w:rPr>
          <w:rFonts w:ascii="Times New Roman" w:hAnsi="Times New Roman"/>
          <w:i/>
          <w:iCs/>
          <w:color w:val="000000"/>
          <w:sz w:val="24"/>
          <w:szCs w:val="20"/>
        </w:rPr>
        <w:t>see</w:t>
      </w:r>
      <w:r w:rsidR="00E26E7A" w:rsidRPr="00D124DB">
        <w:rPr>
          <w:rFonts w:ascii="Times New Roman" w:hAnsi="Times New Roman"/>
          <w:i/>
          <w:iCs/>
          <w:color w:val="000000"/>
          <w:sz w:val="24"/>
          <w:szCs w:val="20"/>
        </w:rPr>
        <w:t xml:space="preserve"> </w:t>
      </w:r>
      <w:proofErr w:type="spellStart"/>
      <w:r w:rsidR="00E26E7A" w:rsidRPr="00D124DB">
        <w:rPr>
          <w:rFonts w:ascii="Times New Roman" w:hAnsi="Times New Roman"/>
          <w:i/>
          <w:iCs/>
          <w:color w:val="000000"/>
          <w:sz w:val="24"/>
          <w:szCs w:val="20"/>
        </w:rPr>
        <w:t>Geffers</w:t>
      </w:r>
      <w:proofErr w:type="spellEnd"/>
      <w:r w:rsidR="00E26E7A" w:rsidRPr="00D124DB">
        <w:rPr>
          <w:rFonts w:ascii="Times New Roman" w:hAnsi="Times New Roman"/>
          <w:i/>
          <w:iCs/>
          <w:color w:val="000000"/>
          <w:sz w:val="24"/>
          <w:szCs w:val="20"/>
        </w:rPr>
        <w:t xml:space="preserve"> v Canisteo Cent. School</w:t>
      </w:r>
      <w:r w:rsidR="00E26E7A" w:rsidRPr="00D124DB">
        <w:rPr>
          <w:rFonts w:ascii="Times New Roman" w:hAnsi="Times New Roman"/>
          <w:color w:val="000000"/>
          <w:sz w:val="24"/>
          <w:szCs w:val="20"/>
        </w:rPr>
        <w:t xml:space="preserve">, 105 AD2d 1062, 1062 [4th Dept 1984] [“Special Term was correct in denying discovery of a memorandum prepared by an attorney as part of his work product. The fact that the memorandum was reviewed by his client in preparation for an examination before trial does not constitute a waiver of the privilege under CPLR 3101, </w:t>
      </w:r>
      <w:proofErr w:type="spellStart"/>
      <w:r w:rsidR="00E26E7A" w:rsidRPr="00D124DB">
        <w:rPr>
          <w:rFonts w:ascii="Times New Roman" w:hAnsi="Times New Roman"/>
          <w:color w:val="000000"/>
          <w:sz w:val="24"/>
          <w:szCs w:val="20"/>
        </w:rPr>
        <w:t>subd</w:t>
      </w:r>
      <w:proofErr w:type="spellEnd"/>
      <w:r w:rsidR="00E26E7A" w:rsidRPr="00D124DB">
        <w:rPr>
          <w:rFonts w:ascii="Times New Roman" w:hAnsi="Times New Roman"/>
          <w:color w:val="000000"/>
          <w:sz w:val="24"/>
          <w:szCs w:val="20"/>
        </w:rPr>
        <w:t>. [c].”</w:t>
      </w:r>
      <w:r w:rsidR="00D124DB" w:rsidRPr="00D124DB">
        <w:rPr>
          <w:rFonts w:ascii="Times New Roman" w:hAnsi="Times New Roman"/>
          <w:color w:val="000000"/>
          <w:sz w:val="24"/>
          <w:szCs w:val="20"/>
        </w:rPr>
        <w:t>]</w:t>
      </w:r>
      <w:r w:rsidR="00E26E7A" w:rsidRPr="00D124DB">
        <w:rPr>
          <w:rFonts w:ascii="Times New Roman" w:hAnsi="Times New Roman"/>
          <w:color w:val="000000"/>
          <w:sz w:val="24"/>
          <w:szCs w:val="20"/>
        </w:rPr>
        <w:t>;</w:t>
      </w:r>
      <w:r w:rsidR="00F4709D" w:rsidRPr="00D124DB">
        <w:rPr>
          <w:rFonts w:ascii="Times New Roman" w:hAnsi="Times New Roman"/>
          <w:color w:val="000000"/>
          <w:sz w:val="24"/>
          <w:szCs w:val="20"/>
        </w:rPr>
        <w:t xml:space="preserve"> </w:t>
      </w:r>
      <w:proofErr w:type="spellStart"/>
      <w:r w:rsidR="0008067E" w:rsidRPr="00D124DB">
        <w:rPr>
          <w:rFonts w:ascii="Times New Roman" w:hAnsi="Times New Roman"/>
          <w:i/>
          <w:iCs/>
          <w:color w:val="000000"/>
          <w:sz w:val="24"/>
          <w:szCs w:val="20"/>
        </w:rPr>
        <w:t>Fernekes</w:t>
      </w:r>
      <w:proofErr w:type="spellEnd"/>
      <w:r w:rsidR="0008067E" w:rsidRPr="00D124DB">
        <w:rPr>
          <w:rFonts w:ascii="Times New Roman" w:hAnsi="Times New Roman"/>
          <w:i/>
          <w:iCs/>
          <w:color w:val="000000"/>
          <w:sz w:val="24"/>
          <w:szCs w:val="20"/>
        </w:rPr>
        <w:t xml:space="preserve"> v Catskill Regional Med. Cent.</w:t>
      </w:r>
      <w:r w:rsidR="0008067E" w:rsidRPr="00D124DB">
        <w:rPr>
          <w:rFonts w:ascii="Times New Roman" w:hAnsi="Times New Roman"/>
          <w:color w:val="000000"/>
          <w:sz w:val="24"/>
          <w:szCs w:val="20"/>
        </w:rPr>
        <w:t>, 75 AD3d 959</w:t>
      </w:r>
      <w:r>
        <w:rPr>
          <w:rFonts w:ascii="Times New Roman" w:hAnsi="Times New Roman"/>
          <w:color w:val="000000"/>
          <w:sz w:val="24"/>
          <w:szCs w:val="20"/>
        </w:rPr>
        <w:t>, 961</w:t>
      </w:r>
      <w:r w:rsidR="0008067E" w:rsidRPr="00D124DB">
        <w:rPr>
          <w:rFonts w:ascii="Times New Roman" w:hAnsi="Times New Roman"/>
          <w:color w:val="000000"/>
          <w:sz w:val="24"/>
          <w:szCs w:val="20"/>
        </w:rPr>
        <w:t xml:space="preserve"> [3d Dept 2010</w:t>
      </w:r>
      <w:r w:rsidR="00F4709D" w:rsidRPr="00D124DB">
        <w:rPr>
          <w:rFonts w:ascii="Times New Roman" w:hAnsi="Times New Roman"/>
          <w:color w:val="000000"/>
          <w:sz w:val="24"/>
          <w:szCs w:val="20"/>
        </w:rPr>
        <w:t>] [</w:t>
      </w:r>
      <w:r w:rsidR="0008067E" w:rsidRPr="00D124DB">
        <w:rPr>
          <w:rFonts w:ascii="Times New Roman" w:hAnsi="Times New Roman"/>
          <w:color w:val="000000"/>
          <w:sz w:val="24"/>
          <w:szCs w:val="20"/>
        </w:rPr>
        <w:t>“While an unqualified privilege, such as applies to attorney work product, can be waived by a party, it is not waived merely through the client’s review of an attorney’s memorandum in preparation for a deposition”</w:t>
      </w:r>
      <w:r w:rsidR="00F4709D" w:rsidRPr="00D124DB">
        <w:rPr>
          <w:rFonts w:ascii="Times New Roman" w:hAnsi="Times New Roman"/>
          <w:color w:val="000000"/>
          <w:sz w:val="24"/>
          <w:szCs w:val="20"/>
        </w:rPr>
        <w:t xml:space="preserve">]). </w:t>
      </w:r>
      <w:r w:rsidR="00F15AB9">
        <w:rPr>
          <w:rFonts w:ascii="Times New Roman" w:hAnsi="Times New Roman"/>
          <w:color w:val="000000"/>
          <w:sz w:val="24"/>
          <w:szCs w:val="20"/>
        </w:rPr>
        <w:tab/>
      </w:r>
      <w:r w:rsidR="00F15AB9">
        <w:rPr>
          <w:rFonts w:ascii="Times New Roman" w:hAnsi="Times New Roman"/>
          <w:color w:val="000000"/>
          <w:sz w:val="24"/>
          <w:szCs w:val="20"/>
        </w:rPr>
        <w:tab/>
      </w:r>
      <w:r w:rsidR="00F15AB9" w:rsidRPr="00F15AB9">
        <w:rPr>
          <w:rFonts w:ascii="Times New Roman" w:hAnsi="Times New Roman"/>
          <w:b/>
          <w:bCs/>
          <w:sz w:val="24"/>
        </w:rPr>
        <w:t>(</w:t>
      </w:r>
      <w:r w:rsidR="00F15AB9" w:rsidRPr="002F7B5D">
        <w:rPr>
          <w:rFonts w:ascii="Times New Roman" w:hAnsi="Times New Roman"/>
          <w:b/>
          <w:bCs/>
          <w:sz w:val="24"/>
        </w:rPr>
        <w:t xml:space="preserve">Exhibit </w:t>
      </w:r>
      <w:r w:rsidR="00F15AB9">
        <w:rPr>
          <w:rFonts w:ascii="Times New Roman" w:hAnsi="Times New Roman"/>
          <w:b/>
          <w:bCs/>
          <w:sz w:val="24"/>
        </w:rPr>
        <w:t>15)</w:t>
      </w:r>
    </w:p>
    <w:p w14:paraId="18EDBF68" w14:textId="77777777" w:rsidR="00A7000B" w:rsidRDefault="00A7000B" w:rsidP="00D124DB">
      <w:pPr>
        <w:pStyle w:val="ListParagraph"/>
        <w:spacing w:before="240" w:after="160" w:line="259" w:lineRule="auto"/>
        <w:ind w:left="1440"/>
        <w:contextualSpacing/>
        <w:rPr>
          <w:rFonts w:ascii="Times New Roman" w:hAnsi="Times New Roman"/>
          <w:sz w:val="24"/>
        </w:rPr>
      </w:pPr>
    </w:p>
    <w:p w14:paraId="69E823F9" w14:textId="70E70801" w:rsidR="00AE4C6E" w:rsidRDefault="007972A6" w:rsidP="00AE4C6E">
      <w:pPr>
        <w:pStyle w:val="ListParagraph"/>
        <w:numPr>
          <w:ilvl w:val="0"/>
          <w:numId w:val="15"/>
        </w:numPr>
        <w:spacing w:after="160" w:line="259" w:lineRule="auto"/>
        <w:contextualSpacing/>
        <w:rPr>
          <w:rFonts w:ascii="Times New Roman" w:hAnsi="Times New Roman"/>
          <w:sz w:val="24"/>
          <w:u w:val="single"/>
        </w:rPr>
      </w:pPr>
      <w:r>
        <w:rPr>
          <w:rFonts w:ascii="Times New Roman" w:hAnsi="Times New Roman"/>
          <w:sz w:val="24"/>
          <w:u w:val="single"/>
        </w:rPr>
        <w:t>CPLR p</w:t>
      </w:r>
      <w:r w:rsidR="00315344">
        <w:rPr>
          <w:rFonts w:ascii="Times New Roman" w:hAnsi="Times New Roman"/>
          <w:sz w:val="24"/>
          <w:u w:val="single"/>
        </w:rPr>
        <w:t xml:space="preserve">roposals </w:t>
      </w:r>
      <w:r>
        <w:rPr>
          <w:rFonts w:ascii="Times New Roman" w:hAnsi="Times New Roman"/>
          <w:sz w:val="24"/>
          <w:u w:val="single"/>
        </w:rPr>
        <w:t xml:space="preserve">by others </w:t>
      </w:r>
    </w:p>
    <w:p w14:paraId="6A2B0FFD" w14:textId="77777777" w:rsidR="00692F21" w:rsidRDefault="00692F21" w:rsidP="00692F21">
      <w:pPr>
        <w:pStyle w:val="ListParagraph"/>
        <w:spacing w:after="160" w:line="259" w:lineRule="auto"/>
        <w:contextualSpacing/>
        <w:rPr>
          <w:rFonts w:ascii="Times New Roman" w:hAnsi="Times New Roman"/>
          <w:sz w:val="24"/>
          <w:u w:val="single"/>
        </w:rPr>
      </w:pPr>
    </w:p>
    <w:p w14:paraId="12D6FC2C" w14:textId="4AD73EB0" w:rsidR="00815C5A" w:rsidRPr="00815C5A" w:rsidRDefault="00B01410" w:rsidP="00815C5A">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S</w:t>
      </w:r>
      <w:r w:rsidR="00062411">
        <w:rPr>
          <w:rFonts w:ascii="Times New Roman" w:hAnsi="Times New Roman"/>
          <w:sz w:val="24"/>
        </w:rPr>
        <w:t>565</w:t>
      </w:r>
      <w:r w:rsidR="0054479D">
        <w:rPr>
          <w:rFonts w:ascii="Times New Roman" w:hAnsi="Times New Roman"/>
          <w:sz w:val="24"/>
        </w:rPr>
        <w:t xml:space="preserve"> (</w:t>
      </w:r>
      <w:proofErr w:type="spellStart"/>
      <w:r w:rsidR="0054479D">
        <w:rPr>
          <w:rFonts w:ascii="Times New Roman" w:hAnsi="Times New Roman"/>
          <w:sz w:val="24"/>
        </w:rPr>
        <w:t>Hoylman</w:t>
      </w:r>
      <w:proofErr w:type="spellEnd"/>
      <w:r w:rsidR="0054479D">
        <w:rPr>
          <w:rFonts w:ascii="Times New Roman" w:hAnsi="Times New Roman"/>
          <w:sz w:val="24"/>
        </w:rPr>
        <w:t>)</w:t>
      </w:r>
      <w:r w:rsidR="00062411">
        <w:rPr>
          <w:rFonts w:ascii="Times New Roman" w:hAnsi="Times New Roman"/>
          <w:sz w:val="24"/>
        </w:rPr>
        <w:t>/A2503</w:t>
      </w:r>
      <w:r w:rsidR="0054479D">
        <w:rPr>
          <w:rFonts w:ascii="Times New Roman" w:hAnsi="Times New Roman"/>
          <w:sz w:val="24"/>
        </w:rPr>
        <w:t xml:space="preserve"> (Weinstein)</w:t>
      </w:r>
      <w:r w:rsidR="00062411">
        <w:rPr>
          <w:rFonts w:ascii="Times New Roman" w:hAnsi="Times New Roman"/>
          <w:sz w:val="24"/>
        </w:rPr>
        <w:t xml:space="preserve"> – Vacating an arbitration award </w:t>
      </w:r>
      <w:proofErr w:type="gramStart"/>
      <w:r w:rsidR="00062411">
        <w:rPr>
          <w:rFonts w:ascii="Times New Roman" w:hAnsi="Times New Roman"/>
          <w:sz w:val="24"/>
        </w:rPr>
        <w:t>on the basis of</w:t>
      </w:r>
      <w:proofErr w:type="gramEnd"/>
      <w:r w:rsidR="00062411">
        <w:rPr>
          <w:rFonts w:ascii="Times New Roman" w:hAnsi="Times New Roman"/>
          <w:sz w:val="24"/>
        </w:rPr>
        <w:t xml:space="preserve"> arbitrator’s disregard of the law </w:t>
      </w:r>
      <w:r w:rsidR="00815C5A">
        <w:rPr>
          <w:rFonts w:ascii="Times New Roman" w:hAnsi="Times New Roman"/>
          <w:sz w:val="24"/>
        </w:rPr>
        <w:tab/>
      </w:r>
      <w:r w:rsidR="00815C5A">
        <w:rPr>
          <w:rFonts w:ascii="Times New Roman" w:hAnsi="Times New Roman"/>
          <w:sz w:val="24"/>
        </w:rPr>
        <w:tab/>
      </w:r>
      <w:r w:rsidR="00815C5A">
        <w:rPr>
          <w:rFonts w:ascii="Times New Roman" w:hAnsi="Times New Roman"/>
          <w:sz w:val="24"/>
        </w:rPr>
        <w:tab/>
      </w:r>
      <w:r w:rsidR="00815C5A">
        <w:rPr>
          <w:rFonts w:ascii="Times New Roman" w:hAnsi="Times New Roman"/>
          <w:sz w:val="24"/>
        </w:rPr>
        <w:tab/>
      </w:r>
      <w:r w:rsidR="00815C5A">
        <w:rPr>
          <w:rFonts w:ascii="Times New Roman" w:hAnsi="Times New Roman"/>
          <w:sz w:val="24"/>
        </w:rPr>
        <w:tab/>
      </w:r>
      <w:r w:rsidR="00815C5A" w:rsidRPr="0054479D">
        <w:rPr>
          <w:rFonts w:ascii="Times New Roman" w:hAnsi="Times New Roman"/>
          <w:b/>
          <w:bCs/>
          <w:sz w:val="24"/>
        </w:rPr>
        <w:t>(</w:t>
      </w:r>
      <w:r w:rsidR="00815C5A" w:rsidRPr="00815C5A">
        <w:rPr>
          <w:rFonts w:ascii="Times New Roman" w:hAnsi="Times New Roman"/>
          <w:b/>
          <w:bCs/>
          <w:sz w:val="24"/>
        </w:rPr>
        <w:t>Exhibit</w:t>
      </w:r>
      <w:r w:rsidR="00815C5A" w:rsidRPr="00815C5A">
        <w:rPr>
          <w:rFonts w:ascii="Times New Roman" w:hAnsi="Times New Roman"/>
          <w:sz w:val="24"/>
        </w:rPr>
        <w:t xml:space="preserve"> </w:t>
      </w:r>
      <w:r w:rsidR="0054479D" w:rsidRPr="0054479D">
        <w:rPr>
          <w:rFonts w:ascii="Times New Roman" w:hAnsi="Times New Roman"/>
          <w:b/>
          <w:bCs/>
          <w:sz w:val="24"/>
        </w:rPr>
        <w:t>16</w:t>
      </w:r>
      <w:r w:rsidR="00815C5A" w:rsidRPr="0054479D">
        <w:rPr>
          <w:rFonts w:ascii="Times New Roman" w:hAnsi="Times New Roman"/>
          <w:b/>
          <w:bCs/>
          <w:sz w:val="24"/>
        </w:rPr>
        <w:t>)</w:t>
      </w:r>
      <w:r w:rsidR="00815C5A" w:rsidRPr="00815C5A">
        <w:rPr>
          <w:rFonts w:ascii="Times New Roman" w:hAnsi="Times New Roman"/>
          <w:sz w:val="24"/>
        </w:rPr>
        <w:tab/>
      </w:r>
    </w:p>
    <w:p w14:paraId="181C5AE0" w14:textId="77777777" w:rsidR="00815C5A" w:rsidRDefault="00815C5A" w:rsidP="00815C5A">
      <w:pPr>
        <w:pStyle w:val="ListParagraph"/>
        <w:spacing w:after="160" w:line="259" w:lineRule="auto"/>
        <w:ind w:left="1440"/>
        <w:contextualSpacing/>
        <w:rPr>
          <w:rFonts w:ascii="Times New Roman" w:hAnsi="Times New Roman"/>
          <w:sz w:val="24"/>
        </w:rPr>
      </w:pPr>
    </w:p>
    <w:p w14:paraId="52AF0B34" w14:textId="439D0FE3" w:rsidR="00815C5A" w:rsidRPr="00815C5A" w:rsidRDefault="00815C5A" w:rsidP="00815C5A">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S6439</w:t>
      </w:r>
      <w:r w:rsidR="00740548">
        <w:rPr>
          <w:rFonts w:ascii="Times New Roman" w:hAnsi="Times New Roman"/>
          <w:sz w:val="24"/>
        </w:rPr>
        <w:t xml:space="preserve"> (</w:t>
      </w:r>
      <w:proofErr w:type="spellStart"/>
      <w:r w:rsidR="00740548">
        <w:rPr>
          <w:rFonts w:ascii="Times New Roman" w:hAnsi="Times New Roman"/>
          <w:sz w:val="24"/>
        </w:rPr>
        <w:t>Brisport</w:t>
      </w:r>
      <w:proofErr w:type="spellEnd"/>
      <w:r w:rsidR="00740548">
        <w:rPr>
          <w:rFonts w:ascii="Times New Roman" w:hAnsi="Times New Roman"/>
          <w:sz w:val="24"/>
        </w:rPr>
        <w:t xml:space="preserve">) </w:t>
      </w:r>
      <w:r>
        <w:rPr>
          <w:rFonts w:ascii="Times New Roman" w:hAnsi="Times New Roman"/>
          <w:sz w:val="24"/>
        </w:rPr>
        <w:t xml:space="preserve">– Repeal of CPLR 3218 Judgment by confession </w:t>
      </w:r>
      <w:r w:rsidRPr="0054479D">
        <w:rPr>
          <w:rFonts w:ascii="Times New Roman" w:hAnsi="Times New Roman"/>
          <w:b/>
          <w:bCs/>
          <w:sz w:val="24"/>
        </w:rPr>
        <w:t>(</w:t>
      </w:r>
      <w:r w:rsidRPr="00815C5A">
        <w:rPr>
          <w:rFonts w:ascii="Times New Roman" w:hAnsi="Times New Roman"/>
          <w:b/>
          <w:bCs/>
          <w:sz w:val="24"/>
        </w:rPr>
        <w:t>Exhibit</w:t>
      </w:r>
      <w:r w:rsidRPr="00815C5A">
        <w:rPr>
          <w:rFonts w:ascii="Times New Roman" w:hAnsi="Times New Roman"/>
          <w:sz w:val="24"/>
        </w:rPr>
        <w:t xml:space="preserve"> </w:t>
      </w:r>
      <w:r w:rsidR="0054479D" w:rsidRPr="0054479D">
        <w:rPr>
          <w:rFonts w:ascii="Times New Roman" w:hAnsi="Times New Roman"/>
          <w:b/>
          <w:bCs/>
          <w:sz w:val="24"/>
        </w:rPr>
        <w:t>17)</w:t>
      </w:r>
      <w:r w:rsidRPr="00815C5A">
        <w:rPr>
          <w:rFonts w:ascii="Times New Roman" w:hAnsi="Times New Roman"/>
          <w:sz w:val="24"/>
        </w:rPr>
        <w:tab/>
      </w:r>
    </w:p>
    <w:p w14:paraId="7C7E04AD" w14:textId="77777777" w:rsidR="00815C5A" w:rsidRDefault="00815C5A" w:rsidP="00815C5A">
      <w:pPr>
        <w:pStyle w:val="ListParagraph"/>
        <w:spacing w:after="160" w:line="259" w:lineRule="auto"/>
        <w:ind w:left="1440"/>
        <w:contextualSpacing/>
        <w:rPr>
          <w:rFonts w:ascii="Times New Roman" w:hAnsi="Times New Roman"/>
          <w:sz w:val="24"/>
        </w:rPr>
      </w:pPr>
    </w:p>
    <w:p w14:paraId="6F556BB8" w14:textId="3C21B77D" w:rsidR="009C3C92" w:rsidRPr="009C3C92" w:rsidRDefault="00815C5A" w:rsidP="009C3C92">
      <w:pPr>
        <w:pStyle w:val="ListParagraph"/>
        <w:numPr>
          <w:ilvl w:val="1"/>
          <w:numId w:val="15"/>
        </w:numPr>
        <w:spacing w:after="160" w:line="259" w:lineRule="auto"/>
        <w:contextualSpacing/>
        <w:rPr>
          <w:rFonts w:ascii="Times New Roman" w:hAnsi="Times New Roman"/>
          <w:sz w:val="24"/>
        </w:rPr>
      </w:pPr>
      <w:r w:rsidRPr="00815C5A">
        <w:rPr>
          <w:rFonts w:ascii="Times New Roman" w:hAnsi="Times New Roman"/>
          <w:sz w:val="24"/>
        </w:rPr>
        <w:t>S6656</w:t>
      </w:r>
      <w:r w:rsidR="00740548">
        <w:rPr>
          <w:rFonts w:ascii="Times New Roman" w:hAnsi="Times New Roman"/>
          <w:sz w:val="24"/>
        </w:rPr>
        <w:t xml:space="preserve"> (Sanders)</w:t>
      </w:r>
      <w:r w:rsidRPr="00815C5A">
        <w:rPr>
          <w:rFonts w:ascii="Times New Roman" w:hAnsi="Times New Roman"/>
          <w:sz w:val="24"/>
        </w:rPr>
        <w:t xml:space="preserve">/A4474-A </w:t>
      </w:r>
      <w:r w:rsidR="00740548">
        <w:rPr>
          <w:rFonts w:ascii="Times New Roman" w:hAnsi="Times New Roman"/>
          <w:sz w:val="24"/>
        </w:rPr>
        <w:t xml:space="preserve">(Hunter) – </w:t>
      </w:r>
      <w:r w:rsidRPr="00815C5A">
        <w:rPr>
          <w:rFonts w:ascii="Times New Roman" w:hAnsi="Times New Roman"/>
          <w:sz w:val="24"/>
        </w:rPr>
        <w:t>Creating</w:t>
      </w:r>
      <w:r w:rsidR="00740548">
        <w:rPr>
          <w:rFonts w:ascii="Times New Roman" w:hAnsi="Times New Roman"/>
          <w:sz w:val="24"/>
        </w:rPr>
        <w:t xml:space="preserve"> </w:t>
      </w:r>
      <w:r w:rsidRPr="00815C5A">
        <w:rPr>
          <w:rFonts w:ascii="Times New Roman" w:hAnsi="Times New Roman"/>
          <w:sz w:val="24"/>
        </w:rPr>
        <w:t>a new cause of action for exposure to toxic burn pits while serving as a member of the armed forces</w:t>
      </w:r>
      <w:r w:rsidR="00740548">
        <w:rPr>
          <w:rFonts w:ascii="Times New Roman" w:hAnsi="Times New Roman"/>
          <w:sz w:val="24"/>
        </w:rPr>
        <w:t xml:space="preserve"> </w:t>
      </w:r>
      <w:proofErr w:type="gramStart"/>
      <w:r w:rsidR="00740548">
        <w:rPr>
          <w:rFonts w:ascii="Times New Roman" w:hAnsi="Times New Roman"/>
          <w:sz w:val="24"/>
        </w:rPr>
        <w:t xml:space="preserve">   </w:t>
      </w:r>
      <w:r w:rsidRPr="00740548">
        <w:rPr>
          <w:rFonts w:ascii="Times New Roman" w:hAnsi="Times New Roman"/>
          <w:b/>
          <w:bCs/>
          <w:sz w:val="24"/>
        </w:rPr>
        <w:t>(</w:t>
      </w:r>
      <w:proofErr w:type="gramEnd"/>
      <w:r w:rsidRPr="00740548">
        <w:rPr>
          <w:rFonts w:ascii="Times New Roman" w:hAnsi="Times New Roman"/>
          <w:b/>
          <w:bCs/>
          <w:sz w:val="24"/>
        </w:rPr>
        <w:t>Exhibi</w:t>
      </w:r>
      <w:r w:rsidR="00740548" w:rsidRPr="00740548">
        <w:rPr>
          <w:rFonts w:ascii="Times New Roman" w:hAnsi="Times New Roman"/>
          <w:b/>
          <w:bCs/>
          <w:sz w:val="24"/>
        </w:rPr>
        <w:t>ts 18 &amp; 19)</w:t>
      </w:r>
      <w:r w:rsidRPr="00740548">
        <w:rPr>
          <w:rFonts w:ascii="Times New Roman" w:hAnsi="Times New Roman"/>
          <w:sz w:val="24"/>
        </w:rPr>
        <w:tab/>
      </w:r>
    </w:p>
    <w:p w14:paraId="4A43ED48" w14:textId="77777777" w:rsidR="009C3C92" w:rsidRDefault="009C3C92" w:rsidP="009C3C92">
      <w:pPr>
        <w:pStyle w:val="ListParagraph"/>
        <w:spacing w:before="240" w:after="160" w:line="259" w:lineRule="auto"/>
        <w:contextualSpacing/>
        <w:rPr>
          <w:rFonts w:ascii="Times New Roman" w:hAnsi="Times New Roman"/>
          <w:sz w:val="24"/>
          <w:u w:val="single"/>
        </w:rPr>
      </w:pPr>
    </w:p>
    <w:p w14:paraId="7D18BD9F" w14:textId="748916FD" w:rsidR="00FF56F4" w:rsidRDefault="00833A7D" w:rsidP="00FF56F4">
      <w:pPr>
        <w:pStyle w:val="ListParagraph"/>
        <w:numPr>
          <w:ilvl w:val="0"/>
          <w:numId w:val="15"/>
        </w:numPr>
        <w:spacing w:before="240" w:after="160" w:line="259" w:lineRule="auto"/>
        <w:contextualSpacing/>
        <w:rPr>
          <w:rFonts w:ascii="Times New Roman" w:hAnsi="Times New Roman"/>
          <w:sz w:val="24"/>
          <w:u w:val="single"/>
        </w:rPr>
      </w:pPr>
      <w:r>
        <w:rPr>
          <w:rFonts w:ascii="Times New Roman" w:hAnsi="Times New Roman"/>
          <w:sz w:val="24"/>
          <w:u w:val="single"/>
        </w:rPr>
        <w:t xml:space="preserve">Matters </w:t>
      </w:r>
      <w:r w:rsidR="00262CEE">
        <w:rPr>
          <w:rFonts w:ascii="Times New Roman" w:hAnsi="Times New Roman"/>
          <w:sz w:val="24"/>
          <w:u w:val="single"/>
        </w:rPr>
        <w:t xml:space="preserve">of </w:t>
      </w:r>
      <w:proofErr w:type="gramStart"/>
      <w:r w:rsidR="00262CEE">
        <w:rPr>
          <w:rFonts w:ascii="Times New Roman" w:hAnsi="Times New Roman"/>
          <w:sz w:val="24"/>
          <w:u w:val="single"/>
        </w:rPr>
        <w:t>Interest</w:t>
      </w:r>
      <w:proofErr w:type="gramEnd"/>
      <w:r w:rsidR="00262CEE">
        <w:rPr>
          <w:rFonts w:ascii="Times New Roman" w:hAnsi="Times New Roman"/>
          <w:sz w:val="24"/>
          <w:u w:val="single"/>
        </w:rPr>
        <w:t xml:space="preserve"> </w:t>
      </w:r>
    </w:p>
    <w:p w14:paraId="6E5B3B95" w14:textId="77777777" w:rsidR="00FF56F4" w:rsidRDefault="00FF56F4" w:rsidP="00FF56F4">
      <w:pPr>
        <w:pStyle w:val="ListParagraph"/>
        <w:spacing w:before="240" w:after="160" w:line="259" w:lineRule="auto"/>
        <w:contextualSpacing/>
        <w:rPr>
          <w:rFonts w:ascii="Times New Roman" w:hAnsi="Times New Roman"/>
          <w:sz w:val="24"/>
          <w:u w:val="single"/>
        </w:rPr>
      </w:pPr>
    </w:p>
    <w:p w14:paraId="4D83E336" w14:textId="1EE97420" w:rsidR="000B00FF" w:rsidRPr="00FF56F4" w:rsidRDefault="00B250E3" w:rsidP="00FF56F4">
      <w:pPr>
        <w:pStyle w:val="ListParagraph"/>
        <w:numPr>
          <w:ilvl w:val="1"/>
          <w:numId w:val="15"/>
        </w:numPr>
        <w:spacing w:before="240" w:after="160" w:line="259" w:lineRule="auto"/>
        <w:contextualSpacing/>
        <w:rPr>
          <w:rFonts w:ascii="Times New Roman" w:hAnsi="Times New Roman"/>
          <w:sz w:val="24"/>
          <w:u w:val="single"/>
        </w:rPr>
      </w:pPr>
      <w:r w:rsidRPr="00FF56F4">
        <w:rPr>
          <w:rFonts w:ascii="Times New Roman" w:hAnsi="Times New Roman"/>
          <w:i/>
          <w:iCs/>
          <w:sz w:val="24"/>
        </w:rPr>
        <w:t>Green v Esplanade Venture Partnership</w:t>
      </w:r>
      <w:r w:rsidRPr="00FF56F4">
        <w:rPr>
          <w:rFonts w:ascii="Times New Roman" w:hAnsi="Times New Roman"/>
          <w:sz w:val="24"/>
        </w:rPr>
        <w:t xml:space="preserve">, __ NY3d ___, </w:t>
      </w:r>
      <w:r w:rsidR="005C0CCB" w:rsidRPr="00FF56F4">
        <w:rPr>
          <w:rFonts w:ascii="Times New Roman" w:hAnsi="Times New Roman"/>
          <w:sz w:val="24"/>
        </w:rPr>
        <w:t xml:space="preserve">2021 NY Slip Op </w:t>
      </w:r>
      <w:r w:rsidR="002F7B5D" w:rsidRPr="00FF56F4">
        <w:rPr>
          <w:rFonts w:ascii="Times New Roman" w:hAnsi="Times New Roman"/>
          <w:sz w:val="24"/>
        </w:rPr>
        <w:t>01092</w:t>
      </w:r>
      <w:r w:rsidRPr="00FF56F4">
        <w:rPr>
          <w:rFonts w:ascii="Times New Roman" w:hAnsi="Times New Roman"/>
          <w:sz w:val="24"/>
        </w:rPr>
        <w:t xml:space="preserve"> </w:t>
      </w:r>
      <w:r w:rsidR="005C0CCB" w:rsidRPr="00FF56F4">
        <w:rPr>
          <w:rFonts w:ascii="Times New Roman" w:hAnsi="Times New Roman"/>
          <w:sz w:val="24"/>
        </w:rPr>
        <w:t>(</w:t>
      </w:r>
      <w:r w:rsidRPr="00FF56F4">
        <w:rPr>
          <w:rFonts w:ascii="Times New Roman" w:hAnsi="Times New Roman"/>
          <w:sz w:val="24"/>
        </w:rPr>
        <w:t>Feb. 18, 2021</w:t>
      </w:r>
      <w:r w:rsidR="005C0CCB" w:rsidRPr="00FF56F4">
        <w:rPr>
          <w:rFonts w:ascii="Times New Roman" w:hAnsi="Times New Roman"/>
          <w:sz w:val="24"/>
        </w:rPr>
        <w:t xml:space="preserve">) </w:t>
      </w:r>
      <w:r w:rsidR="00B54BA5" w:rsidRPr="00FF56F4">
        <w:rPr>
          <w:rFonts w:ascii="Times New Roman" w:hAnsi="Times New Roman"/>
          <w:sz w:val="24"/>
        </w:rPr>
        <w:t xml:space="preserve">– </w:t>
      </w:r>
      <w:r w:rsidRPr="00FF56F4">
        <w:rPr>
          <w:rFonts w:ascii="Times New Roman" w:hAnsi="Times New Roman"/>
          <w:sz w:val="24"/>
        </w:rPr>
        <w:t xml:space="preserve">plaintiff grandmother’s grandchild is “immediate family” for the purpose of applying the zone of danger rule. Justice Rivera concurred in the result but argued that arbitrary lines as to who is included </w:t>
      </w:r>
      <w:r w:rsidR="007C6DF4" w:rsidRPr="00FF56F4">
        <w:rPr>
          <w:rFonts w:ascii="Times New Roman" w:hAnsi="Times New Roman"/>
          <w:sz w:val="24"/>
        </w:rPr>
        <w:t xml:space="preserve">and </w:t>
      </w:r>
      <w:r w:rsidR="008A7F2B" w:rsidRPr="00FF56F4">
        <w:rPr>
          <w:rFonts w:ascii="Times New Roman" w:hAnsi="Times New Roman"/>
          <w:sz w:val="24"/>
        </w:rPr>
        <w:t xml:space="preserve">who </w:t>
      </w:r>
      <w:r w:rsidR="007C6DF4" w:rsidRPr="00FF56F4">
        <w:rPr>
          <w:rFonts w:ascii="Times New Roman" w:hAnsi="Times New Roman"/>
          <w:sz w:val="24"/>
        </w:rPr>
        <w:t xml:space="preserve">is excluded should be discarded, and the determination </w:t>
      </w:r>
      <w:r w:rsidR="008A7F2B" w:rsidRPr="00FF56F4">
        <w:rPr>
          <w:rFonts w:ascii="Times New Roman" w:hAnsi="Times New Roman"/>
          <w:sz w:val="24"/>
        </w:rPr>
        <w:t xml:space="preserve">shall </w:t>
      </w:r>
      <w:r w:rsidR="007C6DF4" w:rsidRPr="00FF56F4">
        <w:rPr>
          <w:rFonts w:ascii="Times New Roman" w:hAnsi="Times New Roman"/>
          <w:sz w:val="24"/>
        </w:rPr>
        <w:t xml:space="preserve">be made </w:t>
      </w:r>
      <w:r w:rsidR="008A7F2B" w:rsidRPr="00FF56F4">
        <w:rPr>
          <w:rFonts w:ascii="Times New Roman" w:hAnsi="Times New Roman"/>
          <w:sz w:val="24"/>
        </w:rPr>
        <w:t xml:space="preserve">based </w:t>
      </w:r>
      <w:r w:rsidR="007C6DF4" w:rsidRPr="00FF56F4">
        <w:rPr>
          <w:rFonts w:ascii="Times New Roman" w:hAnsi="Times New Roman"/>
          <w:sz w:val="24"/>
        </w:rPr>
        <w:t xml:space="preserve">on </w:t>
      </w:r>
      <w:r w:rsidR="008A7F2B" w:rsidRPr="00FF56F4">
        <w:rPr>
          <w:rFonts w:ascii="Times New Roman" w:hAnsi="Times New Roman"/>
          <w:sz w:val="24"/>
        </w:rPr>
        <w:t xml:space="preserve">the </w:t>
      </w:r>
      <w:r w:rsidR="007C6DF4" w:rsidRPr="00FF56F4">
        <w:rPr>
          <w:rFonts w:ascii="Times New Roman" w:hAnsi="Times New Roman"/>
          <w:sz w:val="24"/>
        </w:rPr>
        <w:t>fundamentals of tort law – foreseeability, causation, and discernible harm.</w:t>
      </w:r>
      <w:r w:rsidR="00AF6141" w:rsidRPr="00FF56F4">
        <w:rPr>
          <w:rFonts w:ascii="Times New Roman" w:hAnsi="Times New Roman"/>
          <w:sz w:val="24"/>
        </w:rPr>
        <w:tab/>
      </w:r>
      <w:r w:rsidR="007C6DF4" w:rsidRPr="00FF56F4">
        <w:rPr>
          <w:rFonts w:ascii="Times New Roman" w:hAnsi="Times New Roman"/>
          <w:i/>
          <w:iCs/>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7C6DF4" w:rsidRPr="00FF56F4">
        <w:rPr>
          <w:rFonts w:ascii="Times New Roman" w:hAnsi="Times New Roman"/>
          <w:sz w:val="24"/>
        </w:rPr>
        <w:tab/>
      </w:r>
      <w:r w:rsidR="00AF6141" w:rsidRPr="00FF56F4">
        <w:rPr>
          <w:rFonts w:ascii="Times New Roman" w:hAnsi="Times New Roman"/>
          <w:sz w:val="24"/>
        </w:rPr>
        <w:tab/>
      </w:r>
      <w:r w:rsidR="00342D6E" w:rsidRPr="00FF56F4">
        <w:rPr>
          <w:rFonts w:ascii="Times New Roman" w:hAnsi="Times New Roman"/>
          <w:b/>
          <w:bCs/>
          <w:sz w:val="24"/>
        </w:rPr>
        <w:t>(Exhibi</w:t>
      </w:r>
      <w:r w:rsidR="00FF56F4" w:rsidRPr="00FF56F4">
        <w:rPr>
          <w:rFonts w:ascii="Times New Roman" w:hAnsi="Times New Roman"/>
          <w:b/>
          <w:bCs/>
          <w:sz w:val="24"/>
        </w:rPr>
        <w:t>t 20)</w:t>
      </w:r>
    </w:p>
    <w:p w14:paraId="7CE859D3" w14:textId="77777777" w:rsidR="00FF56F4" w:rsidRPr="00FF56F4" w:rsidRDefault="00FF56F4" w:rsidP="00FF56F4">
      <w:pPr>
        <w:pStyle w:val="ListParagraph"/>
        <w:spacing w:after="160" w:line="259" w:lineRule="auto"/>
        <w:ind w:left="1440"/>
        <w:contextualSpacing/>
        <w:rPr>
          <w:rFonts w:ascii="Times New Roman" w:hAnsi="Times New Roman"/>
          <w:i/>
          <w:iCs/>
          <w:sz w:val="24"/>
        </w:rPr>
      </w:pPr>
    </w:p>
    <w:p w14:paraId="77F47623" w14:textId="7FC4DC3C" w:rsidR="00386E8E" w:rsidRPr="00386E8E" w:rsidRDefault="00386E8E" w:rsidP="00046E49">
      <w:pPr>
        <w:pStyle w:val="ListParagraph"/>
        <w:numPr>
          <w:ilvl w:val="1"/>
          <w:numId w:val="15"/>
        </w:numPr>
        <w:spacing w:after="160" w:line="259" w:lineRule="auto"/>
        <w:contextualSpacing/>
        <w:rPr>
          <w:rFonts w:ascii="Times New Roman" w:hAnsi="Times New Roman"/>
          <w:sz w:val="24"/>
        </w:rPr>
      </w:pPr>
      <w:r>
        <w:rPr>
          <w:rFonts w:ascii="Times New Roman" w:hAnsi="Times New Roman"/>
          <w:i/>
          <w:iCs/>
          <w:sz w:val="24"/>
        </w:rPr>
        <w:t>Ferreira v City of Binghamton</w:t>
      </w:r>
      <w:r>
        <w:rPr>
          <w:rFonts w:ascii="Times New Roman" w:hAnsi="Times New Roman"/>
          <w:sz w:val="24"/>
        </w:rPr>
        <w:t xml:space="preserve">, </w:t>
      </w:r>
      <w:r w:rsidR="00FF56F4">
        <w:rPr>
          <w:rFonts w:ascii="Times New Roman" w:hAnsi="Times New Roman"/>
          <w:sz w:val="24"/>
        </w:rPr>
        <w:t xml:space="preserve">US </w:t>
      </w:r>
      <w:proofErr w:type="spellStart"/>
      <w:r w:rsidR="00FF56F4">
        <w:rPr>
          <w:rFonts w:ascii="Times New Roman" w:hAnsi="Times New Roman"/>
          <w:sz w:val="24"/>
        </w:rPr>
        <w:t>Dist</w:t>
      </w:r>
      <w:proofErr w:type="spellEnd"/>
      <w:r w:rsidR="00FF56F4">
        <w:rPr>
          <w:rFonts w:ascii="Times New Roman" w:hAnsi="Times New Roman"/>
          <w:sz w:val="24"/>
        </w:rPr>
        <w:t xml:space="preserve"> Ct, ND NY, 13-Civ-107</w:t>
      </w:r>
      <w:r w:rsidR="00C35621">
        <w:rPr>
          <w:rFonts w:ascii="Times New Roman" w:hAnsi="Times New Roman"/>
          <w:sz w:val="24"/>
        </w:rPr>
        <w:t xml:space="preserve"> (</w:t>
      </w:r>
      <w:r w:rsidR="00FF56F4">
        <w:rPr>
          <w:rFonts w:ascii="Times New Roman" w:hAnsi="Times New Roman"/>
          <w:sz w:val="24"/>
        </w:rPr>
        <w:t>McAvoy, J. 2017</w:t>
      </w:r>
      <w:r w:rsidR="00C35621">
        <w:rPr>
          <w:rFonts w:ascii="Times New Roman" w:hAnsi="Times New Roman"/>
          <w:sz w:val="24"/>
        </w:rPr>
        <w:t xml:space="preserve">), on appeal </w:t>
      </w:r>
      <w:r>
        <w:rPr>
          <w:rFonts w:ascii="Times New Roman" w:hAnsi="Times New Roman"/>
          <w:sz w:val="24"/>
        </w:rPr>
        <w:t xml:space="preserve">975 F3d 255 (2d Cir 2020, </w:t>
      </w:r>
      <w:proofErr w:type="spellStart"/>
      <w:r>
        <w:rPr>
          <w:rFonts w:ascii="Times New Roman" w:hAnsi="Times New Roman"/>
          <w:sz w:val="24"/>
        </w:rPr>
        <w:t>Leval</w:t>
      </w:r>
      <w:proofErr w:type="spellEnd"/>
      <w:r>
        <w:rPr>
          <w:rFonts w:ascii="Times New Roman" w:hAnsi="Times New Roman"/>
          <w:sz w:val="24"/>
        </w:rPr>
        <w:t xml:space="preserve">, J.), </w:t>
      </w:r>
      <w:r>
        <w:rPr>
          <w:rFonts w:ascii="Times New Roman" w:hAnsi="Times New Roman"/>
          <w:i/>
          <w:iCs/>
          <w:sz w:val="24"/>
        </w:rPr>
        <w:t xml:space="preserve">cert. accepted </w:t>
      </w:r>
      <w:r>
        <w:rPr>
          <w:rFonts w:ascii="Times New Roman" w:hAnsi="Times New Roman"/>
          <w:sz w:val="24"/>
        </w:rPr>
        <w:t>35 NY3d 1105 (Oct. 20, 2020) – Unarmed plaintiff, a guest in the apartment</w:t>
      </w:r>
      <w:r w:rsidR="00132940">
        <w:rPr>
          <w:rFonts w:ascii="Times New Roman" w:hAnsi="Times New Roman"/>
          <w:sz w:val="24"/>
        </w:rPr>
        <w:t xml:space="preserve"> and not the subject of </w:t>
      </w:r>
      <w:r w:rsidR="00387352">
        <w:rPr>
          <w:rFonts w:ascii="Times New Roman" w:hAnsi="Times New Roman"/>
          <w:sz w:val="24"/>
        </w:rPr>
        <w:t>a</w:t>
      </w:r>
      <w:r w:rsidR="00132940">
        <w:rPr>
          <w:rFonts w:ascii="Times New Roman" w:hAnsi="Times New Roman"/>
          <w:sz w:val="24"/>
        </w:rPr>
        <w:t xml:space="preserve"> warrant</w:t>
      </w:r>
      <w:r>
        <w:rPr>
          <w:rFonts w:ascii="Times New Roman" w:hAnsi="Times New Roman"/>
          <w:sz w:val="24"/>
        </w:rPr>
        <w:t xml:space="preserve">, was shot in the stomach by a police officer in the course of </w:t>
      </w:r>
      <w:r w:rsidR="00387352">
        <w:rPr>
          <w:rFonts w:ascii="Times New Roman" w:hAnsi="Times New Roman"/>
          <w:sz w:val="24"/>
        </w:rPr>
        <w:t xml:space="preserve">botched </w:t>
      </w:r>
      <w:r>
        <w:rPr>
          <w:rFonts w:ascii="Times New Roman" w:hAnsi="Times New Roman"/>
          <w:sz w:val="24"/>
        </w:rPr>
        <w:t xml:space="preserve">no-knock warrant within a second or two the police knocked the door down and the first officer rushed into the apartment. </w:t>
      </w:r>
      <w:r w:rsidR="00132940">
        <w:rPr>
          <w:rFonts w:ascii="Times New Roman" w:hAnsi="Times New Roman"/>
          <w:sz w:val="24"/>
        </w:rPr>
        <w:t>The Second Circu</w:t>
      </w:r>
      <w:r w:rsidR="00132940" w:rsidRPr="00132940">
        <w:rPr>
          <w:rFonts w:ascii="Times New Roman" w:hAnsi="Times New Roman"/>
          <w:sz w:val="24"/>
        </w:rPr>
        <w:t>it certified the following question to the New York Court of Appeals: “</w:t>
      </w:r>
      <w:r w:rsidR="00132940" w:rsidRPr="00132940">
        <w:rPr>
          <w:rFonts w:ascii="Times New Roman" w:hAnsi="Times New Roman" w:cs="Arial"/>
          <w:color w:val="212121"/>
          <w:sz w:val="24"/>
          <w:szCs w:val="21"/>
        </w:rPr>
        <w:t xml:space="preserve">Does the </w:t>
      </w:r>
      <w:r w:rsidR="00132940">
        <w:rPr>
          <w:rFonts w:ascii="Times New Roman" w:hAnsi="Times New Roman" w:cs="Arial"/>
          <w:color w:val="212121"/>
          <w:sz w:val="24"/>
          <w:szCs w:val="21"/>
        </w:rPr>
        <w:t>‘</w:t>
      </w:r>
      <w:r w:rsidR="00132940" w:rsidRPr="00132940">
        <w:rPr>
          <w:rFonts w:ascii="Times New Roman" w:hAnsi="Times New Roman" w:cs="Arial"/>
          <w:color w:val="212121"/>
          <w:sz w:val="24"/>
          <w:szCs w:val="21"/>
        </w:rPr>
        <w:t>special duty</w:t>
      </w:r>
      <w:r w:rsidR="00132940">
        <w:rPr>
          <w:rFonts w:ascii="Times New Roman" w:hAnsi="Times New Roman" w:cs="Arial"/>
          <w:color w:val="212121"/>
          <w:sz w:val="24"/>
          <w:szCs w:val="21"/>
        </w:rPr>
        <w:t>’</w:t>
      </w:r>
      <w:r w:rsidR="00132940" w:rsidRPr="00132940">
        <w:rPr>
          <w:rFonts w:ascii="Times New Roman" w:hAnsi="Times New Roman" w:cs="Arial"/>
          <w:color w:val="212121"/>
          <w:sz w:val="24"/>
          <w:szCs w:val="21"/>
        </w:rPr>
        <w:t xml:space="preserve"> requirement—that, to sustain liability in negligence against a municipality, the plaintiff must show that the duty breached is greater than that owed to the public generally—apply to claims of injury inflicted through municipal negligence, or does it apply only when the municipality</w:t>
      </w:r>
      <w:r w:rsidR="00132940">
        <w:rPr>
          <w:rFonts w:ascii="Times New Roman" w:hAnsi="Times New Roman" w:cs="Arial"/>
          <w:color w:val="212121"/>
          <w:sz w:val="24"/>
          <w:szCs w:val="21"/>
        </w:rPr>
        <w:t>’</w:t>
      </w:r>
      <w:r w:rsidR="00132940" w:rsidRPr="00132940">
        <w:rPr>
          <w:rFonts w:ascii="Times New Roman" w:hAnsi="Times New Roman" w:cs="Arial"/>
          <w:color w:val="212121"/>
          <w:sz w:val="24"/>
          <w:szCs w:val="21"/>
        </w:rPr>
        <w:t>s negligence lies in its failure to protect the plaintiff from an injury inflicted other than by a municipal employee?”</w:t>
      </w:r>
      <w:r w:rsidR="00132940">
        <w:rPr>
          <w:rFonts w:ascii="Times New Roman" w:hAnsi="Times New Roman" w:cs="Arial"/>
          <w:color w:val="212121"/>
          <w:sz w:val="24"/>
          <w:szCs w:val="21"/>
        </w:rPr>
        <w:t xml:space="preserve"> In other words, does a claim for municipal negligence </w:t>
      </w:r>
      <w:r w:rsidR="00911A2D">
        <w:rPr>
          <w:rFonts w:ascii="Times New Roman" w:hAnsi="Times New Roman" w:cs="Arial"/>
          <w:color w:val="212121"/>
          <w:sz w:val="24"/>
          <w:szCs w:val="21"/>
        </w:rPr>
        <w:t>must</w:t>
      </w:r>
      <w:r w:rsidR="00132940">
        <w:rPr>
          <w:rFonts w:ascii="Times New Roman" w:hAnsi="Times New Roman" w:cs="Arial"/>
          <w:color w:val="212121"/>
          <w:sz w:val="24"/>
          <w:szCs w:val="21"/>
        </w:rPr>
        <w:t xml:space="preserve"> thread through the “special duty” needle.</w:t>
      </w:r>
      <w:r w:rsidR="00911A2D">
        <w:rPr>
          <w:rFonts w:ascii="Times New Roman" w:hAnsi="Times New Roman" w:cs="Arial"/>
          <w:color w:val="212121"/>
          <w:sz w:val="24"/>
          <w:szCs w:val="21"/>
        </w:rPr>
        <w:t xml:space="preserve"> </w:t>
      </w:r>
      <w:r w:rsidR="00132940">
        <w:rPr>
          <w:rFonts w:ascii="Times New Roman" w:hAnsi="Times New Roman" w:cs="Arial"/>
          <w:color w:val="212121"/>
          <w:sz w:val="24"/>
          <w:szCs w:val="21"/>
        </w:rPr>
        <w:t xml:space="preserve"> </w:t>
      </w:r>
      <w:r w:rsidR="00F76ADE">
        <w:rPr>
          <w:rFonts w:ascii="Times New Roman" w:hAnsi="Times New Roman" w:cs="Arial"/>
          <w:color w:val="212121"/>
          <w:sz w:val="24"/>
          <w:szCs w:val="21"/>
        </w:rPr>
        <w:tab/>
      </w:r>
      <w:r w:rsidR="0073038F">
        <w:rPr>
          <w:rFonts w:ascii="Times New Roman" w:hAnsi="Times New Roman" w:cs="Arial"/>
          <w:color w:val="212121"/>
          <w:sz w:val="24"/>
          <w:szCs w:val="21"/>
        </w:rPr>
        <w:tab/>
      </w:r>
      <w:r w:rsidR="0073038F">
        <w:rPr>
          <w:rFonts w:ascii="Times New Roman" w:hAnsi="Times New Roman" w:cs="Arial"/>
          <w:color w:val="212121"/>
          <w:sz w:val="24"/>
          <w:szCs w:val="21"/>
        </w:rPr>
        <w:tab/>
      </w:r>
      <w:r w:rsidR="0073038F">
        <w:rPr>
          <w:rFonts w:ascii="Times New Roman" w:hAnsi="Times New Roman" w:cs="Arial"/>
          <w:color w:val="212121"/>
          <w:sz w:val="24"/>
          <w:szCs w:val="21"/>
        </w:rPr>
        <w:tab/>
      </w:r>
      <w:r w:rsidR="00F76ADE" w:rsidRPr="00FF56F4">
        <w:rPr>
          <w:rFonts w:ascii="Times New Roman" w:hAnsi="Times New Roman" w:cs="Arial"/>
          <w:b/>
          <w:bCs/>
          <w:color w:val="212121"/>
          <w:sz w:val="24"/>
          <w:szCs w:val="21"/>
        </w:rPr>
        <w:t>(</w:t>
      </w:r>
      <w:r w:rsidR="00F76ADE" w:rsidRPr="00F76ADE">
        <w:rPr>
          <w:rFonts w:ascii="Times New Roman" w:hAnsi="Times New Roman" w:cs="Arial"/>
          <w:b/>
          <w:bCs/>
          <w:color w:val="212121"/>
          <w:sz w:val="24"/>
          <w:szCs w:val="21"/>
        </w:rPr>
        <w:t>Exhibit</w:t>
      </w:r>
      <w:r w:rsidR="00C35621">
        <w:rPr>
          <w:rFonts w:ascii="Times New Roman" w:hAnsi="Times New Roman" w:cs="Arial"/>
          <w:b/>
          <w:bCs/>
          <w:color w:val="212121"/>
          <w:sz w:val="24"/>
          <w:szCs w:val="21"/>
        </w:rPr>
        <w:t>s</w:t>
      </w:r>
      <w:r w:rsidR="00F76ADE" w:rsidRPr="00F76ADE">
        <w:rPr>
          <w:rFonts w:ascii="Times New Roman" w:hAnsi="Times New Roman" w:cs="Arial"/>
          <w:b/>
          <w:bCs/>
          <w:color w:val="212121"/>
          <w:sz w:val="24"/>
          <w:szCs w:val="21"/>
        </w:rPr>
        <w:t xml:space="preserve"> </w:t>
      </w:r>
      <w:r w:rsidR="00FF56F4">
        <w:rPr>
          <w:rFonts w:ascii="Times New Roman" w:hAnsi="Times New Roman" w:cs="Arial"/>
          <w:b/>
          <w:bCs/>
          <w:color w:val="212121"/>
          <w:sz w:val="24"/>
          <w:szCs w:val="21"/>
        </w:rPr>
        <w:t>21</w:t>
      </w:r>
      <w:r w:rsidR="00C35621">
        <w:rPr>
          <w:rFonts w:ascii="Times New Roman" w:hAnsi="Times New Roman" w:cs="Arial"/>
          <w:b/>
          <w:bCs/>
          <w:color w:val="212121"/>
          <w:sz w:val="24"/>
          <w:szCs w:val="21"/>
        </w:rPr>
        <w:t xml:space="preserve"> &amp; 22</w:t>
      </w:r>
      <w:r w:rsidR="00F76ADE" w:rsidRPr="00FF56F4">
        <w:rPr>
          <w:rFonts w:ascii="Times New Roman" w:hAnsi="Times New Roman" w:cs="Arial"/>
          <w:b/>
          <w:bCs/>
          <w:color w:val="212121"/>
          <w:sz w:val="24"/>
          <w:szCs w:val="21"/>
        </w:rPr>
        <w:t>)</w:t>
      </w:r>
    </w:p>
    <w:p w14:paraId="40241B96" w14:textId="77777777" w:rsidR="00F76ADE" w:rsidRPr="00F76ADE" w:rsidRDefault="00F76ADE" w:rsidP="00F76ADE">
      <w:pPr>
        <w:pStyle w:val="ListParagraph"/>
        <w:spacing w:after="160" w:line="259" w:lineRule="auto"/>
        <w:ind w:left="1440"/>
        <w:contextualSpacing/>
        <w:rPr>
          <w:rFonts w:ascii="Times New Roman" w:hAnsi="Times New Roman"/>
          <w:sz w:val="24"/>
        </w:rPr>
      </w:pPr>
    </w:p>
    <w:p w14:paraId="2A9C78D7" w14:textId="20B453C2" w:rsidR="009C3C92" w:rsidRPr="009C3C92" w:rsidRDefault="00104EC8" w:rsidP="009C3C92">
      <w:pPr>
        <w:pStyle w:val="ListParagraph"/>
        <w:numPr>
          <w:ilvl w:val="1"/>
          <w:numId w:val="15"/>
        </w:numPr>
        <w:spacing w:after="160" w:line="259" w:lineRule="auto"/>
        <w:contextualSpacing/>
        <w:rPr>
          <w:rFonts w:ascii="Times New Roman" w:hAnsi="Times New Roman"/>
          <w:sz w:val="24"/>
        </w:rPr>
      </w:pPr>
      <w:proofErr w:type="spellStart"/>
      <w:r w:rsidRPr="00104EC8">
        <w:rPr>
          <w:rFonts w:ascii="Times New Roman" w:hAnsi="Times New Roman"/>
          <w:i/>
          <w:iCs/>
          <w:sz w:val="24"/>
        </w:rPr>
        <w:t>Reames</w:t>
      </w:r>
      <w:proofErr w:type="spellEnd"/>
      <w:r w:rsidRPr="00104EC8">
        <w:rPr>
          <w:rFonts w:ascii="Times New Roman" w:hAnsi="Times New Roman"/>
          <w:i/>
          <w:iCs/>
          <w:sz w:val="24"/>
        </w:rPr>
        <w:t xml:space="preserve"> v State</w:t>
      </w:r>
      <w:r w:rsidRPr="00104EC8">
        <w:rPr>
          <w:rFonts w:ascii="Times New Roman" w:hAnsi="Times New Roman"/>
          <w:sz w:val="24"/>
        </w:rPr>
        <w:t xml:space="preserve">, </w:t>
      </w:r>
      <w:r w:rsidR="00676AA5">
        <w:rPr>
          <w:rFonts w:ascii="Times New Roman" w:hAnsi="Times New Roman"/>
          <w:sz w:val="24"/>
        </w:rPr>
        <w:t>191</w:t>
      </w:r>
      <w:r w:rsidRPr="00104EC8">
        <w:rPr>
          <w:rFonts w:ascii="Times New Roman" w:hAnsi="Times New Roman"/>
          <w:sz w:val="24"/>
        </w:rPr>
        <w:t xml:space="preserve"> AD3d </w:t>
      </w:r>
      <w:r w:rsidR="00676AA5">
        <w:rPr>
          <w:rFonts w:ascii="Times New Roman" w:hAnsi="Times New Roman"/>
          <w:sz w:val="24"/>
        </w:rPr>
        <w:t xml:space="preserve">1304 </w:t>
      </w:r>
      <w:r w:rsidRPr="00104EC8">
        <w:rPr>
          <w:rFonts w:ascii="Times New Roman" w:hAnsi="Times New Roman"/>
          <w:sz w:val="24"/>
        </w:rPr>
        <w:t>(4th Dept</w:t>
      </w:r>
      <w:r w:rsidR="00676AA5">
        <w:rPr>
          <w:rFonts w:ascii="Times New Roman" w:hAnsi="Times New Roman"/>
          <w:sz w:val="24"/>
        </w:rPr>
        <w:t xml:space="preserve">, Feb. 5, </w:t>
      </w:r>
      <w:r w:rsidRPr="00104EC8">
        <w:rPr>
          <w:rFonts w:ascii="Times New Roman" w:hAnsi="Times New Roman"/>
          <w:sz w:val="24"/>
        </w:rPr>
        <w:t xml:space="preserve">2021, </w:t>
      </w:r>
      <w:proofErr w:type="spellStart"/>
      <w:r w:rsidRPr="00104EC8">
        <w:rPr>
          <w:rFonts w:ascii="Times New Roman" w:hAnsi="Times New Roman"/>
          <w:sz w:val="24"/>
        </w:rPr>
        <w:t>NeMoyer</w:t>
      </w:r>
      <w:proofErr w:type="spellEnd"/>
      <w:r w:rsidRPr="00104EC8">
        <w:rPr>
          <w:rFonts w:ascii="Times New Roman" w:hAnsi="Times New Roman"/>
          <w:sz w:val="24"/>
        </w:rPr>
        <w:t xml:space="preserve">, Curran, J.J., </w:t>
      </w:r>
      <w:r w:rsidRPr="00104EC8">
        <w:rPr>
          <w:rFonts w:ascii="Times New Roman" w:hAnsi="Times New Roman"/>
          <w:i/>
          <w:iCs/>
          <w:sz w:val="24"/>
        </w:rPr>
        <w:t>dissenting</w:t>
      </w:r>
      <w:r w:rsidRPr="00104EC8">
        <w:rPr>
          <w:rFonts w:ascii="Times New Roman" w:hAnsi="Times New Roman"/>
          <w:sz w:val="24"/>
        </w:rPr>
        <w:t>) – “but for” vs. “proximate cause” and the effect of each.</w:t>
      </w:r>
      <w:r>
        <w:rPr>
          <w:rFonts w:ascii="Times New Roman" w:hAnsi="Times New Roman"/>
          <w:sz w:val="24"/>
        </w:rPr>
        <w:t xml:space="preserve"> “In our view, applying a ‘but for’ causation ‘would relieve from liability a negligent actor if the same harm might have been sustained had the actor not been negligent, yet the law is clear that that fact may be considered in fixing damages but does not relieve from liability’ (1A NY PJI3d 2:70 at 435 [2020], citing </w:t>
      </w:r>
      <w:r>
        <w:rPr>
          <w:rFonts w:ascii="Times New Roman" w:hAnsi="Times New Roman"/>
          <w:i/>
          <w:iCs/>
          <w:sz w:val="24"/>
        </w:rPr>
        <w:t>Dunham v Village of Canisteo</w:t>
      </w:r>
      <w:r>
        <w:rPr>
          <w:rFonts w:ascii="Times New Roman" w:hAnsi="Times New Roman"/>
          <w:sz w:val="24"/>
        </w:rPr>
        <w:t>, 303 NY 498, 505-506 [1952]).”</w:t>
      </w:r>
      <w:r w:rsidR="004F514D">
        <w:rPr>
          <w:rStyle w:val="FootnoteReference"/>
          <w:rFonts w:ascii="Times New Roman" w:hAnsi="Times New Roman"/>
          <w:sz w:val="24"/>
        </w:rPr>
        <w:footnoteReference w:id="1"/>
      </w:r>
      <w:r w:rsidR="00C35621">
        <w:rPr>
          <w:rFonts w:ascii="Times New Roman" w:hAnsi="Times New Roman"/>
          <w:sz w:val="24"/>
        </w:rPr>
        <w:tab/>
      </w:r>
      <w:r w:rsidR="00C35621">
        <w:rPr>
          <w:rFonts w:ascii="Times New Roman" w:hAnsi="Times New Roman"/>
          <w:sz w:val="24"/>
        </w:rPr>
        <w:tab/>
      </w:r>
      <w:r w:rsidR="00C35621">
        <w:rPr>
          <w:rFonts w:ascii="Times New Roman" w:hAnsi="Times New Roman"/>
          <w:sz w:val="24"/>
        </w:rPr>
        <w:tab/>
      </w:r>
      <w:r w:rsidR="00C35621" w:rsidRPr="00FF56F4">
        <w:rPr>
          <w:rFonts w:ascii="Times New Roman" w:hAnsi="Times New Roman" w:cs="Arial"/>
          <w:b/>
          <w:bCs/>
          <w:color w:val="212121"/>
          <w:sz w:val="24"/>
          <w:szCs w:val="21"/>
        </w:rPr>
        <w:t>(</w:t>
      </w:r>
      <w:r w:rsidR="00C35621" w:rsidRPr="00F76ADE">
        <w:rPr>
          <w:rFonts w:ascii="Times New Roman" w:hAnsi="Times New Roman" w:cs="Arial"/>
          <w:b/>
          <w:bCs/>
          <w:color w:val="212121"/>
          <w:sz w:val="24"/>
          <w:szCs w:val="21"/>
        </w:rPr>
        <w:t>Exhibit</w:t>
      </w:r>
      <w:r w:rsidR="00C35621">
        <w:rPr>
          <w:rFonts w:ascii="Times New Roman" w:hAnsi="Times New Roman" w:cs="Arial"/>
          <w:b/>
          <w:bCs/>
          <w:color w:val="212121"/>
          <w:sz w:val="24"/>
          <w:szCs w:val="21"/>
        </w:rPr>
        <w:t>s</w:t>
      </w:r>
      <w:r w:rsidR="00C35621" w:rsidRPr="00F76ADE">
        <w:rPr>
          <w:rFonts w:ascii="Times New Roman" w:hAnsi="Times New Roman" w:cs="Arial"/>
          <w:b/>
          <w:bCs/>
          <w:color w:val="212121"/>
          <w:sz w:val="24"/>
          <w:szCs w:val="21"/>
        </w:rPr>
        <w:t xml:space="preserve"> </w:t>
      </w:r>
      <w:r w:rsidR="00C35621">
        <w:rPr>
          <w:rFonts w:ascii="Times New Roman" w:hAnsi="Times New Roman" w:cs="Arial"/>
          <w:b/>
          <w:bCs/>
          <w:color w:val="212121"/>
          <w:sz w:val="24"/>
          <w:szCs w:val="21"/>
        </w:rPr>
        <w:t>23)</w:t>
      </w:r>
    </w:p>
    <w:p w14:paraId="6C3DF2DB" w14:textId="77777777" w:rsidR="009C3C92" w:rsidRDefault="009C3C92" w:rsidP="009C3C92">
      <w:pPr>
        <w:pStyle w:val="ListParagraph"/>
        <w:spacing w:after="160" w:line="259" w:lineRule="auto"/>
        <w:ind w:left="1440"/>
        <w:contextualSpacing/>
        <w:rPr>
          <w:rFonts w:ascii="Times New Roman" w:hAnsi="Times New Roman"/>
          <w:sz w:val="24"/>
        </w:rPr>
      </w:pPr>
    </w:p>
    <w:p w14:paraId="44CD8F2A" w14:textId="4FC24860" w:rsidR="009C3C92" w:rsidRPr="009C3C92" w:rsidRDefault="00046E49" w:rsidP="009C3C92">
      <w:pPr>
        <w:pStyle w:val="ListParagraph"/>
        <w:numPr>
          <w:ilvl w:val="1"/>
          <w:numId w:val="15"/>
        </w:numPr>
        <w:spacing w:after="160" w:line="259" w:lineRule="auto"/>
        <w:contextualSpacing/>
        <w:rPr>
          <w:rFonts w:ascii="Times New Roman" w:hAnsi="Times New Roman"/>
          <w:sz w:val="24"/>
        </w:rPr>
      </w:pPr>
      <w:r w:rsidRPr="00046E49">
        <w:rPr>
          <w:rFonts w:ascii="Times New Roman" w:hAnsi="Times New Roman"/>
          <w:sz w:val="24"/>
        </w:rPr>
        <w:t>Sinc</w:t>
      </w:r>
      <w:r>
        <w:rPr>
          <w:rFonts w:ascii="Times New Roman" w:hAnsi="Times New Roman"/>
          <w:sz w:val="24"/>
        </w:rPr>
        <w:t xml:space="preserve">e we are on the subject of causation, </w:t>
      </w:r>
      <w:r>
        <w:rPr>
          <w:rFonts w:ascii="Times New Roman" w:hAnsi="Times New Roman"/>
          <w:i/>
          <w:iCs/>
          <w:sz w:val="24"/>
        </w:rPr>
        <w:t xml:space="preserve">see N.W. v </w:t>
      </w:r>
      <w:r w:rsidR="008E4457">
        <w:rPr>
          <w:rFonts w:ascii="Times New Roman" w:hAnsi="Times New Roman"/>
          <w:i/>
          <w:iCs/>
          <w:sz w:val="24"/>
        </w:rPr>
        <w:t>Sanofi Pasteur MSD</w:t>
      </w:r>
      <w:r w:rsidR="008E4457">
        <w:rPr>
          <w:rFonts w:ascii="Times New Roman" w:hAnsi="Times New Roman"/>
          <w:sz w:val="24"/>
        </w:rPr>
        <w:t xml:space="preserve">, Case C-621/15, Ct of Justice of European Union (2017) – “Where there is lack of scientific consensus, the proof of the defect of the vaccine and of a causal link </w:t>
      </w:r>
      <w:r w:rsidR="008E4457">
        <w:rPr>
          <w:rFonts w:ascii="Times New Roman" w:hAnsi="Times New Roman"/>
          <w:sz w:val="24"/>
        </w:rPr>
        <w:lastRenderedPageBreak/>
        <w:t>between the defect and the damage suffered may be made out by serious, specific and consistent evidence.”</w:t>
      </w:r>
      <w:r w:rsidR="008E4457">
        <w:rPr>
          <w:rStyle w:val="FootnoteReference"/>
          <w:rFonts w:ascii="Times New Roman" w:hAnsi="Times New Roman"/>
          <w:sz w:val="24"/>
        </w:rPr>
        <w:footnoteReference w:id="2"/>
      </w:r>
      <w:r w:rsidR="008E4457">
        <w:rPr>
          <w:rFonts w:ascii="Times New Roman" w:hAnsi="Times New Roman"/>
          <w:sz w:val="24"/>
        </w:rPr>
        <w:t xml:space="preserve"> </w:t>
      </w:r>
      <w:r w:rsidR="00CF74CC">
        <w:rPr>
          <w:rFonts w:ascii="Times New Roman" w:hAnsi="Times New Roman"/>
          <w:sz w:val="24"/>
        </w:rPr>
        <w:tab/>
      </w:r>
      <w:r w:rsidR="00CF74CC">
        <w:rPr>
          <w:rFonts w:ascii="Times New Roman" w:hAnsi="Times New Roman"/>
          <w:sz w:val="24"/>
        </w:rPr>
        <w:tab/>
      </w:r>
      <w:r w:rsidR="00CF74CC">
        <w:rPr>
          <w:rFonts w:ascii="Times New Roman" w:hAnsi="Times New Roman"/>
          <w:sz w:val="24"/>
        </w:rPr>
        <w:tab/>
      </w:r>
      <w:r w:rsidR="00CF74CC">
        <w:rPr>
          <w:rFonts w:ascii="Times New Roman" w:hAnsi="Times New Roman"/>
          <w:sz w:val="24"/>
        </w:rPr>
        <w:tab/>
      </w:r>
      <w:r w:rsidR="00C35621">
        <w:rPr>
          <w:rFonts w:ascii="Times New Roman" w:hAnsi="Times New Roman"/>
          <w:sz w:val="24"/>
        </w:rPr>
        <w:t xml:space="preserve">    </w:t>
      </w:r>
      <w:proofErr w:type="gramStart"/>
      <w:r w:rsidR="00C35621">
        <w:rPr>
          <w:rFonts w:ascii="Times New Roman" w:hAnsi="Times New Roman"/>
          <w:sz w:val="24"/>
        </w:rPr>
        <w:t xml:space="preserve">   </w:t>
      </w:r>
      <w:r w:rsidR="00CF74CC" w:rsidRPr="00C35621">
        <w:rPr>
          <w:rFonts w:ascii="Times New Roman" w:hAnsi="Times New Roman"/>
          <w:b/>
          <w:bCs/>
          <w:sz w:val="24"/>
        </w:rPr>
        <w:t>(</w:t>
      </w:r>
      <w:proofErr w:type="gramEnd"/>
      <w:r w:rsidR="00CF74CC" w:rsidRPr="00C203DA">
        <w:rPr>
          <w:rFonts w:ascii="Times New Roman" w:hAnsi="Times New Roman"/>
          <w:b/>
          <w:bCs/>
          <w:sz w:val="24"/>
        </w:rPr>
        <w:t>Exhibit</w:t>
      </w:r>
      <w:r w:rsidR="00C35621">
        <w:rPr>
          <w:rFonts w:ascii="Times New Roman" w:hAnsi="Times New Roman"/>
          <w:b/>
          <w:bCs/>
          <w:sz w:val="24"/>
        </w:rPr>
        <w:t>s</w:t>
      </w:r>
      <w:r w:rsidR="00CF74CC" w:rsidRPr="00C203DA">
        <w:rPr>
          <w:rFonts w:ascii="Times New Roman" w:hAnsi="Times New Roman"/>
          <w:b/>
          <w:bCs/>
          <w:sz w:val="24"/>
        </w:rPr>
        <w:t xml:space="preserve"> </w:t>
      </w:r>
      <w:r w:rsidR="00C35621">
        <w:rPr>
          <w:rFonts w:ascii="Times New Roman" w:hAnsi="Times New Roman"/>
          <w:b/>
          <w:bCs/>
          <w:sz w:val="24"/>
        </w:rPr>
        <w:t>24, 25 &amp; 26)</w:t>
      </w:r>
    </w:p>
    <w:p w14:paraId="46094DC1" w14:textId="77777777" w:rsidR="009C3C92" w:rsidRPr="009C3C92" w:rsidRDefault="009C3C92" w:rsidP="009C3C92">
      <w:pPr>
        <w:pStyle w:val="ListParagraph"/>
        <w:spacing w:after="160" w:line="259" w:lineRule="auto"/>
        <w:ind w:left="1440"/>
        <w:contextualSpacing/>
        <w:rPr>
          <w:rFonts w:ascii="Times New Roman" w:hAnsi="Times New Roman"/>
          <w:sz w:val="24"/>
        </w:rPr>
      </w:pPr>
    </w:p>
    <w:p w14:paraId="21F3F8D9" w14:textId="287F2A12" w:rsidR="00C57752" w:rsidRDefault="00C57752" w:rsidP="00C57752">
      <w:pPr>
        <w:pStyle w:val="ListParagraph"/>
        <w:numPr>
          <w:ilvl w:val="1"/>
          <w:numId w:val="15"/>
        </w:numPr>
        <w:spacing w:after="160" w:line="259" w:lineRule="auto"/>
        <w:contextualSpacing/>
        <w:rPr>
          <w:rFonts w:ascii="Times New Roman" w:hAnsi="Times New Roman"/>
          <w:sz w:val="24"/>
        </w:rPr>
      </w:pPr>
      <w:r>
        <w:rPr>
          <w:rFonts w:ascii="Times New Roman" w:hAnsi="Times New Roman"/>
          <w:sz w:val="24"/>
        </w:rPr>
        <w:t>Article 53 of CPLR</w:t>
      </w:r>
    </w:p>
    <w:p w14:paraId="5DD2B72D" w14:textId="77777777" w:rsidR="00C57752" w:rsidRPr="00C57752" w:rsidRDefault="00C57752" w:rsidP="00C57752">
      <w:pPr>
        <w:pStyle w:val="ListParagraph"/>
        <w:spacing w:after="160" w:line="259" w:lineRule="auto"/>
        <w:ind w:left="2160"/>
        <w:contextualSpacing/>
        <w:rPr>
          <w:rFonts w:ascii="Times New Roman" w:hAnsi="Times New Roman"/>
          <w:sz w:val="24"/>
        </w:rPr>
      </w:pPr>
    </w:p>
    <w:p w14:paraId="6EDC0432" w14:textId="39C2357B" w:rsidR="00C57752" w:rsidRPr="00C57752" w:rsidRDefault="00C57752" w:rsidP="00C57752">
      <w:pPr>
        <w:pStyle w:val="ListParagraph"/>
        <w:numPr>
          <w:ilvl w:val="2"/>
          <w:numId w:val="15"/>
        </w:numPr>
        <w:spacing w:after="160" w:line="259" w:lineRule="auto"/>
        <w:contextualSpacing/>
        <w:rPr>
          <w:rFonts w:ascii="Times New Roman" w:hAnsi="Times New Roman"/>
          <w:sz w:val="24"/>
        </w:rPr>
      </w:pPr>
      <w:proofErr w:type="spellStart"/>
      <w:r w:rsidRPr="00C57752">
        <w:rPr>
          <w:rFonts w:ascii="Times New Roman" w:hAnsi="Times New Roman"/>
          <w:i/>
          <w:iCs/>
          <w:sz w:val="24"/>
        </w:rPr>
        <w:t>Akhmedova</w:t>
      </w:r>
      <w:proofErr w:type="spellEnd"/>
      <w:r w:rsidRPr="00C57752">
        <w:rPr>
          <w:rFonts w:ascii="Times New Roman" w:hAnsi="Times New Roman"/>
          <w:i/>
          <w:iCs/>
          <w:sz w:val="24"/>
        </w:rPr>
        <w:t xml:space="preserve"> v </w:t>
      </w:r>
      <w:proofErr w:type="spellStart"/>
      <w:r w:rsidRPr="00C57752">
        <w:rPr>
          <w:rFonts w:ascii="Times New Roman" w:hAnsi="Times New Roman"/>
          <w:i/>
          <w:iCs/>
          <w:sz w:val="24"/>
        </w:rPr>
        <w:t>Akhmedov</w:t>
      </w:r>
      <w:proofErr w:type="spellEnd"/>
      <w:r w:rsidRPr="00C57752">
        <w:rPr>
          <w:rFonts w:ascii="Times New Roman" w:hAnsi="Times New Roman"/>
          <w:sz w:val="24"/>
        </w:rPr>
        <w:t xml:space="preserve">, </w:t>
      </w:r>
      <w:r w:rsidRPr="00C57752">
        <w:rPr>
          <w:rFonts w:ascii="Times New Roman" w:eastAsia="ArialMT" w:hAnsi="Times New Roman" w:cs="ArialMT"/>
          <w:sz w:val="24"/>
          <w:szCs w:val="23"/>
        </w:rPr>
        <w:t>2020 NY Slip Op 30092(U)</w:t>
      </w:r>
      <w:r>
        <w:rPr>
          <w:rFonts w:ascii="Times New Roman" w:eastAsia="ArialMT" w:hAnsi="Times New Roman" w:cs="ArialMT"/>
          <w:sz w:val="24"/>
          <w:szCs w:val="23"/>
        </w:rPr>
        <w:t xml:space="preserve"> (Sup Ct, New York County 2020, Debra A. James, J.)</w:t>
      </w:r>
      <w:r>
        <w:rPr>
          <w:rFonts w:ascii="Times New Roman" w:eastAsia="ArialMT" w:hAnsi="Times New Roman" w:cs="ArialMT"/>
          <w:sz w:val="24"/>
          <w:szCs w:val="23"/>
        </w:rPr>
        <w:tab/>
      </w:r>
      <w:r>
        <w:rPr>
          <w:rFonts w:ascii="Times New Roman" w:eastAsia="ArialMT" w:hAnsi="Times New Roman" w:cs="ArialMT"/>
          <w:sz w:val="24"/>
          <w:szCs w:val="23"/>
        </w:rPr>
        <w:tab/>
      </w:r>
      <w:r>
        <w:rPr>
          <w:rFonts w:ascii="Times New Roman" w:eastAsia="ArialMT" w:hAnsi="Times New Roman" w:cs="ArialMT"/>
          <w:sz w:val="24"/>
          <w:szCs w:val="23"/>
        </w:rPr>
        <w:tab/>
      </w:r>
      <w:r>
        <w:rPr>
          <w:rFonts w:ascii="Times New Roman" w:eastAsia="ArialMT" w:hAnsi="Times New Roman" w:cs="ArialMT"/>
          <w:sz w:val="24"/>
          <w:szCs w:val="23"/>
        </w:rPr>
        <w:tab/>
      </w:r>
      <w:r w:rsidRPr="00C57752">
        <w:rPr>
          <w:rFonts w:ascii="Times New Roman" w:hAnsi="Times New Roman"/>
          <w:b/>
          <w:bCs/>
          <w:sz w:val="24"/>
        </w:rPr>
        <w:t>(Exhibit 2</w:t>
      </w:r>
      <w:r>
        <w:rPr>
          <w:rFonts w:ascii="Times New Roman" w:hAnsi="Times New Roman"/>
          <w:b/>
          <w:bCs/>
          <w:sz w:val="24"/>
        </w:rPr>
        <w:t>7</w:t>
      </w:r>
      <w:r w:rsidRPr="00C57752">
        <w:rPr>
          <w:rFonts w:ascii="Times New Roman" w:hAnsi="Times New Roman"/>
          <w:b/>
          <w:bCs/>
          <w:sz w:val="24"/>
        </w:rPr>
        <w:t>)</w:t>
      </w:r>
    </w:p>
    <w:p w14:paraId="78228683" w14:textId="77777777" w:rsidR="00C57752" w:rsidRDefault="00C57752" w:rsidP="00C57752">
      <w:pPr>
        <w:pStyle w:val="ListParagraph"/>
        <w:spacing w:after="160" w:line="259" w:lineRule="auto"/>
        <w:ind w:left="2160"/>
        <w:contextualSpacing/>
        <w:rPr>
          <w:rFonts w:ascii="Times New Roman" w:hAnsi="Times New Roman"/>
          <w:sz w:val="24"/>
        </w:rPr>
      </w:pPr>
    </w:p>
    <w:p w14:paraId="586CDBF2" w14:textId="30EB414A" w:rsidR="00C57752" w:rsidRDefault="00C57752" w:rsidP="00C57752">
      <w:pPr>
        <w:pStyle w:val="ListParagraph"/>
        <w:numPr>
          <w:ilvl w:val="2"/>
          <w:numId w:val="15"/>
        </w:numPr>
        <w:spacing w:after="160" w:line="259" w:lineRule="auto"/>
        <w:contextualSpacing/>
        <w:rPr>
          <w:rFonts w:ascii="Times New Roman" w:hAnsi="Times New Roman"/>
          <w:sz w:val="24"/>
        </w:rPr>
      </w:pPr>
      <w:proofErr w:type="spellStart"/>
      <w:r w:rsidRPr="00C57752">
        <w:rPr>
          <w:rFonts w:ascii="Times New Roman" w:hAnsi="Times New Roman"/>
          <w:i/>
          <w:iCs/>
          <w:sz w:val="24"/>
        </w:rPr>
        <w:t>Akhmedova</w:t>
      </w:r>
      <w:proofErr w:type="spellEnd"/>
      <w:r w:rsidRPr="00C57752">
        <w:rPr>
          <w:rFonts w:ascii="Times New Roman" w:hAnsi="Times New Roman"/>
          <w:i/>
          <w:iCs/>
          <w:sz w:val="24"/>
        </w:rPr>
        <w:t xml:space="preserve"> v </w:t>
      </w:r>
      <w:proofErr w:type="spellStart"/>
      <w:r w:rsidRPr="00C57752">
        <w:rPr>
          <w:rFonts w:ascii="Times New Roman" w:hAnsi="Times New Roman"/>
          <w:i/>
          <w:iCs/>
          <w:sz w:val="24"/>
        </w:rPr>
        <w:t>Akhmedov</w:t>
      </w:r>
      <w:proofErr w:type="spellEnd"/>
      <w:r w:rsidRPr="00C57752">
        <w:rPr>
          <w:rFonts w:ascii="Times New Roman" w:hAnsi="Times New Roman"/>
          <w:sz w:val="24"/>
        </w:rPr>
        <w:t xml:space="preserve">, </w:t>
      </w:r>
      <w:r>
        <w:rPr>
          <w:rFonts w:ascii="Times New Roman" w:hAnsi="Times New Roman"/>
          <w:sz w:val="24"/>
        </w:rPr>
        <w:t>189 AD3d 602 (1st Dept, Dec. 22, 2020)</w:t>
      </w:r>
    </w:p>
    <w:p w14:paraId="168E59A9" w14:textId="01E3172C" w:rsidR="00C57752" w:rsidRDefault="00C57752" w:rsidP="00C57752">
      <w:pPr>
        <w:pStyle w:val="ListParagraph"/>
        <w:spacing w:after="160" w:line="259" w:lineRule="auto"/>
        <w:ind w:left="7200" w:firstLine="720"/>
        <w:contextualSpacing/>
        <w:rPr>
          <w:rFonts w:ascii="Times New Roman" w:hAnsi="Times New Roman"/>
          <w:b/>
          <w:bCs/>
          <w:sz w:val="24"/>
        </w:rPr>
      </w:pPr>
      <w:r w:rsidRPr="00C35621">
        <w:rPr>
          <w:rFonts w:ascii="Times New Roman" w:hAnsi="Times New Roman"/>
          <w:b/>
          <w:bCs/>
          <w:sz w:val="24"/>
        </w:rPr>
        <w:t>(</w:t>
      </w:r>
      <w:r w:rsidRPr="000618FF">
        <w:rPr>
          <w:rFonts w:ascii="Times New Roman" w:hAnsi="Times New Roman"/>
          <w:b/>
          <w:bCs/>
          <w:sz w:val="24"/>
        </w:rPr>
        <w:t xml:space="preserve">Exhibit </w:t>
      </w:r>
      <w:r>
        <w:rPr>
          <w:rFonts w:ascii="Times New Roman" w:hAnsi="Times New Roman"/>
          <w:b/>
          <w:bCs/>
          <w:sz w:val="24"/>
        </w:rPr>
        <w:t>28)</w:t>
      </w:r>
    </w:p>
    <w:p w14:paraId="7FFCAF00" w14:textId="77777777" w:rsidR="00C57752" w:rsidRDefault="00C57752" w:rsidP="00C57752">
      <w:pPr>
        <w:pStyle w:val="ListParagraph"/>
        <w:spacing w:after="160" w:line="259" w:lineRule="auto"/>
        <w:ind w:left="7200" w:firstLine="720"/>
        <w:contextualSpacing/>
        <w:rPr>
          <w:rFonts w:ascii="Times New Roman" w:hAnsi="Times New Roman"/>
          <w:b/>
          <w:bCs/>
          <w:sz w:val="24"/>
        </w:rPr>
      </w:pPr>
    </w:p>
    <w:p w14:paraId="0B1BAE6C" w14:textId="77777777" w:rsidR="00C57752" w:rsidRPr="00C57752" w:rsidRDefault="00C57752" w:rsidP="00C57752">
      <w:pPr>
        <w:pStyle w:val="ListParagraph"/>
        <w:numPr>
          <w:ilvl w:val="2"/>
          <w:numId w:val="15"/>
        </w:numPr>
        <w:shd w:val="clear" w:color="auto" w:fill="FFFFFF"/>
        <w:spacing w:before="100"/>
        <w:ind w:right="720"/>
        <w:textAlignment w:val="baseline"/>
        <w:rPr>
          <w:rFonts w:ascii="Georgia" w:hAnsi="Georgia" w:cs="Segoe UI"/>
          <w:color w:val="000000"/>
        </w:rPr>
      </w:pPr>
      <w:proofErr w:type="spellStart"/>
      <w:r w:rsidRPr="00C57752">
        <w:rPr>
          <w:rFonts w:ascii="Times New Roman" w:hAnsi="Times New Roman"/>
          <w:i/>
          <w:iCs/>
          <w:sz w:val="24"/>
        </w:rPr>
        <w:t>Akhmedova</w:t>
      </w:r>
      <w:proofErr w:type="spellEnd"/>
      <w:r w:rsidRPr="00C57752">
        <w:rPr>
          <w:rFonts w:ascii="Times New Roman" w:hAnsi="Times New Roman"/>
          <w:i/>
          <w:iCs/>
          <w:sz w:val="24"/>
        </w:rPr>
        <w:t xml:space="preserve"> v </w:t>
      </w:r>
      <w:proofErr w:type="spellStart"/>
      <w:r w:rsidRPr="00C57752">
        <w:rPr>
          <w:rFonts w:ascii="Times New Roman" w:hAnsi="Times New Roman"/>
          <w:i/>
          <w:iCs/>
          <w:sz w:val="24"/>
        </w:rPr>
        <w:t>Akhmedov</w:t>
      </w:r>
      <w:proofErr w:type="spellEnd"/>
      <w:r w:rsidRPr="00C57752">
        <w:rPr>
          <w:rFonts w:ascii="Times New Roman" w:hAnsi="Times New Roman"/>
          <w:sz w:val="24"/>
        </w:rPr>
        <w:t xml:space="preserve">, </w:t>
      </w:r>
      <w:r>
        <w:rPr>
          <w:rFonts w:ascii="Times New Roman" w:hAnsi="Times New Roman"/>
          <w:sz w:val="24"/>
        </w:rPr>
        <w:t>2021 EWHC 545 (</w:t>
      </w:r>
      <w:r w:rsidRPr="00C57752">
        <w:rPr>
          <w:rFonts w:ascii="Georgia" w:hAnsi="Georgia" w:cs="Segoe UI"/>
          <w:color w:val="000000"/>
          <w:bdr w:val="none" w:sz="0" w:space="0" w:color="auto" w:frame="1"/>
        </w:rPr>
        <w:t>Decision High Court of Justice (Family</w:t>
      </w:r>
      <w:r>
        <w:rPr>
          <w:rFonts w:ascii="Georgia" w:hAnsi="Georgia" w:cs="Segoe UI"/>
          <w:color w:val="000000"/>
          <w:bdr w:val="none" w:sz="0" w:space="0" w:color="auto" w:frame="1"/>
        </w:rPr>
        <w:t xml:space="preserve"> Division) of England and Wales, April 21, 2021, Knowles, J</w:t>
      </w:r>
      <w:r w:rsidRPr="00C57752">
        <w:rPr>
          <w:rFonts w:ascii="Times New Roman" w:hAnsi="Times New Roman" w:cs="Segoe UI"/>
          <w:color w:val="000000"/>
          <w:sz w:val="24"/>
          <w:bdr w:val="none" w:sz="0" w:space="0" w:color="auto" w:frame="1"/>
        </w:rPr>
        <w:t xml:space="preserve">.) </w:t>
      </w:r>
      <w:hyperlink r:id="rId12" w:anchor="para209" w:history="1">
        <w:proofErr w:type="spellStart"/>
        <w:r w:rsidRPr="00C57752">
          <w:rPr>
            <w:rStyle w:val="Hyperlink"/>
            <w:rFonts w:ascii="Times New Roman" w:hAnsi="Times New Roman"/>
            <w:sz w:val="24"/>
          </w:rPr>
          <w:t>Akhmedova</w:t>
        </w:r>
        <w:proofErr w:type="spellEnd"/>
        <w:r w:rsidRPr="00C57752">
          <w:rPr>
            <w:rStyle w:val="Hyperlink"/>
            <w:rFonts w:ascii="Times New Roman" w:hAnsi="Times New Roman"/>
            <w:sz w:val="24"/>
          </w:rPr>
          <w:t xml:space="preserve"> v </w:t>
        </w:r>
        <w:proofErr w:type="spellStart"/>
        <w:r w:rsidRPr="00C57752">
          <w:rPr>
            <w:rStyle w:val="Hyperlink"/>
            <w:rFonts w:ascii="Times New Roman" w:hAnsi="Times New Roman"/>
            <w:sz w:val="24"/>
          </w:rPr>
          <w:t>Akhmedov</w:t>
        </w:r>
        <w:proofErr w:type="spellEnd"/>
        <w:r w:rsidRPr="00C57752">
          <w:rPr>
            <w:rStyle w:val="Hyperlink"/>
            <w:rFonts w:ascii="Times New Roman" w:hAnsi="Times New Roman"/>
            <w:sz w:val="24"/>
          </w:rPr>
          <w:t xml:space="preserve"> &amp; </w:t>
        </w:r>
        <w:proofErr w:type="spellStart"/>
        <w:r w:rsidRPr="00C57752">
          <w:rPr>
            <w:rStyle w:val="Hyperlink"/>
            <w:rFonts w:ascii="Times New Roman" w:hAnsi="Times New Roman"/>
            <w:sz w:val="24"/>
          </w:rPr>
          <w:t>Ors</w:t>
        </w:r>
        <w:proofErr w:type="spellEnd"/>
        <w:r w:rsidRPr="00C57752">
          <w:rPr>
            <w:rStyle w:val="Hyperlink"/>
            <w:rFonts w:ascii="Times New Roman" w:hAnsi="Times New Roman"/>
            <w:sz w:val="24"/>
          </w:rPr>
          <w:t xml:space="preserve"> [2021] EWHC 545 (Fam) (21 April 2021) (bailii.org)</w:t>
        </w:r>
      </w:hyperlink>
      <w:r>
        <w:t xml:space="preserve"> </w:t>
      </w:r>
    </w:p>
    <w:p w14:paraId="3F839E32" w14:textId="346F4852" w:rsidR="0026504C" w:rsidRDefault="0026504C" w:rsidP="0026504C">
      <w:pPr>
        <w:pStyle w:val="ListParagraph"/>
        <w:numPr>
          <w:ilvl w:val="0"/>
          <w:numId w:val="15"/>
        </w:numPr>
        <w:spacing w:after="160" w:line="259" w:lineRule="auto"/>
        <w:contextualSpacing/>
        <w:rPr>
          <w:rFonts w:ascii="Times New Roman" w:hAnsi="Times New Roman"/>
          <w:sz w:val="24"/>
        </w:rPr>
      </w:pPr>
      <w:r w:rsidRPr="00240705">
        <w:rPr>
          <w:rFonts w:ascii="Times New Roman" w:hAnsi="Times New Roman"/>
          <w:sz w:val="24"/>
        </w:rPr>
        <w:t xml:space="preserve">New </w:t>
      </w:r>
      <w:r>
        <w:rPr>
          <w:rFonts w:ascii="Times New Roman" w:hAnsi="Times New Roman"/>
          <w:sz w:val="24"/>
        </w:rPr>
        <w:t>B</w:t>
      </w:r>
      <w:r w:rsidRPr="00240705">
        <w:rPr>
          <w:rFonts w:ascii="Times New Roman" w:hAnsi="Times New Roman"/>
          <w:sz w:val="24"/>
        </w:rPr>
        <w:t xml:space="preserve">usiness </w:t>
      </w:r>
    </w:p>
    <w:p w14:paraId="60A9731D" w14:textId="77777777" w:rsidR="0026504C" w:rsidRDefault="0026504C" w:rsidP="0026504C">
      <w:pPr>
        <w:pStyle w:val="ListParagraph"/>
        <w:spacing w:after="160" w:line="259" w:lineRule="auto"/>
        <w:contextualSpacing/>
        <w:rPr>
          <w:rFonts w:ascii="Times New Roman" w:hAnsi="Times New Roman"/>
          <w:sz w:val="24"/>
        </w:rPr>
      </w:pPr>
    </w:p>
    <w:p w14:paraId="08BBCAF1" w14:textId="174EA7AF" w:rsidR="0026504C" w:rsidRPr="0026504C" w:rsidRDefault="0026504C" w:rsidP="0026504C">
      <w:pPr>
        <w:pStyle w:val="ListParagraph"/>
        <w:numPr>
          <w:ilvl w:val="0"/>
          <w:numId w:val="15"/>
        </w:numPr>
        <w:spacing w:after="160" w:line="259" w:lineRule="auto"/>
        <w:contextualSpacing/>
        <w:rPr>
          <w:rFonts w:ascii="Times New Roman" w:hAnsi="Times New Roman"/>
          <w:sz w:val="24"/>
        </w:rPr>
      </w:pPr>
      <w:r w:rsidRPr="0026504C">
        <w:rPr>
          <w:rFonts w:ascii="Times New Roman" w:hAnsi="Times New Roman"/>
          <w:sz w:val="24"/>
        </w:rPr>
        <w:t>Next Committee Meeting</w:t>
      </w:r>
      <w:r>
        <w:t xml:space="preserve"> </w:t>
      </w:r>
    </w:p>
    <w:p w14:paraId="6B26FB9F" w14:textId="77777777" w:rsidR="004074F2" w:rsidRPr="004074F2" w:rsidRDefault="004074F2" w:rsidP="004074F2">
      <w:pPr>
        <w:tabs>
          <w:tab w:val="left" w:pos="6480"/>
        </w:tabs>
        <w:spacing w:after="0" w:line="240" w:lineRule="auto"/>
        <w:textAlignment w:val="baseline"/>
        <w:rPr>
          <w:rFonts w:ascii="Times New Roman" w:hAnsi="Times New Roman"/>
          <w:color w:val="000000"/>
          <w:sz w:val="24"/>
          <w:szCs w:val="24"/>
        </w:rPr>
      </w:pPr>
    </w:p>
    <w:sectPr w:rsidR="004074F2" w:rsidRPr="004074F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97CC" w14:textId="77777777" w:rsidR="00DF2DA8" w:rsidRDefault="00DF2DA8">
      <w:pPr>
        <w:spacing w:after="0" w:line="240" w:lineRule="auto"/>
      </w:pPr>
      <w:r>
        <w:separator/>
      </w:r>
    </w:p>
  </w:endnote>
  <w:endnote w:type="continuationSeparator" w:id="0">
    <w:p w14:paraId="7244D143" w14:textId="77777777" w:rsidR="00DF2DA8" w:rsidRDefault="00DF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52460"/>
      <w:docPartObj>
        <w:docPartGallery w:val="Page Numbers (Bottom of Page)"/>
        <w:docPartUnique/>
      </w:docPartObj>
    </w:sdtPr>
    <w:sdtEndPr>
      <w:rPr>
        <w:rFonts w:ascii="Times New Roman" w:hAnsi="Times New Roman"/>
        <w:noProof/>
      </w:rPr>
    </w:sdtEndPr>
    <w:sdtContent>
      <w:p w14:paraId="051698F7" w14:textId="50491E64" w:rsidR="00B30E04" w:rsidRPr="00F12E45" w:rsidRDefault="00B30E04" w:rsidP="00F12E45">
        <w:pPr>
          <w:pStyle w:val="Footer"/>
          <w:jc w:val="center"/>
          <w:rPr>
            <w:rFonts w:ascii="Times New Roman" w:hAnsi="Times New Roman"/>
          </w:rPr>
        </w:pPr>
        <w:r w:rsidRPr="00F12E45">
          <w:rPr>
            <w:rFonts w:ascii="Times New Roman" w:hAnsi="Times New Roman"/>
          </w:rPr>
          <w:fldChar w:fldCharType="begin"/>
        </w:r>
        <w:r w:rsidRPr="00F12E45">
          <w:rPr>
            <w:rFonts w:ascii="Times New Roman" w:hAnsi="Times New Roman"/>
          </w:rPr>
          <w:instrText xml:space="preserve"> PAGE   \* MERGEFORMAT </w:instrText>
        </w:r>
        <w:r w:rsidRPr="00F12E45">
          <w:rPr>
            <w:rFonts w:ascii="Times New Roman" w:hAnsi="Times New Roman"/>
          </w:rPr>
          <w:fldChar w:fldCharType="separate"/>
        </w:r>
        <w:r w:rsidRPr="00F12E45">
          <w:rPr>
            <w:rFonts w:ascii="Times New Roman" w:hAnsi="Times New Roman"/>
            <w:noProof/>
          </w:rPr>
          <w:t>2</w:t>
        </w:r>
        <w:r w:rsidRPr="00F12E4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1FC2" w14:textId="77777777" w:rsidR="00DF2DA8" w:rsidRDefault="00DF2DA8">
      <w:pPr>
        <w:spacing w:after="0" w:line="240" w:lineRule="auto"/>
      </w:pPr>
      <w:r>
        <w:separator/>
      </w:r>
    </w:p>
  </w:footnote>
  <w:footnote w:type="continuationSeparator" w:id="0">
    <w:p w14:paraId="0E29D645" w14:textId="77777777" w:rsidR="00DF2DA8" w:rsidRDefault="00DF2DA8">
      <w:pPr>
        <w:spacing w:after="0" w:line="240" w:lineRule="auto"/>
      </w:pPr>
      <w:r>
        <w:continuationSeparator/>
      </w:r>
    </w:p>
  </w:footnote>
  <w:footnote w:id="1">
    <w:p w14:paraId="4844130D" w14:textId="5C9DFBBA" w:rsidR="004F514D" w:rsidRDefault="004F514D">
      <w:pPr>
        <w:pStyle w:val="FootnoteText"/>
        <w:rPr>
          <w:rFonts w:ascii="Times New Roman" w:hAnsi="Times New Roman"/>
          <w:sz w:val="24"/>
        </w:rPr>
      </w:pPr>
      <w:r w:rsidRPr="004F514D">
        <w:rPr>
          <w:rStyle w:val="FootnoteReference"/>
          <w:rFonts w:ascii="Times New Roman" w:hAnsi="Times New Roman"/>
          <w:sz w:val="24"/>
        </w:rPr>
        <w:footnoteRef/>
      </w:r>
      <w:r w:rsidRPr="004F514D">
        <w:rPr>
          <w:rFonts w:ascii="Times New Roman" w:hAnsi="Times New Roman"/>
          <w:sz w:val="24"/>
        </w:rPr>
        <w:t xml:space="preserve"> </w:t>
      </w:r>
      <w:r w:rsidR="00352333" w:rsidRPr="00352333">
        <w:rPr>
          <w:rFonts w:ascii="Times New Roman" w:hAnsi="Times New Roman"/>
          <w:i/>
          <w:iCs/>
          <w:sz w:val="24"/>
        </w:rPr>
        <w:t>See also</w:t>
      </w:r>
      <w:r w:rsidR="00352333">
        <w:rPr>
          <w:rFonts w:ascii="Times New Roman" w:hAnsi="Times New Roman"/>
          <w:sz w:val="24"/>
        </w:rPr>
        <w:t xml:space="preserve"> </w:t>
      </w:r>
      <w:r>
        <w:rPr>
          <w:rFonts w:ascii="Times New Roman" w:hAnsi="Times New Roman"/>
          <w:sz w:val="24"/>
        </w:rPr>
        <w:t xml:space="preserve">Oliver W. Holmes, Jr., </w:t>
      </w:r>
      <w:r w:rsidRPr="004F514D">
        <w:rPr>
          <w:rFonts w:ascii="Times New Roman" w:hAnsi="Times New Roman"/>
          <w:sz w:val="24"/>
        </w:rPr>
        <w:t>The Common Law</w:t>
      </w:r>
      <w:r>
        <w:rPr>
          <w:rFonts w:ascii="Times New Roman" w:hAnsi="Times New Roman"/>
          <w:sz w:val="24"/>
        </w:rPr>
        <w:t xml:space="preserve"> at 113 (Little, Brown, &amp; Co. 1881, republished by Barnes &amp; Noble Books 2004) (“Unnecessary though it is for the defendant to have intended or foreseen the evil which he has caused, it is necessary that he should have chosen the conduct which led to it.”) </w:t>
      </w:r>
    </w:p>
    <w:p w14:paraId="33CEF1DA" w14:textId="77777777" w:rsidR="008E4457" w:rsidRPr="004F514D" w:rsidRDefault="008E4457">
      <w:pPr>
        <w:pStyle w:val="FootnoteText"/>
        <w:rPr>
          <w:rFonts w:ascii="Times New Roman" w:hAnsi="Times New Roman"/>
          <w:sz w:val="24"/>
        </w:rPr>
      </w:pPr>
    </w:p>
  </w:footnote>
  <w:footnote w:id="2">
    <w:p w14:paraId="3996AF52" w14:textId="55668287" w:rsidR="008E4457" w:rsidRPr="008E4457" w:rsidRDefault="008E4457">
      <w:pPr>
        <w:pStyle w:val="FootnoteText"/>
        <w:rPr>
          <w:sz w:val="24"/>
        </w:rPr>
      </w:pPr>
      <w:r w:rsidRPr="008E4457">
        <w:rPr>
          <w:rStyle w:val="FootnoteReference"/>
          <w:sz w:val="24"/>
        </w:rPr>
        <w:footnoteRef/>
      </w:r>
      <w:r w:rsidRPr="008E4457">
        <w:rPr>
          <w:sz w:val="24"/>
        </w:rPr>
        <w:t xml:space="preserve"> </w:t>
      </w:r>
      <w:r w:rsidRPr="008E4457">
        <w:rPr>
          <w:rFonts w:ascii="Times New Roman" w:hAnsi="Times New Roman"/>
          <w:sz w:val="24"/>
        </w:rPr>
        <w:t>I</w:t>
      </w:r>
      <w:r>
        <w:rPr>
          <w:rFonts w:ascii="Times New Roman" w:hAnsi="Times New Roman"/>
          <w:sz w:val="24"/>
        </w:rPr>
        <w:t xml:space="preserve">n the United States, vaccine manufacturers are immune from liability under </w:t>
      </w:r>
      <w:r w:rsidR="008D413F" w:rsidRPr="008D413F">
        <w:rPr>
          <w:rFonts w:ascii="Times New Roman" w:hAnsi="Times New Roman"/>
          <w:sz w:val="24"/>
        </w:rPr>
        <w:t>42 USC</w:t>
      </w:r>
      <w:r w:rsidR="008D413F" w:rsidRPr="008D413F">
        <w:rPr>
          <w:rFonts w:ascii="Times New Roman" w:hAnsi="Times New Roman"/>
          <w:i/>
          <w:iCs/>
          <w:sz w:val="24"/>
        </w:rPr>
        <w:t xml:space="preserve"> </w:t>
      </w:r>
      <w:r w:rsidR="008D413F" w:rsidRPr="008D413F">
        <w:rPr>
          <w:rFonts w:ascii="Times New Roman" w:hAnsi="Times New Roman"/>
          <w:sz w:val="24"/>
        </w:rPr>
        <w:t>300aa-</w:t>
      </w:r>
      <w:r w:rsidR="008D413F">
        <w:rPr>
          <w:rFonts w:ascii="Times New Roman" w:hAnsi="Times New Roman"/>
          <w:sz w:val="24"/>
        </w:rPr>
        <w:t>22</w:t>
      </w:r>
      <w:r w:rsidR="008D413F" w:rsidRPr="008D413F">
        <w:rPr>
          <w:rFonts w:ascii="Times New Roman" w:hAnsi="Times New Roman"/>
          <w:sz w:val="24"/>
        </w:rPr>
        <w:t>,</w:t>
      </w:r>
      <w:r>
        <w:rPr>
          <w:rFonts w:ascii="Times New Roman" w:hAnsi="Times New Roman"/>
          <w:sz w:val="24"/>
        </w:rPr>
        <w:t xml:space="preserve"> and a person who suffer</w:t>
      </w:r>
      <w:r w:rsidR="008D413F">
        <w:rPr>
          <w:rFonts w:ascii="Times New Roman" w:hAnsi="Times New Roman"/>
          <w:sz w:val="24"/>
        </w:rPr>
        <w:t>s</w:t>
      </w:r>
      <w:r>
        <w:rPr>
          <w:rFonts w:ascii="Times New Roman" w:hAnsi="Times New Roman"/>
          <w:sz w:val="24"/>
        </w:rPr>
        <w:t xml:space="preserve"> injury due to </w:t>
      </w:r>
      <w:r w:rsidR="000618FF">
        <w:rPr>
          <w:rFonts w:ascii="Times New Roman" w:hAnsi="Times New Roman"/>
          <w:sz w:val="24"/>
        </w:rPr>
        <w:t xml:space="preserve">a </w:t>
      </w:r>
      <w:r>
        <w:rPr>
          <w:rFonts w:ascii="Times New Roman" w:hAnsi="Times New Roman"/>
          <w:sz w:val="24"/>
        </w:rPr>
        <w:t xml:space="preserve">vaccine may only pursue a claim under the National Vaccine Injury Compensation Program, administered by U.S. Health Resources &amp; Services Administration, an Agency of the U.S. Department of Health and Human Resources. According to the data available </w:t>
      </w:r>
      <w:r w:rsidR="00CF74CC">
        <w:rPr>
          <w:rFonts w:ascii="Times New Roman" w:hAnsi="Times New Roman"/>
          <w:sz w:val="24"/>
        </w:rPr>
        <w:t xml:space="preserve">on </w:t>
      </w:r>
      <w:r>
        <w:rPr>
          <w:rFonts w:ascii="Times New Roman" w:hAnsi="Times New Roman"/>
          <w:sz w:val="24"/>
        </w:rPr>
        <w:t>the program’s website, since 1</w:t>
      </w:r>
      <w:r w:rsidR="008D413F">
        <w:rPr>
          <w:rFonts w:ascii="Times New Roman" w:hAnsi="Times New Roman"/>
          <w:sz w:val="24"/>
        </w:rPr>
        <w:t xml:space="preserve">988, 1,348 death claims and 22,554 injury claims were filed. </w:t>
      </w:r>
      <w:r w:rsidR="00076549">
        <w:rPr>
          <w:rFonts w:ascii="Times New Roman" w:hAnsi="Times New Roman"/>
          <w:sz w:val="24"/>
        </w:rPr>
        <w:t xml:space="preserve">Pain and suffering </w:t>
      </w:r>
      <w:proofErr w:type="gramStart"/>
      <w:r w:rsidR="00076549">
        <w:rPr>
          <w:rFonts w:ascii="Times New Roman" w:hAnsi="Times New Roman"/>
          <w:sz w:val="24"/>
        </w:rPr>
        <w:t>is</w:t>
      </w:r>
      <w:proofErr w:type="gramEnd"/>
      <w:r w:rsidR="00076549">
        <w:rPr>
          <w:rFonts w:ascii="Times New Roman" w:hAnsi="Times New Roman"/>
          <w:sz w:val="24"/>
        </w:rPr>
        <w:t xml:space="preserve"> limited to $250,000 (42 USC 300aa-15 [a] [4]), and a</w:t>
      </w:r>
      <w:r w:rsidR="008D413F">
        <w:rPr>
          <w:rFonts w:ascii="Times New Roman" w:hAnsi="Times New Roman"/>
          <w:sz w:val="24"/>
        </w:rPr>
        <w:t xml:space="preserve">ttorney’s fee </w:t>
      </w:r>
      <w:r w:rsidR="00FA1B93">
        <w:rPr>
          <w:rFonts w:ascii="Times New Roman" w:hAnsi="Times New Roman"/>
          <w:sz w:val="24"/>
        </w:rPr>
        <w:t>may be awarded by a special master or the court</w:t>
      </w:r>
      <w:r w:rsidR="00CF74CC">
        <w:rPr>
          <w:rFonts w:ascii="Times New Roman" w:hAnsi="Times New Roman"/>
          <w:sz w:val="24"/>
        </w:rPr>
        <w:t xml:space="preserve"> and it is </w:t>
      </w:r>
      <w:r w:rsidR="00076549">
        <w:rPr>
          <w:rFonts w:ascii="Times New Roman" w:hAnsi="Times New Roman"/>
          <w:sz w:val="24"/>
        </w:rPr>
        <w:t xml:space="preserve">limited to “reasonable attorneys’ fees, and other costs” </w:t>
      </w:r>
      <w:r w:rsidR="00FA1B93">
        <w:rPr>
          <w:rFonts w:ascii="Times New Roman" w:hAnsi="Times New Roman"/>
          <w:sz w:val="24"/>
        </w:rPr>
        <w:t>(42 USC 300aa-15 [e]). The COVID</w:t>
      </w:r>
      <w:r w:rsidR="00CF74CC">
        <w:rPr>
          <w:rFonts w:ascii="Times New Roman" w:hAnsi="Times New Roman"/>
          <w:sz w:val="24"/>
        </w:rPr>
        <w:t>-</w:t>
      </w:r>
      <w:r w:rsidR="00FA1B93">
        <w:rPr>
          <w:rFonts w:ascii="Times New Roman" w:hAnsi="Times New Roman"/>
          <w:sz w:val="24"/>
        </w:rPr>
        <w:t xml:space="preserve">19 vaccines are being </w:t>
      </w:r>
      <w:r w:rsidR="00CF74CC">
        <w:rPr>
          <w:rFonts w:ascii="Times New Roman" w:hAnsi="Times New Roman"/>
          <w:sz w:val="24"/>
        </w:rPr>
        <w:t xml:space="preserve">distributed and administered under FDA’s </w:t>
      </w:r>
      <w:r w:rsidR="00FA1B93">
        <w:rPr>
          <w:rFonts w:ascii="Times New Roman" w:hAnsi="Times New Roman"/>
          <w:sz w:val="24"/>
        </w:rPr>
        <w:t>Emergency Use Authorization</w:t>
      </w:r>
      <w:r w:rsidR="00CF74CC">
        <w:rPr>
          <w:rFonts w:ascii="Times New Roman" w:hAnsi="Times New Roman"/>
          <w:sz w:val="24"/>
        </w:rPr>
        <w:t xml:space="preserve"> (EUA), which in the words of FDA, “[t]he issuance of an EUA is different than an FDA approved (licensure) of a vaccine, in that a vaccine available under an EUA is not approved” (FDA Press Release, FDA Issues Emergency Use Authorization for Third COVID-19 Vaccine, Feb. 27, 2021</w:t>
      </w:r>
      <w:r w:rsidR="00F627D9">
        <w:rPr>
          <w:rFonts w:ascii="Times New Roman" w:hAnsi="Times New Roman"/>
          <w:sz w:val="24"/>
        </w:rPr>
        <w:t xml:space="preserve"> [Janssen COVID-19 Vaccine manufactured by Janssen Pharm. Co. of Johnson &amp; Johnson]</w:t>
      </w:r>
      <w:r w:rsidR="00CF74CC">
        <w:rPr>
          <w:rFonts w:ascii="Times New Roman" w:hAnsi="Times New Roman"/>
          <w:sz w:val="24"/>
        </w:rPr>
        <w:t xml:space="preserve">).  </w:t>
      </w:r>
      <w:r w:rsidR="00FA1B93">
        <w:rPr>
          <w:rFonts w:ascii="Times New Roman" w:hAnsi="Times New Roman"/>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836"/>
    <w:multiLevelType w:val="hybridMultilevel"/>
    <w:tmpl w:val="EE3C0A9C"/>
    <w:lvl w:ilvl="0" w:tplc="EB4EC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9318F"/>
    <w:multiLevelType w:val="hybridMultilevel"/>
    <w:tmpl w:val="F8AA2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C2D13"/>
    <w:multiLevelType w:val="multilevel"/>
    <w:tmpl w:val="D068B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5E0904"/>
    <w:multiLevelType w:val="multilevel"/>
    <w:tmpl w:val="F6363446"/>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73249E"/>
    <w:multiLevelType w:val="hybridMultilevel"/>
    <w:tmpl w:val="A2E8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529B2"/>
    <w:multiLevelType w:val="multilevel"/>
    <w:tmpl w:val="A9629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DB6B3C"/>
    <w:multiLevelType w:val="hybridMultilevel"/>
    <w:tmpl w:val="B516BBB2"/>
    <w:lvl w:ilvl="0" w:tplc="4FCCB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134310"/>
    <w:multiLevelType w:val="hybridMultilevel"/>
    <w:tmpl w:val="AB60263C"/>
    <w:lvl w:ilvl="0" w:tplc="EFF88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187AD7"/>
    <w:multiLevelType w:val="hybridMultilevel"/>
    <w:tmpl w:val="9AF6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124FDB"/>
    <w:multiLevelType w:val="multilevel"/>
    <w:tmpl w:val="985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95BBA"/>
    <w:multiLevelType w:val="hybridMultilevel"/>
    <w:tmpl w:val="7BFCE890"/>
    <w:lvl w:ilvl="0" w:tplc="073CDF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BC75E6"/>
    <w:multiLevelType w:val="hybridMultilevel"/>
    <w:tmpl w:val="BA1082C8"/>
    <w:lvl w:ilvl="0" w:tplc="E0D87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77F74"/>
    <w:multiLevelType w:val="hybridMultilevel"/>
    <w:tmpl w:val="9AF6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194812"/>
    <w:multiLevelType w:val="hybridMultilevel"/>
    <w:tmpl w:val="39A867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780E28"/>
    <w:multiLevelType w:val="hybridMultilevel"/>
    <w:tmpl w:val="711E2B88"/>
    <w:lvl w:ilvl="0" w:tplc="6DE8C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C63BF2"/>
    <w:multiLevelType w:val="hybridMultilevel"/>
    <w:tmpl w:val="BB0AF8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554449AE"/>
    <w:multiLevelType w:val="hybridMultilevel"/>
    <w:tmpl w:val="7E00415C"/>
    <w:lvl w:ilvl="0" w:tplc="EC7CE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D75538"/>
    <w:multiLevelType w:val="hybridMultilevel"/>
    <w:tmpl w:val="5824CBA0"/>
    <w:lvl w:ilvl="0" w:tplc="523C4FF0">
      <w:start w:val="1"/>
      <w:numFmt w:val="decimal"/>
      <w:lvlText w:val="%1."/>
      <w:lvlJc w:val="left"/>
      <w:pPr>
        <w:ind w:left="540" w:hanging="54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D30BC0"/>
    <w:multiLevelType w:val="multilevel"/>
    <w:tmpl w:val="D7BA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AA7BB9"/>
    <w:multiLevelType w:val="hybridMultilevel"/>
    <w:tmpl w:val="9AF6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B64DD6"/>
    <w:multiLevelType w:val="hybridMultilevel"/>
    <w:tmpl w:val="9AF6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5B1527"/>
    <w:multiLevelType w:val="hybridMultilevel"/>
    <w:tmpl w:val="56C6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07215"/>
    <w:multiLevelType w:val="hybridMultilevel"/>
    <w:tmpl w:val="A9082C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5979AA"/>
    <w:multiLevelType w:val="hybridMultilevel"/>
    <w:tmpl w:val="1D304022"/>
    <w:lvl w:ilvl="0" w:tplc="3A0C5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lvlOverride w:ilvl="0">
      <w:lvl w:ilvl="0">
        <w:start w:val="2"/>
        <w:numFmt w:val="decimal"/>
        <w:lvlText w:val="%1."/>
        <w:lvlJc w:val="left"/>
        <w:pPr>
          <w:ind w:left="0" w:firstLine="0"/>
        </w:pPr>
      </w:lvl>
    </w:lvlOverride>
    <w:lvlOverride w:ilvl="1">
      <w:lvl w:ilvl="1">
        <w:start w:val="1"/>
        <w:numFmt w:val="lowerLetter"/>
        <w:lvlText w:val="%2."/>
        <w:lvlJc w:val="left"/>
        <w:pPr>
          <w:ind w:left="1440" w:hanging="36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3">
    <w:abstractNumId w:val="14"/>
  </w:num>
  <w:num w:numId="4">
    <w:abstractNumId w:val="11"/>
  </w:num>
  <w:num w:numId="5">
    <w:abstractNumId w:val="16"/>
  </w:num>
  <w:num w:numId="6">
    <w:abstractNumId w:val="22"/>
  </w:num>
  <w:num w:numId="7">
    <w:abstractNumId w:val="2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21"/>
  </w:num>
  <w:num w:numId="12">
    <w:abstractNumId w:val="12"/>
  </w:num>
  <w:num w:numId="13">
    <w:abstractNumId w:val="10"/>
  </w:num>
  <w:num w:numId="14">
    <w:abstractNumId w:val="8"/>
  </w:num>
  <w:num w:numId="15">
    <w:abstractNumId w:val="1"/>
  </w:num>
  <w:num w:numId="16">
    <w:abstractNumId w:val="7"/>
  </w:num>
  <w:num w:numId="17">
    <w:abstractNumId w:val="6"/>
  </w:num>
  <w:num w:numId="18">
    <w:abstractNumId w:val="18"/>
  </w:num>
  <w:num w:numId="19">
    <w:abstractNumId w:val="9"/>
  </w:num>
  <w:num w:numId="20">
    <w:abstractNumId w:val="0"/>
  </w:num>
  <w:num w:numId="21">
    <w:abstractNumId w:val="13"/>
  </w:num>
  <w:num w:numId="22">
    <w:abstractNumId w:val="4"/>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s>
  <w:rsids>
    <w:rsidRoot w:val="007D6614"/>
    <w:rsid w:val="0000647D"/>
    <w:rsid w:val="00020676"/>
    <w:rsid w:val="000266FC"/>
    <w:rsid w:val="00046E49"/>
    <w:rsid w:val="000618FF"/>
    <w:rsid w:val="00062411"/>
    <w:rsid w:val="00063C94"/>
    <w:rsid w:val="00076549"/>
    <w:rsid w:val="0008067E"/>
    <w:rsid w:val="000939DB"/>
    <w:rsid w:val="00096645"/>
    <w:rsid w:val="000A4201"/>
    <w:rsid w:val="000B00FF"/>
    <w:rsid w:val="000B0951"/>
    <w:rsid w:val="000D15B9"/>
    <w:rsid w:val="000D605C"/>
    <w:rsid w:val="000D7826"/>
    <w:rsid w:val="000E0E08"/>
    <w:rsid w:val="000F1030"/>
    <w:rsid w:val="000F1ABE"/>
    <w:rsid w:val="000F293E"/>
    <w:rsid w:val="00102C22"/>
    <w:rsid w:val="00104EC8"/>
    <w:rsid w:val="00122B24"/>
    <w:rsid w:val="00127EAA"/>
    <w:rsid w:val="00132940"/>
    <w:rsid w:val="001365FB"/>
    <w:rsid w:val="0014171A"/>
    <w:rsid w:val="00162D22"/>
    <w:rsid w:val="00162EE7"/>
    <w:rsid w:val="00167842"/>
    <w:rsid w:val="00171746"/>
    <w:rsid w:val="00176FA5"/>
    <w:rsid w:val="00183602"/>
    <w:rsid w:val="00185A3B"/>
    <w:rsid w:val="001912ED"/>
    <w:rsid w:val="001933BA"/>
    <w:rsid w:val="001A1F37"/>
    <w:rsid w:val="001A58B1"/>
    <w:rsid w:val="001C1D8C"/>
    <w:rsid w:val="001C29DA"/>
    <w:rsid w:val="002115E9"/>
    <w:rsid w:val="00223A82"/>
    <w:rsid w:val="0022735C"/>
    <w:rsid w:val="002371E9"/>
    <w:rsid w:val="00241D9D"/>
    <w:rsid w:val="00243C6D"/>
    <w:rsid w:val="002509BE"/>
    <w:rsid w:val="00262CEE"/>
    <w:rsid w:val="0026504C"/>
    <w:rsid w:val="00266845"/>
    <w:rsid w:val="0027149E"/>
    <w:rsid w:val="00285051"/>
    <w:rsid w:val="00290709"/>
    <w:rsid w:val="00297F22"/>
    <w:rsid w:val="002A4EC4"/>
    <w:rsid w:val="002B44CD"/>
    <w:rsid w:val="002C7191"/>
    <w:rsid w:val="002D4C08"/>
    <w:rsid w:val="002E14FA"/>
    <w:rsid w:val="002F053B"/>
    <w:rsid w:val="002F076E"/>
    <w:rsid w:val="002F2663"/>
    <w:rsid w:val="002F65AA"/>
    <w:rsid w:val="002F7B5D"/>
    <w:rsid w:val="0030047E"/>
    <w:rsid w:val="00300B13"/>
    <w:rsid w:val="00302D72"/>
    <w:rsid w:val="00304179"/>
    <w:rsid w:val="003044F0"/>
    <w:rsid w:val="00313968"/>
    <w:rsid w:val="00315344"/>
    <w:rsid w:val="0032107F"/>
    <w:rsid w:val="00327514"/>
    <w:rsid w:val="00332297"/>
    <w:rsid w:val="00334047"/>
    <w:rsid w:val="00342D6E"/>
    <w:rsid w:val="00346FFC"/>
    <w:rsid w:val="00352333"/>
    <w:rsid w:val="00361C9E"/>
    <w:rsid w:val="00362BDC"/>
    <w:rsid w:val="0037309B"/>
    <w:rsid w:val="00374DC4"/>
    <w:rsid w:val="0038015D"/>
    <w:rsid w:val="00385074"/>
    <w:rsid w:val="00386E8E"/>
    <w:rsid w:val="00387352"/>
    <w:rsid w:val="00390C3E"/>
    <w:rsid w:val="00391AC8"/>
    <w:rsid w:val="00392B6A"/>
    <w:rsid w:val="00396F6E"/>
    <w:rsid w:val="003A3DD0"/>
    <w:rsid w:val="003B2DB1"/>
    <w:rsid w:val="003C36EC"/>
    <w:rsid w:val="003C75D7"/>
    <w:rsid w:val="003D2528"/>
    <w:rsid w:val="003D78BB"/>
    <w:rsid w:val="003E067B"/>
    <w:rsid w:val="003E376F"/>
    <w:rsid w:val="003E3AA7"/>
    <w:rsid w:val="003F7158"/>
    <w:rsid w:val="004030BF"/>
    <w:rsid w:val="004074F2"/>
    <w:rsid w:val="004111FC"/>
    <w:rsid w:val="004212BA"/>
    <w:rsid w:val="004412CF"/>
    <w:rsid w:val="004526AB"/>
    <w:rsid w:val="00454F3C"/>
    <w:rsid w:val="00466669"/>
    <w:rsid w:val="00470671"/>
    <w:rsid w:val="004753B3"/>
    <w:rsid w:val="00483F70"/>
    <w:rsid w:val="00484D90"/>
    <w:rsid w:val="004925C9"/>
    <w:rsid w:val="00496EDD"/>
    <w:rsid w:val="004A3245"/>
    <w:rsid w:val="004A5F8B"/>
    <w:rsid w:val="004A73C0"/>
    <w:rsid w:val="004D24E4"/>
    <w:rsid w:val="004D61F9"/>
    <w:rsid w:val="004E0FA0"/>
    <w:rsid w:val="004F514D"/>
    <w:rsid w:val="004F585E"/>
    <w:rsid w:val="004F7C4C"/>
    <w:rsid w:val="00515186"/>
    <w:rsid w:val="00527E9A"/>
    <w:rsid w:val="00542128"/>
    <w:rsid w:val="0054479D"/>
    <w:rsid w:val="00591640"/>
    <w:rsid w:val="005A18B5"/>
    <w:rsid w:val="005A78ED"/>
    <w:rsid w:val="005C0CCB"/>
    <w:rsid w:val="005C7C8E"/>
    <w:rsid w:val="005D673A"/>
    <w:rsid w:val="005E10F0"/>
    <w:rsid w:val="005F3D1F"/>
    <w:rsid w:val="005F60F2"/>
    <w:rsid w:val="0060521E"/>
    <w:rsid w:val="006116EC"/>
    <w:rsid w:val="00613F51"/>
    <w:rsid w:val="0065736A"/>
    <w:rsid w:val="00661B3A"/>
    <w:rsid w:val="0066472B"/>
    <w:rsid w:val="0066542D"/>
    <w:rsid w:val="00676AA5"/>
    <w:rsid w:val="00677BA9"/>
    <w:rsid w:val="00692F21"/>
    <w:rsid w:val="006937DE"/>
    <w:rsid w:val="006A0533"/>
    <w:rsid w:val="006A4522"/>
    <w:rsid w:val="006A538B"/>
    <w:rsid w:val="006B1E8A"/>
    <w:rsid w:val="006B5020"/>
    <w:rsid w:val="006B58E6"/>
    <w:rsid w:val="006C28BE"/>
    <w:rsid w:val="006D0940"/>
    <w:rsid w:val="006E0919"/>
    <w:rsid w:val="006E2D3E"/>
    <w:rsid w:val="006F10FC"/>
    <w:rsid w:val="006F2BBF"/>
    <w:rsid w:val="006F5AFA"/>
    <w:rsid w:val="007013CC"/>
    <w:rsid w:val="00703BEF"/>
    <w:rsid w:val="007102C9"/>
    <w:rsid w:val="007116DD"/>
    <w:rsid w:val="0072545A"/>
    <w:rsid w:val="0073038F"/>
    <w:rsid w:val="00740548"/>
    <w:rsid w:val="00764D03"/>
    <w:rsid w:val="00766BA8"/>
    <w:rsid w:val="00771F44"/>
    <w:rsid w:val="0077349D"/>
    <w:rsid w:val="007972A6"/>
    <w:rsid w:val="007A6285"/>
    <w:rsid w:val="007A75C0"/>
    <w:rsid w:val="007B0443"/>
    <w:rsid w:val="007B3099"/>
    <w:rsid w:val="007B4AB1"/>
    <w:rsid w:val="007C6DF4"/>
    <w:rsid w:val="007D5101"/>
    <w:rsid w:val="007D6614"/>
    <w:rsid w:val="007E04A7"/>
    <w:rsid w:val="007E145F"/>
    <w:rsid w:val="007E2B85"/>
    <w:rsid w:val="007E6D29"/>
    <w:rsid w:val="00815C5A"/>
    <w:rsid w:val="0082074E"/>
    <w:rsid w:val="00822BBD"/>
    <w:rsid w:val="008251F3"/>
    <w:rsid w:val="00830BB5"/>
    <w:rsid w:val="0083316C"/>
    <w:rsid w:val="00833A7D"/>
    <w:rsid w:val="00851694"/>
    <w:rsid w:val="0085619F"/>
    <w:rsid w:val="00864669"/>
    <w:rsid w:val="00864B60"/>
    <w:rsid w:val="008661B9"/>
    <w:rsid w:val="00870BBF"/>
    <w:rsid w:val="00872AD5"/>
    <w:rsid w:val="008736C5"/>
    <w:rsid w:val="00892A46"/>
    <w:rsid w:val="0089376D"/>
    <w:rsid w:val="00895E31"/>
    <w:rsid w:val="008A1DB2"/>
    <w:rsid w:val="008A2274"/>
    <w:rsid w:val="008A7F2B"/>
    <w:rsid w:val="008B2353"/>
    <w:rsid w:val="008B3504"/>
    <w:rsid w:val="008B4243"/>
    <w:rsid w:val="008C5496"/>
    <w:rsid w:val="008D413F"/>
    <w:rsid w:val="008D4307"/>
    <w:rsid w:val="008D4533"/>
    <w:rsid w:val="008D4802"/>
    <w:rsid w:val="008E25E2"/>
    <w:rsid w:val="008E4457"/>
    <w:rsid w:val="008E786C"/>
    <w:rsid w:val="008F7997"/>
    <w:rsid w:val="00900E3E"/>
    <w:rsid w:val="00901719"/>
    <w:rsid w:val="009047A4"/>
    <w:rsid w:val="00911A2D"/>
    <w:rsid w:val="00920C04"/>
    <w:rsid w:val="00925709"/>
    <w:rsid w:val="00925C4D"/>
    <w:rsid w:val="00930092"/>
    <w:rsid w:val="00934C26"/>
    <w:rsid w:val="00935209"/>
    <w:rsid w:val="0093560B"/>
    <w:rsid w:val="009400C5"/>
    <w:rsid w:val="00942B32"/>
    <w:rsid w:val="009464E2"/>
    <w:rsid w:val="00972DD2"/>
    <w:rsid w:val="00977267"/>
    <w:rsid w:val="00977C8E"/>
    <w:rsid w:val="0098515D"/>
    <w:rsid w:val="00993B0C"/>
    <w:rsid w:val="009965CA"/>
    <w:rsid w:val="009A331D"/>
    <w:rsid w:val="009A489E"/>
    <w:rsid w:val="009A7302"/>
    <w:rsid w:val="009B1CBE"/>
    <w:rsid w:val="009B2967"/>
    <w:rsid w:val="009B2A06"/>
    <w:rsid w:val="009B5FE4"/>
    <w:rsid w:val="009B6C7E"/>
    <w:rsid w:val="009C3C92"/>
    <w:rsid w:val="009C6266"/>
    <w:rsid w:val="009C74F6"/>
    <w:rsid w:val="009D3A93"/>
    <w:rsid w:val="009E09A9"/>
    <w:rsid w:val="009E3DD9"/>
    <w:rsid w:val="009E7F99"/>
    <w:rsid w:val="009F2A36"/>
    <w:rsid w:val="009F2E1C"/>
    <w:rsid w:val="009F5E92"/>
    <w:rsid w:val="00A04DB5"/>
    <w:rsid w:val="00A25AD4"/>
    <w:rsid w:val="00A34804"/>
    <w:rsid w:val="00A35046"/>
    <w:rsid w:val="00A432F4"/>
    <w:rsid w:val="00A433E4"/>
    <w:rsid w:val="00A4639A"/>
    <w:rsid w:val="00A5597F"/>
    <w:rsid w:val="00A659CD"/>
    <w:rsid w:val="00A66E9E"/>
    <w:rsid w:val="00A7000B"/>
    <w:rsid w:val="00A768AE"/>
    <w:rsid w:val="00A82343"/>
    <w:rsid w:val="00A91D0D"/>
    <w:rsid w:val="00A9738D"/>
    <w:rsid w:val="00AA2C44"/>
    <w:rsid w:val="00AA5681"/>
    <w:rsid w:val="00AA5CFB"/>
    <w:rsid w:val="00AB7B04"/>
    <w:rsid w:val="00AC77F0"/>
    <w:rsid w:val="00AE4C6E"/>
    <w:rsid w:val="00AE7DB4"/>
    <w:rsid w:val="00AF6141"/>
    <w:rsid w:val="00AF6229"/>
    <w:rsid w:val="00AF6382"/>
    <w:rsid w:val="00B00A1F"/>
    <w:rsid w:val="00B01410"/>
    <w:rsid w:val="00B068BE"/>
    <w:rsid w:val="00B11C62"/>
    <w:rsid w:val="00B24538"/>
    <w:rsid w:val="00B250E3"/>
    <w:rsid w:val="00B2781F"/>
    <w:rsid w:val="00B30E04"/>
    <w:rsid w:val="00B332DB"/>
    <w:rsid w:val="00B34604"/>
    <w:rsid w:val="00B54BA5"/>
    <w:rsid w:val="00B6062C"/>
    <w:rsid w:val="00B60E1B"/>
    <w:rsid w:val="00B6298C"/>
    <w:rsid w:val="00B70848"/>
    <w:rsid w:val="00B716FD"/>
    <w:rsid w:val="00B95D31"/>
    <w:rsid w:val="00BA0556"/>
    <w:rsid w:val="00BA777F"/>
    <w:rsid w:val="00BB25EA"/>
    <w:rsid w:val="00BB2DF3"/>
    <w:rsid w:val="00BC0957"/>
    <w:rsid w:val="00BC4946"/>
    <w:rsid w:val="00BD01BB"/>
    <w:rsid w:val="00BD2490"/>
    <w:rsid w:val="00BE15E8"/>
    <w:rsid w:val="00BE2BC4"/>
    <w:rsid w:val="00BE3FDA"/>
    <w:rsid w:val="00C027D9"/>
    <w:rsid w:val="00C04C96"/>
    <w:rsid w:val="00C05FE4"/>
    <w:rsid w:val="00C16962"/>
    <w:rsid w:val="00C203DA"/>
    <w:rsid w:val="00C2546D"/>
    <w:rsid w:val="00C26C20"/>
    <w:rsid w:val="00C35621"/>
    <w:rsid w:val="00C357E6"/>
    <w:rsid w:val="00C371BD"/>
    <w:rsid w:val="00C425A6"/>
    <w:rsid w:val="00C51F49"/>
    <w:rsid w:val="00C52AAE"/>
    <w:rsid w:val="00C54B05"/>
    <w:rsid w:val="00C57752"/>
    <w:rsid w:val="00C62024"/>
    <w:rsid w:val="00C72891"/>
    <w:rsid w:val="00C7549E"/>
    <w:rsid w:val="00C8421C"/>
    <w:rsid w:val="00C865D7"/>
    <w:rsid w:val="00C86EE5"/>
    <w:rsid w:val="00C912FF"/>
    <w:rsid w:val="00C91DD0"/>
    <w:rsid w:val="00CB0ED7"/>
    <w:rsid w:val="00CB611C"/>
    <w:rsid w:val="00CD1A05"/>
    <w:rsid w:val="00CF74CC"/>
    <w:rsid w:val="00D0149F"/>
    <w:rsid w:val="00D10839"/>
    <w:rsid w:val="00D11C5B"/>
    <w:rsid w:val="00D121B7"/>
    <w:rsid w:val="00D124DB"/>
    <w:rsid w:val="00D13BE7"/>
    <w:rsid w:val="00D15D73"/>
    <w:rsid w:val="00D32CCE"/>
    <w:rsid w:val="00D36906"/>
    <w:rsid w:val="00D43DEA"/>
    <w:rsid w:val="00D51982"/>
    <w:rsid w:val="00D5775C"/>
    <w:rsid w:val="00D70DE3"/>
    <w:rsid w:val="00D85338"/>
    <w:rsid w:val="00D8604B"/>
    <w:rsid w:val="00DA1CFD"/>
    <w:rsid w:val="00DA3248"/>
    <w:rsid w:val="00DA5A81"/>
    <w:rsid w:val="00DA66F9"/>
    <w:rsid w:val="00DB5392"/>
    <w:rsid w:val="00DB5F3E"/>
    <w:rsid w:val="00DB61B6"/>
    <w:rsid w:val="00DC7A48"/>
    <w:rsid w:val="00DF2588"/>
    <w:rsid w:val="00DF2DA8"/>
    <w:rsid w:val="00E00704"/>
    <w:rsid w:val="00E06611"/>
    <w:rsid w:val="00E15440"/>
    <w:rsid w:val="00E233E6"/>
    <w:rsid w:val="00E26E7A"/>
    <w:rsid w:val="00E2701A"/>
    <w:rsid w:val="00E53A6B"/>
    <w:rsid w:val="00E7148D"/>
    <w:rsid w:val="00E72E5A"/>
    <w:rsid w:val="00E736A4"/>
    <w:rsid w:val="00E83474"/>
    <w:rsid w:val="00E83E54"/>
    <w:rsid w:val="00E9686B"/>
    <w:rsid w:val="00EB6C7E"/>
    <w:rsid w:val="00EC4D85"/>
    <w:rsid w:val="00ED16CA"/>
    <w:rsid w:val="00ED7E00"/>
    <w:rsid w:val="00EE19B9"/>
    <w:rsid w:val="00EE54CA"/>
    <w:rsid w:val="00EE78D9"/>
    <w:rsid w:val="00EF1D64"/>
    <w:rsid w:val="00EF3B0F"/>
    <w:rsid w:val="00F03D03"/>
    <w:rsid w:val="00F053F7"/>
    <w:rsid w:val="00F06C26"/>
    <w:rsid w:val="00F12E45"/>
    <w:rsid w:val="00F15AB9"/>
    <w:rsid w:val="00F21ADF"/>
    <w:rsid w:val="00F350E6"/>
    <w:rsid w:val="00F37F84"/>
    <w:rsid w:val="00F4709D"/>
    <w:rsid w:val="00F52690"/>
    <w:rsid w:val="00F57416"/>
    <w:rsid w:val="00F627D9"/>
    <w:rsid w:val="00F628D0"/>
    <w:rsid w:val="00F75EB7"/>
    <w:rsid w:val="00F76ADE"/>
    <w:rsid w:val="00F847BE"/>
    <w:rsid w:val="00F87ADE"/>
    <w:rsid w:val="00F91D88"/>
    <w:rsid w:val="00FA1B93"/>
    <w:rsid w:val="00FA43D5"/>
    <w:rsid w:val="00FD442A"/>
    <w:rsid w:val="00FD47A6"/>
    <w:rsid w:val="00FD543C"/>
    <w:rsid w:val="00FE08A5"/>
    <w:rsid w:val="00FE189C"/>
    <w:rsid w:val="00FF0F56"/>
    <w:rsid w:val="00FF1E0A"/>
    <w:rsid w:val="00FF5453"/>
    <w:rsid w:val="00FF56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188FE1C6"/>
  <w15:docId w15:val="{E58A2BF8-F8DB-4913-AC33-36D5385F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rPr>
  </w:style>
  <w:style w:type="paragraph" w:styleId="Heading1">
    <w:name w:val="heading 1"/>
    <w:basedOn w:val="Normal"/>
    <w:next w:val="Normal"/>
    <w:link w:val="Heading1Char"/>
    <w:uiPriority w:val="9"/>
    <w:qFormat/>
    <w:rsid w:val="003D78BB"/>
    <w:pPr>
      <w:keepNext/>
      <w:tabs>
        <w:tab w:val="left" w:pos="6480"/>
      </w:tabs>
      <w:spacing w:line="240" w:lineRule="auto"/>
      <w:ind w:left="720"/>
      <w:textAlignment w:val="baseline"/>
      <w:outlineLvl w:val="0"/>
    </w:pPr>
    <w:rPr>
      <w:rFonts w:ascii="Times New Roman" w:hAnsi="Times New Roman"/>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99"/>
    <w:qFormat/>
    <w:pPr>
      <w:ind w:left="72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PlainText">
    <w:name w:val="Plain Text"/>
    <w:basedOn w:val="Normal"/>
    <w:link w:val="PlainTextChar"/>
    <w:uiPriority w:val="99"/>
    <w:unhideWhenUsed/>
    <w:pPr>
      <w:spacing w:after="0" w:line="240" w:lineRule="auto"/>
    </w:pPr>
    <w:rPr>
      <w:rFonts w:cstheme="minorBidi"/>
      <w:szCs w:val="21"/>
    </w:rPr>
  </w:style>
  <w:style w:type="character" w:customStyle="1" w:styleId="PlainTextChar">
    <w:name w:val="Plain Text Char"/>
    <w:basedOn w:val="DefaultParagraphFont"/>
    <w:link w:val="PlainText"/>
    <w:uiPriority w:val="99"/>
    <w:rPr>
      <w:rFonts w:ascii="Calibri" w:hAnsi="Calibri"/>
      <w:szCs w:val="21"/>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3D78BB"/>
    <w:rPr>
      <w:rFonts w:ascii="Times New Roman" w:hAnsi="Times New Roman" w:cs="Times New Roman"/>
      <w:i/>
      <w:color w:val="000000"/>
      <w:sz w:val="24"/>
      <w:szCs w:val="24"/>
    </w:rPr>
  </w:style>
  <w:style w:type="character" w:styleId="UnresolvedMention">
    <w:name w:val="Unresolved Mention"/>
    <w:basedOn w:val="DefaultParagraphFont"/>
    <w:uiPriority w:val="99"/>
    <w:semiHidden/>
    <w:unhideWhenUsed/>
    <w:rsid w:val="00185A3B"/>
    <w:rPr>
      <w:color w:val="605E5C"/>
      <w:shd w:val="clear" w:color="auto" w:fill="E1DFDD"/>
    </w:rPr>
  </w:style>
  <w:style w:type="paragraph" w:styleId="FootnoteText">
    <w:name w:val="footnote text"/>
    <w:basedOn w:val="Normal"/>
    <w:link w:val="FootnoteTextChar"/>
    <w:uiPriority w:val="99"/>
    <w:semiHidden/>
    <w:unhideWhenUsed/>
    <w:rsid w:val="00FA43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3D5"/>
    <w:rPr>
      <w:rFonts w:ascii="Calibri" w:hAnsi="Calibri" w:cs="Times New Roman"/>
      <w:sz w:val="20"/>
      <w:szCs w:val="20"/>
    </w:rPr>
  </w:style>
  <w:style w:type="character" w:styleId="FootnoteReference">
    <w:name w:val="footnote reference"/>
    <w:basedOn w:val="DefaultParagraphFont"/>
    <w:uiPriority w:val="99"/>
    <w:semiHidden/>
    <w:unhideWhenUsed/>
    <w:rsid w:val="00FA43D5"/>
    <w:rPr>
      <w:vertAlign w:val="superscript"/>
    </w:rPr>
  </w:style>
  <w:style w:type="character" w:customStyle="1" w:styleId="cosearchterm">
    <w:name w:val="co_searchterm"/>
    <w:basedOn w:val="DefaultParagraphFont"/>
    <w:rsid w:val="00FE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9046">
      <w:bodyDiv w:val="1"/>
      <w:marLeft w:val="0"/>
      <w:marRight w:val="0"/>
      <w:marTop w:val="0"/>
      <w:marBottom w:val="0"/>
      <w:divBdr>
        <w:top w:val="none" w:sz="0" w:space="0" w:color="auto"/>
        <w:left w:val="none" w:sz="0" w:space="0" w:color="auto"/>
        <w:bottom w:val="none" w:sz="0" w:space="0" w:color="auto"/>
        <w:right w:val="none" w:sz="0" w:space="0" w:color="auto"/>
      </w:divBdr>
    </w:div>
    <w:div w:id="365181838">
      <w:bodyDiv w:val="1"/>
      <w:marLeft w:val="0"/>
      <w:marRight w:val="0"/>
      <w:marTop w:val="0"/>
      <w:marBottom w:val="0"/>
      <w:divBdr>
        <w:top w:val="none" w:sz="0" w:space="0" w:color="auto"/>
        <w:left w:val="none" w:sz="0" w:space="0" w:color="auto"/>
        <w:bottom w:val="none" w:sz="0" w:space="0" w:color="auto"/>
        <w:right w:val="none" w:sz="0" w:space="0" w:color="auto"/>
      </w:divBdr>
    </w:div>
    <w:div w:id="401679078">
      <w:bodyDiv w:val="1"/>
      <w:marLeft w:val="0"/>
      <w:marRight w:val="0"/>
      <w:marTop w:val="0"/>
      <w:marBottom w:val="0"/>
      <w:divBdr>
        <w:top w:val="none" w:sz="0" w:space="0" w:color="auto"/>
        <w:left w:val="none" w:sz="0" w:space="0" w:color="auto"/>
        <w:bottom w:val="none" w:sz="0" w:space="0" w:color="auto"/>
        <w:right w:val="none" w:sz="0" w:space="0" w:color="auto"/>
      </w:divBdr>
    </w:div>
    <w:div w:id="673995386">
      <w:bodyDiv w:val="1"/>
      <w:marLeft w:val="0"/>
      <w:marRight w:val="0"/>
      <w:marTop w:val="0"/>
      <w:marBottom w:val="0"/>
      <w:divBdr>
        <w:top w:val="none" w:sz="0" w:space="0" w:color="auto"/>
        <w:left w:val="none" w:sz="0" w:space="0" w:color="auto"/>
        <w:bottom w:val="none" w:sz="0" w:space="0" w:color="auto"/>
        <w:right w:val="none" w:sz="0" w:space="0" w:color="auto"/>
      </w:divBdr>
    </w:div>
    <w:div w:id="727995242">
      <w:bodyDiv w:val="1"/>
      <w:marLeft w:val="0"/>
      <w:marRight w:val="0"/>
      <w:marTop w:val="0"/>
      <w:marBottom w:val="0"/>
      <w:divBdr>
        <w:top w:val="none" w:sz="0" w:space="0" w:color="auto"/>
        <w:left w:val="none" w:sz="0" w:space="0" w:color="auto"/>
        <w:bottom w:val="none" w:sz="0" w:space="0" w:color="auto"/>
        <w:right w:val="none" w:sz="0" w:space="0" w:color="auto"/>
      </w:divBdr>
    </w:div>
    <w:div w:id="922493995">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0480706">
      <w:bodyDiv w:val="1"/>
      <w:marLeft w:val="0"/>
      <w:marRight w:val="0"/>
      <w:marTop w:val="0"/>
      <w:marBottom w:val="0"/>
      <w:divBdr>
        <w:top w:val="none" w:sz="0" w:space="0" w:color="auto"/>
        <w:left w:val="none" w:sz="0" w:space="0" w:color="auto"/>
        <w:bottom w:val="none" w:sz="0" w:space="0" w:color="auto"/>
        <w:right w:val="none" w:sz="0" w:space="0" w:color="auto"/>
      </w:divBdr>
    </w:div>
    <w:div w:id="1421415439">
      <w:bodyDiv w:val="1"/>
      <w:marLeft w:val="0"/>
      <w:marRight w:val="0"/>
      <w:marTop w:val="0"/>
      <w:marBottom w:val="0"/>
      <w:divBdr>
        <w:top w:val="none" w:sz="0" w:space="0" w:color="auto"/>
        <w:left w:val="none" w:sz="0" w:space="0" w:color="auto"/>
        <w:bottom w:val="none" w:sz="0" w:space="0" w:color="auto"/>
        <w:right w:val="none" w:sz="0" w:space="0" w:color="auto"/>
      </w:divBdr>
    </w:div>
    <w:div w:id="1497957973">
      <w:bodyDiv w:val="1"/>
      <w:marLeft w:val="0"/>
      <w:marRight w:val="0"/>
      <w:marTop w:val="0"/>
      <w:marBottom w:val="0"/>
      <w:divBdr>
        <w:top w:val="none" w:sz="0" w:space="0" w:color="auto"/>
        <w:left w:val="none" w:sz="0" w:space="0" w:color="auto"/>
        <w:bottom w:val="none" w:sz="0" w:space="0" w:color="auto"/>
        <w:right w:val="none" w:sz="0" w:space="0" w:color="auto"/>
      </w:divBdr>
    </w:div>
    <w:div w:id="1502965997">
      <w:bodyDiv w:val="1"/>
      <w:marLeft w:val="0"/>
      <w:marRight w:val="0"/>
      <w:marTop w:val="0"/>
      <w:marBottom w:val="0"/>
      <w:divBdr>
        <w:top w:val="none" w:sz="0" w:space="0" w:color="auto"/>
        <w:left w:val="none" w:sz="0" w:space="0" w:color="auto"/>
        <w:bottom w:val="none" w:sz="0" w:space="0" w:color="auto"/>
        <w:right w:val="none" w:sz="0" w:space="0" w:color="auto"/>
      </w:divBdr>
      <w:divsChild>
        <w:div w:id="1164201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5659">
              <w:marLeft w:val="0"/>
              <w:marRight w:val="0"/>
              <w:marTop w:val="0"/>
              <w:marBottom w:val="0"/>
              <w:divBdr>
                <w:top w:val="none" w:sz="0" w:space="0" w:color="auto"/>
                <w:left w:val="none" w:sz="0" w:space="0" w:color="auto"/>
                <w:bottom w:val="none" w:sz="0" w:space="0" w:color="auto"/>
                <w:right w:val="none" w:sz="0" w:space="0" w:color="auto"/>
              </w:divBdr>
              <w:divsChild>
                <w:div w:id="16154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9330">
      <w:bodyDiv w:val="1"/>
      <w:marLeft w:val="0"/>
      <w:marRight w:val="0"/>
      <w:marTop w:val="0"/>
      <w:marBottom w:val="0"/>
      <w:divBdr>
        <w:top w:val="none" w:sz="0" w:space="0" w:color="auto"/>
        <w:left w:val="none" w:sz="0" w:space="0" w:color="auto"/>
        <w:bottom w:val="none" w:sz="0" w:space="0" w:color="auto"/>
        <w:right w:val="none" w:sz="0" w:space="0" w:color="auto"/>
      </w:divBdr>
    </w:div>
    <w:div w:id="1811286804">
      <w:bodyDiv w:val="1"/>
      <w:marLeft w:val="0"/>
      <w:marRight w:val="0"/>
      <w:marTop w:val="0"/>
      <w:marBottom w:val="0"/>
      <w:divBdr>
        <w:top w:val="none" w:sz="0" w:space="0" w:color="auto"/>
        <w:left w:val="none" w:sz="0" w:space="0" w:color="auto"/>
        <w:bottom w:val="none" w:sz="0" w:space="0" w:color="auto"/>
        <w:right w:val="none" w:sz="0" w:space="0" w:color="auto"/>
      </w:divBdr>
    </w:div>
    <w:div w:id="1895388109">
      <w:bodyDiv w:val="1"/>
      <w:marLeft w:val="0"/>
      <w:marRight w:val="0"/>
      <w:marTop w:val="0"/>
      <w:marBottom w:val="0"/>
      <w:divBdr>
        <w:top w:val="none" w:sz="0" w:space="0" w:color="auto"/>
        <w:left w:val="none" w:sz="0" w:space="0" w:color="auto"/>
        <w:bottom w:val="none" w:sz="0" w:space="0" w:color="auto"/>
        <w:right w:val="none" w:sz="0" w:space="0" w:color="auto"/>
      </w:divBdr>
    </w:div>
    <w:div w:id="19059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ilii.org/ew/cases/EWHC/Fam/2021/54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ba.org/CPLRJune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ittee xmlns="069687e2-925e-426b-a6ff-b7c24f329e7f" xsi:nil="true"/>
    <Section xmlns="069687e2-925e-426b-a6ff-b7c24f329e7f">NN/A</Section>
    <Department xmlns="069687e2-925e-426b-a6ff-b7c24f329e7f">Gov't Relations</Department>
    <Description0 xmlns="069687e2-925e-426b-a6ff-b7c24f329e7f" xsi:nil="true"/>
    <Document_x0020_Type xmlns="069687e2-925e-426b-a6ff-b7c24f329e7f" xsi:nil="true"/>
    <Retention_x0020_Period xmlns="069687e2-925e-426b-a6ff-b7c24f329e7f">None</Retention_x0020_Period>
    <Status xmlns="069687e2-925e-426b-a6ff-b7c24f329e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DB38863917B48AA1F8F78DA161807" ma:contentTypeVersion="7" ma:contentTypeDescription="Create a new document." ma:contentTypeScope="" ma:versionID="e92ee77133631cb5b5ca6cbfda6e7a68">
  <xsd:schema xmlns:xsd="http://www.w3.org/2001/XMLSchema" xmlns:xs="http://www.w3.org/2001/XMLSchema" xmlns:p="http://schemas.microsoft.com/office/2006/metadata/properties" xmlns:ns2="069687e2-925e-426b-a6ff-b7c24f329e7f" targetNamespace="http://schemas.microsoft.com/office/2006/metadata/properties" ma:root="true" ma:fieldsID="08686b336494336db51b53c9d6da2195" ns2:_="">
    <xsd:import namespace="069687e2-925e-426b-a6ff-b7c24f329e7f"/>
    <xsd:element name="properties">
      <xsd:complexType>
        <xsd:sequence>
          <xsd:element name="documentManagement">
            <xsd:complexType>
              <xsd:all>
                <xsd:element ref="ns2:Committee" minOccurs="0"/>
                <xsd:element ref="ns2:Section" minOccurs="0"/>
                <xsd:element ref="ns2:Description0" minOccurs="0"/>
                <xsd:element ref="ns2:Status" minOccurs="0"/>
                <xsd:element ref="ns2:Document_x0020_Type" minOccurs="0"/>
                <xsd:element ref="ns2:Depart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687e2-925e-426b-a6ff-b7c24f329e7f" elementFormDefault="qualified">
    <xsd:import namespace="http://schemas.microsoft.com/office/2006/documentManagement/types"/>
    <xsd:import namespace="http://schemas.microsoft.com/office/infopath/2007/PartnerControls"/>
    <xsd:element name="Committee" ma:index="8" nillable="true" ma:displayName="Committee" ma:internalName="Committee">
      <xsd:simpleType>
        <xsd:restriction base="dms:Text">
          <xsd:maxLength value="255"/>
        </xsd:restriction>
      </xsd:simpleType>
    </xsd:element>
    <xsd:element name="Section" ma:index="9" nillable="true" ma:displayName="Section" ma:default="NN/A" ma:format="Dropdown" ma:internalName="Section">
      <xsd:simpleType>
        <xsd:restriction base="dms:Choice">
          <xsd:enumeration value="NN/A"/>
          <xsd:enumeration value="Antitrust Law"/>
          <xsd:enumeration value="Business Law"/>
          <xsd:enumeration value="Commercial &amp; Federal Litigation"/>
          <xsd:enumeration value="Corporate Counsel"/>
          <xsd:enumeration value="Criminal Justice"/>
          <xsd:enumeration value="Dispute Resolution"/>
          <xsd:enumeration value="EASL"/>
          <xsd:enumeration value="Elder Law"/>
          <xsd:enumeration value="Environmental Law"/>
          <xsd:enumeration value="Family Law"/>
          <xsd:enumeration value="Food, Drug &amp; Cosmetic Law"/>
          <xsd:enumeration value="The New York Bar Foundation"/>
          <xsd:enumeration value="Food, Drug and Cosmetic Law"/>
          <xsd:enumeration value="General Practice"/>
          <xsd:enumeration value="Health Law"/>
          <xsd:enumeration value="International"/>
          <xsd:enumeration value="Intellectual Property Law"/>
          <xsd:enumeration value="Judicial (Courts of Record)"/>
          <xsd:enumeration value="Labor and Employment Law"/>
          <xsd:enumeration value="Municipal Law"/>
          <xsd:enumeration value="Real Property Law"/>
          <xsd:enumeration value="Senior Lawyers"/>
          <xsd:enumeration value="Tax"/>
          <xsd:enumeration value="Torts, Ins and Compensation"/>
          <xsd:enumeration value="Trial Lawyers"/>
          <xsd:enumeration value="Trusts and Estates Law"/>
          <xsd:enumeration value="Young Lawyers"/>
        </xsd:restriction>
      </xsd:simpleType>
    </xsd:element>
    <xsd:element name="Description0" ma:index="10" nillable="true" ma:displayName="Description" ma:internalName="Description0">
      <xsd:simpleType>
        <xsd:restriction base="dms:Text">
          <xsd:maxLength value="255"/>
        </xsd:restriction>
      </xsd:simpleType>
    </xsd:element>
    <xsd:element name="Status" ma:index="11" nillable="true" ma:displayName="Status" ma:default="" ma:format="Dropdown" ma:internalName="Status">
      <xsd:simpleType>
        <xsd:union memberTypes="dms:Text">
          <xsd:simpleType>
            <xsd:restriction base="dms:Choice">
              <xsd:enumeration value="N/A"/>
              <xsd:enumeration value="Draft"/>
              <xsd:enumeration value="In Progress"/>
              <xsd:enumeration value="Final"/>
            </xsd:restriction>
          </xsd:simpleType>
        </xsd:union>
      </xsd:simpleType>
    </xsd:element>
    <xsd:element name="Document_x0020_Type" ma:index="12" nillable="true" ma:displayName="Document Type" ma:default="" ma:format="Dropdown" ma:internalName="Document_x0020_Type">
      <xsd:simpleType>
        <xsd:union memberTypes="dms:Text">
          <xsd:simpleType>
            <xsd:restriction base="dms:Choice">
              <xsd:enumeration value="N/A"/>
              <xsd:enumeration value="Correspondence"/>
              <xsd:enumeration value="Documentation"/>
              <xsd:enumeration value="Proposal"/>
            </xsd:restriction>
          </xsd:simpleType>
        </xsd:union>
      </xsd:simpleType>
    </xsd:element>
    <xsd:element name="Department" ma:index="13" nillable="true" ma:displayName="Department" ma:default="Gov't Relations" ma:format="Dropdown" ma:internalName="Department">
      <xsd:simpleType>
        <xsd:restriction base="dms:Choice">
          <xsd:enumeration value="Accounting"/>
          <xsd:enumeration value="Admin Services"/>
          <xsd:enumeration value="Bar Services"/>
          <xsd:enumeration value="CLE-AV"/>
          <xsd:enumeration value="CLE-BOOK"/>
          <xsd:enumeration value="CLE-REG"/>
          <xsd:enumeration value="CLE-SEM"/>
          <xsd:enumeration value="Counsel"/>
          <xsd:enumeration value="DS"/>
          <xsd:enumeration value="Executive"/>
          <xsd:enumeration value="Foundation"/>
          <xsd:enumeration value="Gov't Relations"/>
          <xsd:enumeration value="Graphics"/>
          <xsd:enumeration value="HR"/>
          <xsd:enumeration value="LAP"/>
          <xsd:enumeration value="LPM"/>
          <xsd:enumeration value="LYC"/>
          <xsd:enumeration value="Marketing"/>
          <xsd:enumeration value="Media Services"/>
          <xsd:enumeration value="Meetings"/>
          <xsd:enumeration value="Membership"/>
          <xsd:enumeration value="MIS"/>
          <xsd:enumeration value="Newsletters"/>
          <xsd:enumeration value="Print Shop"/>
          <xsd:enumeration value="Pro-Bono"/>
        </xsd:restriction>
      </xsd:simpleType>
    </xsd:element>
    <xsd:element name="Retention_x0020_Period" ma:index="14" nillable="true" ma:displayName="Retention Period" ma:default="None" ma:format="Dropdown" ma:internalName="Retention_x0020_Period">
      <xsd:simpleType>
        <xsd:restriction base="dms:Choice">
          <xsd:enumeration value="None"/>
          <xsd:enumeration value="1 Year"/>
          <xsd:enumeration value="2 Years"/>
          <xsd:enumeration value="3 Ye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0D69-0A86-4EBD-A3BE-8008F91D4015}">
  <ds:schemaRefs>
    <ds:schemaRef ds:uri="http://schemas.microsoft.com/office/2006/metadata/properties"/>
    <ds:schemaRef ds:uri="http://schemas.microsoft.com/office/infopath/2007/PartnerControls"/>
    <ds:schemaRef ds:uri="069687e2-925e-426b-a6ff-b7c24f329e7f"/>
  </ds:schemaRefs>
</ds:datastoreItem>
</file>

<file path=customXml/itemProps2.xml><?xml version="1.0" encoding="utf-8"?>
<ds:datastoreItem xmlns:ds="http://schemas.openxmlformats.org/officeDocument/2006/customXml" ds:itemID="{A24F925E-2BA4-4BC4-BAB9-FF3E48077E57}">
  <ds:schemaRefs>
    <ds:schemaRef ds:uri="http://schemas.microsoft.com/sharepoint/v3/contenttype/forms"/>
  </ds:schemaRefs>
</ds:datastoreItem>
</file>

<file path=customXml/itemProps3.xml><?xml version="1.0" encoding="utf-8"?>
<ds:datastoreItem xmlns:ds="http://schemas.openxmlformats.org/officeDocument/2006/customXml" ds:itemID="{D733C9B1-06C5-4FD1-934C-175CC7305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687e2-925e-426b-a6ff-b7c24f329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FC119-EA54-4F67-91B0-BF2412C3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audrey.miller</dc:creator>
  <cp:keywords/>
  <dc:description/>
  <cp:lastModifiedBy>Mahan, Barbara</cp:lastModifiedBy>
  <cp:revision>4</cp:revision>
  <cp:lastPrinted>2021-05-27T20:06:00Z</cp:lastPrinted>
  <dcterms:created xsi:type="dcterms:W3CDTF">2021-05-27T20:06:00Z</dcterms:created>
  <dcterms:modified xsi:type="dcterms:W3CDTF">2021-05-27T20:36:00Z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0x01010011CDB38863917B48AA1F8F78DA161807</vt:lpwstr>
  </property>
</Properties>
</file>