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3297EA1A" w:rsidR="00963446" w:rsidRPr="00D47511" w:rsidRDefault="00022832"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1D5634">
        <w:rPr>
          <w:rFonts w:ascii="Stencil" w:hAnsi="Stencil" w:cs="Times New Roman"/>
          <w:b/>
        </w:rPr>
        <w:t xml:space="preserve">APRIL </w:t>
      </w:r>
      <w:r w:rsidR="00654971" w:rsidRPr="00D47511">
        <w:rPr>
          <w:rFonts w:ascii="Stencil" w:hAnsi="Stencil" w:cs="Times New Roman"/>
          <w:b/>
        </w:rPr>
        <w:t>2</w:t>
      </w:r>
      <w:r w:rsidR="00963446" w:rsidRPr="00D47511">
        <w:rPr>
          <w:rFonts w:ascii="Stencil" w:hAnsi="Stencil" w:cs="Times New Roman"/>
          <w:b/>
        </w:rPr>
        <w:t>02</w:t>
      </w:r>
      <w:r w:rsidR="00654971" w:rsidRPr="00D47511">
        <w:rPr>
          <w:rFonts w:ascii="Stencil" w:hAnsi="Stencil" w:cs="Times New Roman"/>
          <w:b/>
        </w:rPr>
        <w:t>5</w:t>
      </w:r>
    </w:p>
    <w:p w14:paraId="09CCB385" w14:textId="77777777"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0F6DA547" w14:textId="3F8A80D4" w:rsidR="00AE6954" w:rsidRDefault="00963446" w:rsidP="00963446">
      <w:pPr>
        <w:pStyle w:val="Heading2"/>
        <w:numPr>
          <w:ilvl w:val="0"/>
          <w:numId w:val="0"/>
        </w:numPr>
        <w:jc w:val="both"/>
        <w:rPr>
          <w:b/>
          <w:bCs/>
        </w:rPr>
      </w:pPr>
      <w:r w:rsidRPr="00F77769">
        <w:rPr>
          <w:rFonts w:ascii="Verdana" w:hAnsi="Verdana" w:cs="Times New Roman"/>
          <w:b/>
          <w:bCs/>
        </w:rPr>
        <w:t>Support Magistrate, Schenectady &amp; Montgomery County Family Courts</w:t>
      </w:r>
    </w:p>
    <w:p w14:paraId="6646BC4A" w14:textId="59390843" w:rsidR="00660DA3" w:rsidRDefault="00660DA3" w:rsidP="00245175">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Child Support </w:t>
      </w:r>
      <w:r w:rsidRPr="00660DA3">
        <w:rPr>
          <w:rFonts w:ascii="Times New Roman" w:hAnsi="Times New Roman" w:cs="Times New Roman"/>
          <w:b/>
          <w:bCs/>
        </w:rPr>
        <w:t>- CSSA – Income Cap - $400,000; College – No Room and Board Credit</w:t>
      </w:r>
      <w:r>
        <w:rPr>
          <w:rFonts w:ascii="Times New Roman" w:hAnsi="Times New Roman" w:cs="Times New Roman"/>
          <w:b/>
          <w:bCs/>
        </w:rPr>
        <w:t xml:space="preserve">; Equitable Distribution </w:t>
      </w:r>
      <w:r w:rsidRPr="00660DA3">
        <w:rPr>
          <w:rFonts w:ascii="Times New Roman" w:hAnsi="Times New Roman" w:cs="Times New Roman"/>
          <w:b/>
          <w:bCs/>
        </w:rPr>
        <w:t>- Dissipation, Credit to Other Spouse, Marital Property Presumption, Commingling, Proportions – Law Practice (37%); Separate Property</w:t>
      </w:r>
      <w:r>
        <w:rPr>
          <w:rFonts w:ascii="Times New Roman" w:hAnsi="Times New Roman" w:cs="Times New Roman"/>
          <w:b/>
          <w:bCs/>
        </w:rPr>
        <w:t xml:space="preserve">; Maintenance - </w:t>
      </w:r>
      <w:r w:rsidRPr="00660DA3">
        <w:rPr>
          <w:rFonts w:ascii="Times New Roman" w:hAnsi="Times New Roman" w:cs="Times New Roman"/>
          <w:b/>
          <w:bCs/>
        </w:rPr>
        <w:t>Durational – Affirmed, Guidelines, No Credit for Payments; Health Insurance</w:t>
      </w:r>
    </w:p>
    <w:p w14:paraId="05F08E6E" w14:textId="77777777" w:rsidR="00245175" w:rsidRDefault="00245175" w:rsidP="00245175">
      <w:pPr>
        <w:pStyle w:val="Heading2"/>
        <w:numPr>
          <w:ilvl w:val="0"/>
          <w:numId w:val="0"/>
        </w:numPr>
        <w:spacing w:line="240" w:lineRule="auto"/>
        <w:jc w:val="both"/>
        <w:rPr>
          <w:rFonts w:ascii="Times New Roman" w:hAnsi="Times New Roman" w:cs="Times New Roman"/>
        </w:rPr>
      </w:pPr>
    </w:p>
    <w:p w14:paraId="529E7F09" w14:textId="13CB9C51" w:rsidR="00245175" w:rsidRDefault="00660DA3" w:rsidP="00245175">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660DA3">
        <w:rPr>
          <w:rFonts w:ascii="Times New Roman" w:hAnsi="Times New Roman" w:cs="Times New Roman"/>
          <w:b/>
          <w:bCs/>
          <w:i/>
          <w:iCs/>
        </w:rPr>
        <w:t>Torkin v Susac</w:t>
      </w:r>
      <w:r>
        <w:rPr>
          <w:rFonts w:ascii="Times New Roman" w:hAnsi="Times New Roman" w:cs="Times New Roman"/>
        </w:rPr>
        <w:t xml:space="preserve">, 2025 Westlaw 908399 (2d Dept. Mar. 26, 2025), the husband appealed from a December 2021 Supreme Court judgment, rendered upon a July 2021 decision following trial, which: </w:t>
      </w:r>
      <w:r w:rsidRPr="00F030F4">
        <w:rPr>
          <w:rFonts w:ascii="Times New Roman" w:hAnsi="Times New Roman" w:cs="Times New Roman"/>
        </w:rPr>
        <w:t xml:space="preserve"> (1) awarded the </w:t>
      </w:r>
      <w:r>
        <w:rPr>
          <w:rFonts w:ascii="Times New Roman" w:hAnsi="Times New Roman" w:cs="Times New Roman"/>
        </w:rPr>
        <w:t xml:space="preserve">wife </w:t>
      </w:r>
      <w:r w:rsidRPr="00F030F4">
        <w:rPr>
          <w:rFonts w:ascii="Times New Roman" w:hAnsi="Times New Roman" w:cs="Times New Roman"/>
        </w:rPr>
        <w:t xml:space="preserve">a 37% interest in the value of </w:t>
      </w:r>
      <w:r>
        <w:rPr>
          <w:rFonts w:ascii="Times New Roman" w:hAnsi="Times New Roman" w:cs="Times New Roman"/>
        </w:rPr>
        <w:t xml:space="preserve">his law </w:t>
      </w:r>
      <w:r w:rsidRPr="00F030F4">
        <w:rPr>
          <w:rFonts w:ascii="Times New Roman" w:hAnsi="Times New Roman" w:cs="Times New Roman"/>
        </w:rPr>
        <w:t>partnership interest</w:t>
      </w:r>
      <w:r>
        <w:rPr>
          <w:rFonts w:ascii="Times New Roman" w:hAnsi="Times New Roman" w:cs="Times New Roman"/>
        </w:rPr>
        <w:t xml:space="preserve">; </w:t>
      </w:r>
      <w:r w:rsidRPr="00F030F4">
        <w:rPr>
          <w:rFonts w:ascii="Times New Roman" w:hAnsi="Times New Roman" w:cs="Times New Roman"/>
        </w:rPr>
        <w:t xml:space="preserve">(2) awarded the </w:t>
      </w:r>
      <w:r>
        <w:rPr>
          <w:rFonts w:ascii="Times New Roman" w:hAnsi="Times New Roman" w:cs="Times New Roman"/>
        </w:rPr>
        <w:t xml:space="preserve">wife </w:t>
      </w:r>
      <w:r w:rsidRPr="00F030F4">
        <w:rPr>
          <w:rFonts w:ascii="Times New Roman" w:hAnsi="Times New Roman" w:cs="Times New Roman"/>
        </w:rPr>
        <w:t xml:space="preserve">maintenance of $10,000 per month from August 1, 2021, through the first day of the first month following the sale of the marital residence, and $23,000 per month from the first day of the first month following the sale of the marital residence through July 31, 2027, (3) declined to award </w:t>
      </w:r>
      <w:r>
        <w:rPr>
          <w:rFonts w:ascii="Times New Roman" w:hAnsi="Times New Roman" w:cs="Times New Roman"/>
        </w:rPr>
        <w:t xml:space="preserve">him </w:t>
      </w:r>
      <w:r w:rsidRPr="00F030F4">
        <w:rPr>
          <w:rFonts w:ascii="Times New Roman" w:hAnsi="Times New Roman" w:cs="Times New Roman"/>
        </w:rPr>
        <w:t xml:space="preserve">a credit for carrying charges on the marital residence from the date of commencement through July 4, 2020, (4) determined that </w:t>
      </w:r>
      <w:r>
        <w:rPr>
          <w:rFonts w:ascii="Times New Roman" w:hAnsi="Times New Roman" w:cs="Times New Roman"/>
        </w:rPr>
        <w:t xml:space="preserve">a certain </w:t>
      </w:r>
      <w:r w:rsidRPr="00F030F4">
        <w:rPr>
          <w:rFonts w:ascii="Times New Roman" w:hAnsi="Times New Roman" w:cs="Times New Roman"/>
        </w:rPr>
        <w:t xml:space="preserve">Trust was a marital asset to be divided equally between the parties, (5) awarded the </w:t>
      </w:r>
      <w:r>
        <w:rPr>
          <w:rFonts w:ascii="Times New Roman" w:hAnsi="Times New Roman" w:cs="Times New Roman"/>
        </w:rPr>
        <w:t xml:space="preserve">wife </w:t>
      </w:r>
      <w:r w:rsidRPr="00F030F4">
        <w:rPr>
          <w:rFonts w:ascii="Times New Roman" w:hAnsi="Times New Roman" w:cs="Times New Roman"/>
        </w:rPr>
        <w:t xml:space="preserve">the balance of the parties' liquid marital assets, (6) directed </w:t>
      </w:r>
      <w:r>
        <w:rPr>
          <w:rFonts w:ascii="Times New Roman" w:hAnsi="Times New Roman" w:cs="Times New Roman"/>
        </w:rPr>
        <w:t xml:space="preserve">him </w:t>
      </w:r>
      <w:r w:rsidRPr="00F030F4">
        <w:rPr>
          <w:rFonts w:ascii="Times New Roman" w:hAnsi="Times New Roman" w:cs="Times New Roman"/>
        </w:rPr>
        <w:t xml:space="preserve">to pay basic child support based on a combined parental income of $400,000, and (7) declined to award </w:t>
      </w:r>
      <w:r>
        <w:rPr>
          <w:rFonts w:ascii="Times New Roman" w:hAnsi="Times New Roman" w:cs="Times New Roman"/>
        </w:rPr>
        <w:t xml:space="preserve">him </w:t>
      </w:r>
      <w:r w:rsidRPr="00F030F4">
        <w:rPr>
          <w:rFonts w:ascii="Times New Roman" w:hAnsi="Times New Roman" w:cs="Times New Roman"/>
        </w:rPr>
        <w:t>a credit for college room and board.</w:t>
      </w:r>
      <w:r>
        <w:rPr>
          <w:rFonts w:ascii="Times New Roman" w:hAnsi="Times New Roman" w:cs="Times New Roman"/>
        </w:rPr>
        <w:t xml:space="preserve"> </w:t>
      </w:r>
      <w:r w:rsidRPr="005B1160">
        <w:rPr>
          <w:rFonts w:ascii="Times New Roman" w:hAnsi="Times New Roman" w:cs="Times New Roman"/>
        </w:rPr>
        <w:t>The parties were married on November 4, 2001</w:t>
      </w:r>
      <w:r>
        <w:rPr>
          <w:rFonts w:ascii="Times New Roman" w:hAnsi="Times New Roman" w:cs="Times New Roman"/>
        </w:rPr>
        <w:t xml:space="preserve"> and have 2 children</w:t>
      </w:r>
      <w:r w:rsidRPr="005B1160">
        <w:rPr>
          <w:rFonts w:ascii="Times New Roman" w:hAnsi="Times New Roman" w:cs="Times New Roman"/>
        </w:rPr>
        <w:t>.</w:t>
      </w:r>
      <w:r>
        <w:rPr>
          <w:rFonts w:ascii="Times New Roman" w:hAnsi="Times New Roman" w:cs="Times New Roman"/>
        </w:rPr>
        <w:t xml:space="preserve"> During the collaborative divorce process, the parties signed a marital property cut-off date agreement setting December 31, 2016 as the date. The </w:t>
      </w:r>
      <w:r w:rsidRPr="005B1160">
        <w:rPr>
          <w:rFonts w:ascii="Times New Roman" w:hAnsi="Times New Roman" w:cs="Times New Roman"/>
        </w:rPr>
        <w:t xml:space="preserve">collaborative divorce process was unsuccessful, and the </w:t>
      </w:r>
      <w:r>
        <w:rPr>
          <w:rFonts w:ascii="Times New Roman" w:hAnsi="Times New Roman" w:cs="Times New Roman"/>
        </w:rPr>
        <w:t xml:space="preserve">husband </w:t>
      </w:r>
      <w:r w:rsidRPr="005B1160">
        <w:rPr>
          <w:rFonts w:ascii="Times New Roman" w:hAnsi="Times New Roman" w:cs="Times New Roman"/>
        </w:rPr>
        <w:t>commenced this action on December 13, 2017.</w:t>
      </w:r>
      <w:r>
        <w:rPr>
          <w:rFonts w:ascii="Times New Roman" w:hAnsi="Times New Roman" w:cs="Times New Roman"/>
        </w:rPr>
        <w:t xml:space="preserve"> The Second Department affirmed: (1) holding that “</w:t>
      </w:r>
      <w:r w:rsidRPr="00156CF6">
        <w:rPr>
          <w:rFonts w:ascii="Times New Roman" w:hAnsi="Times New Roman" w:cs="Times New Roman"/>
        </w:rPr>
        <w:t xml:space="preserve">Supreme Court providently exercised its discretion in awarding the </w:t>
      </w:r>
      <w:r>
        <w:rPr>
          <w:rFonts w:ascii="Times New Roman" w:hAnsi="Times New Roman" w:cs="Times New Roman"/>
        </w:rPr>
        <w:t xml:space="preserve">[wife] </w:t>
      </w:r>
      <w:r w:rsidRPr="00156CF6">
        <w:rPr>
          <w:rFonts w:ascii="Times New Roman" w:hAnsi="Times New Roman" w:cs="Times New Roman"/>
        </w:rPr>
        <w:t xml:space="preserve">37% of the value of </w:t>
      </w:r>
      <w:r>
        <w:rPr>
          <w:rFonts w:ascii="Times New Roman" w:hAnsi="Times New Roman" w:cs="Times New Roman"/>
        </w:rPr>
        <w:t xml:space="preserve">[his law] </w:t>
      </w:r>
      <w:r w:rsidRPr="00156CF6">
        <w:rPr>
          <w:rFonts w:ascii="Times New Roman" w:hAnsi="Times New Roman" w:cs="Times New Roman"/>
        </w:rPr>
        <w:t>partnership interest</w:t>
      </w:r>
      <w:r>
        <w:rPr>
          <w:rFonts w:ascii="Times New Roman" w:hAnsi="Times New Roman" w:cs="Times New Roman"/>
        </w:rPr>
        <w:t>,” which “</w:t>
      </w:r>
      <w:r w:rsidRPr="00156CF6">
        <w:rPr>
          <w:rFonts w:ascii="Times New Roman" w:hAnsi="Times New Roman" w:cs="Times New Roman"/>
        </w:rPr>
        <w:t xml:space="preserve">properly accounted for the </w:t>
      </w:r>
      <w:r>
        <w:rPr>
          <w:rFonts w:ascii="Times New Roman" w:hAnsi="Times New Roman" w:cs="Times New Roman"/>
        </w:rPr>
        <w:t>[wife</w:t>
      </w:r>
      <w:r w:rsidRPr="00156CF6">
        <w:rPr>
          <w:rFonts w:ascii="Times New Roman" w:hAnsi="Times New Roman" w:cs="Times New Roman"/>
        </w:rPr>
        <w:t>'s</w:t>
      </w:r>
      <w:r>
        <w:rPr>
          <w:rFonts w:ascii="Times New Roman" w:hAnsi="Times New Roman" w:cs="Times New Roman"/>
        </w:rPr>
        <w:t>]</w:t>
      </w:r>
      <w:r w:rsidRPr="00156CF6">
        <w:rPr>
          <w:rFonts w:ascii="Times New Roman" w:hAnsi="Times New Roman" w:cs="Times New Roman"/>
        </w:rPr>
        <w:t xml:space="preserve"> indirect contributions, including that of homemaker and primary caretaker of the parties' two children</w:t>
      </w:r>
      <w:r>
        <w:rPr>
          <w:rFonts w:ascii="Times New Roman" w:hAnsi="Times New Roman" w:cs="Times New Roman"/>
        </w:rPr>
        <w:t>”; (2) noting that the durational advisory guidelines in a 15-year marriage call for an award between 30%-40% of the length of the marriage, 4.5 to 6 years, the Appellate Division held that “</w:t>
      </w:r>
      <w:r w:rsidRPr="008E1004">
        <w:rPr>
          <w:rFonts w:ascii="Times New Roman" w:hAnsi="Times New Roman" w:cs="Times New Roman"/>
        </w:rPr>
        <w:t>Supreme Court's award of maintenance was a provident exercise of discretion</w:t>
      </w:r>
      <w:r>
        <w:rPr>
          <w:rFonts w:ascii="Times New Roman" w:hAnsi="Times New Roman" w:cs="Times New Roman"/>
        </w:rPr>
        <w:t>”; the husband “</w:t>
      </w:r>
      <w:r w:rsidRPr="008E1004">
        <w:rPr>
          <w:rFonts w:ascii="Times New Roman" w:hAnsi="Times New Roman" w:cs="Times New Roman"/>
        </w:rPr>
        <w:t>was not entitled to a credit against the prospective award</w:t>
      </w:r>
      <w:r>
        <w:rPr>
          <w:rFonts w:ascii="Times New Roman" w:hAnsi="Times New Roman" w:cs="Times New Roman"/>
        </w:rPr>
        <w:t>”; and Supreme Court “</w:t>
      </w:r>
      <w:r w:rsidRPr="008E1004">
        <w:rPr>
          <w:rFonts w:ascii="Times New Roman" w:hAnsi="Times New Roman" w:cs="Times New Roman"/>
        </w:rPr>
        <w:t xml:space="preserve">providently exercised its discretion in directing that </w:t>
      </w:r>
      <w:r>
        <w:rPr>
          <w:rFonts w:ascii="Times New Roman" w:hAnsi="Times New Roman" w:cs="Times New Roman"/>
        </w:rPr>
        <w:t>[he]</w:t>
      </w:r>
      <w:r w:rsidRPr="008E1004">
        <w:rPr>
          <w:rFonts w:ascii="Times New Roman" w:hAnsi="Times New Roman" w:cs="Times New Roman"/>
        </w:rPr>
        <w:t xml:space="preserve"> pay for the</w:t>
      </w:r>
      <w:r>
        <w:rPr>
          <w:rFonts w:ascii="Times New Roman" w:hAnsi="Times New Roman" w:cs="Times New Roman"/>
        </w:rPr>
        <w:t xml:space="preserve"> [wife</w:t>
      </w:r>
      <w:r w:rsidRPr="008E1004">
        <w:rPr>
          <w:rFonts w:ascii="Times New Roman" w:hAnsi="Times New Roman" w:cs="Times New Roman"/>
        </w:rPr>
        <w:t>'</w:t>
      </w:r>
      <w:r w:rsidR="00902870">
        <w:rPr>
          <w:rFonts w:ascii="Times New Roman" w:hAnsi="Times New Roman" w:cs="Times New Roman"/>
        </w:rPr>
        <w:t>s</w:t>
      </w:r>
      <w:r>
        <w:rPr>
          <w:rFonts w:ascii="Times New Roman" w:hAnsi="Times New Roman" w:cs="Times New Roman"/>
        </w:rPr>
        <w:t>]</w:t>
      </w:r>
      <w:r w:rsidRPr="008E1004">
        <w:rPr>
          <w:rFonts w:ascii="Times New Roman" w:hAnsi="Times New Roman" w:cs="Times New Roman"/>
        </w:rPr>
        <w:t xml:space="preserve"> health insurance for the period of maintenance or until she becomes eligible to obtain health insurance through employment</w:t>
      </w:r>
      <w:r>
        <w:rPr>
          <w:rFonts w:ascii="Times New Roman" w:hAnsi="Times New Roman" w:cs="Times New Roman"/>
        </w:rPr>
        <w:t>”; (3) noted that while the husband “</w:t>
      </w:r>
      <w:r w:rsidRPr="00597B5D">
        <w:rPr>
          <w:rFonts w:ascii="Times New Roman" w:hAnsi="Times New Roman" w:cs="Times New Roman"/>
        </w:rPr>
        <w:t xml:space="preserve">paid the carrying charges on the </w:t>
      </w:r>
      <w:r>
        <w:rPr>
          <w:rFonts w:ascii="Times New Roman" w:hAnsi="Times New Roman" w:cs="Times New Roman"/>
        </w:rPr>
        <w:t>[</w:t>
      </w:r>
      <w:r w:rsidRPr="00597B5D">
        <w:rPr>
          <w:rFonts w:ascii="Times New Roman" w:hAnsi="Times New Roman" w:cs="Times New Roman"/>
        </w:rPr>
        <w:t>mar</w:t>
      </w:r>
      <w:r>
        <w:rPr>
          <w:rFonts w:ascii="Times New Roman" w:hAnsi="Times New Roman" w:cs="Times New Roman"/>
        </w:rPr>
        <w:t>ital]</w:t>
      </w:r>
      <w:r w:rsidRPr="00597B5D">
        <w:rPr>
          <w:rFonts w:ascii="Times New Roman" w:hAnsi="Times New Roman" w:cs="Times New Roman"/>
        </w:rPr>
        <w:t xml:space="preserve"> residence during the pendency of the action, during that time he was responsible for the payment of interim maintenance and child support, including shelter costs (</w:t>
      </w:r>
      <w:r>
        <w:rPr>
          <w:rFonts w:ascii="Times New Roman" w:hAnsi="Times New Roman" w:cs="Times New Roman"/>
        </w:rPr>
        <w:t xml:space="preserve">citations omitted) </w:t>
      </w:r>
      <w:r w:rsidRPr="00597B5D">
        <w:rPr>
          <w:rFonts w:ascii="Times New Roman" w:hAnsi="Times New Roman" w:cs="Times New Roman"/>
        </w:rPr>
        <w:t xml:space="preserve">and as part of the collaborative divorce process, the parties agreed, among other things, that they would maintain the financial status quo. Since the </w:t>
      </w:r>
      <w:r>
        <w:rPr>
          <w:rFonts w:ascii="Times New Roman" w:hAnsi="Times New Roman" w:cs="Times New Roman"/>
        </w:rPr>
        <w:t xml:space="preserve">[husband] </w:t>
      </w:r>
      <w:r w:rsidRPr="00597B5D">
        <w:rPr>
          <w:rFonts w:ascii="Times New Roman" w:hAnsi="Times New Roman" w:cs="Times New Roman"/>
        </w:rPr>
        <w:t>was obligated to pay interim maintenance and child support, which encompassed the cost of providing shelter (</w:t>
      </w:r>
      <w:r>
        <w:rPr>
          <w:rFonts w:ascii="Times New Roman" w:hAnsi="Times New Roman" w:cs="Times New Roman"/>
        </w:rPr>
        <w:t>citation omitted)</w:t>
      </w:r>
      <w:r w:rsidR="00902870">
        <w:rPr>
          <w:rFonts w:ascii="Times New Roman" w:hAnsi="Times New Roman" w:cs="Times New Roman"/>
        </w:rPr>
        <w:t>,</w:t>
      </w:r>
      <w:r w:rsidRPr="00264415">
        <w:rPr>
          <w:rFonts w:ascii="Times New Roman" w:hAnsi="Times New Roman" w:cs="Times New Roman"/>
        </w:rPr>
        <w:t xml:space="preserve"> the Supreme Court properly determined that he was not entitled to a credit for his payment of the</w:t>
      </w:r>
      <w:r>
        <w:rPr>
          <w:rFonts w:ascii="Times New Roman" w:hAnsi="Times New Roman" w:cs="Times New Roman"/>
        </w:rPr>
        <w:t xml:space="preserve"> [wife</w:t>
      </w:r>
      <w:r w:rsidRPr="00264415">
        <w:rPr>
          <w:rFonts w:ascii="Times New Roman" w:hAnsi="Times New Roman" w:cs="Times New Roman"/>
        </w:rPr>
        <w:t>'s</w:t>
      </w:r>
      <w:r>
        <w:rPr>
          <w:rFonts w:ascii="Times New Roman" w:hAnsi="Times New Roman" w:cs="Times New Roman"/>
        </w:rPr>
        <w:t>]</w:t>
      </w:r>
      <w:r w:rsidRPr="00264415">
        <w:rPr>
          <w:rFonts w:ascii="Times New Roman" w:hAnsi="Times New Roman" w:cs="Times New Roman"/>
        </w:rPr>
        <w:t xml:space="preserve"> share of the carrying costs of the marital residence, which payments were made in lieu of his direct interim support obligations, and for which, in effect, he received a credit </w:t>
      </w:r>
      <w:r>
        <w:rPr>
          <w:rFonts w:ascii="Times New Roman" w:hAnsi="Times New Roman" w:cs="Times New Roman"/>
        </w:rPr>
        <w:t xml:space="preserve">(citation omitted) *** [and] </w:t>
      </w:r>
      <w:r w:rsidRPr="00264415">
        <w:rPr>
          <w:rFonts w:ascii="Times New Roman" w:hAnsi="Times New Roman" w:cs="Times New Roman"/>
        </w:rPr>
        <w:t xml:space="preserve">the record supports the court's determination that the </w:t>
      </w:r>
      <w:r>
        <w:rPr>
          <w:rFonts w:ascii="Times New Roman" w:hAnsi="Times New Roman" w:cs="Times New Roman"/>
        </w:rPr>
        <w:t xml:space="preserve">[husband] </w:t>
      </w:r>
      <w:r w:rsidRPr="00264415">
        <w:rPr>
          <w:rFonts w:ascii="Times New Roman" w:hAnsi="Times New Roman" w:cs="Times New Roman"/>
        </w:rPr>
        <w:t>used marital funds, in part, to maintain the status quo after the commencement date</w:t>
      </w:r>
      <w:r>
        <w:rPr>
          <w:rFonts w:ascii="Times New Roman" w:hAnsi="Times New Roman" w:cs="Times New Roman"/>
        </w:rPr>
        <w:t>”; (4) holding that “</w:t>
      </w:r>
      <w:r w:rsidRPr="007514B3">
        <w:rPr>
          <w:rFonts w:ascii="Times New Roman" w:hAnsi="Times New Roman" w:cs="Times New Roman"/>
        </w:rPr>
        <w:t xml:space="preserve">Supreme Court properly determined that the </w:t>
      </w:r>
      <w:r>
        <w:rPr>
          <w:rFonts w:ascii="Times New Roman" w:hAnsi="Times New Roman" w:cs="Times New Roman"/>
        </w:rPr>
        <w:t xml:space="preserve">[husband] </w:t>
      </w:r>
      <w:r w:rsidRPr="007514B3">
        <w:rPr>
          <w:rFonts w:ascii="Times New Roman" w:hAnsi="Times New Roman" w:cs="Times New Roman"/>
        </w:rPr>
        <w:t xml:space="preserve">failed to overcome the presumption that </w:t>
      </w:r>
      <w:r>
        <w:rPr>
          <w:rFonts w:ascii="Times New Roman" w:hAnsi="Times New Roman" w:cs="Times New Roman"/>
        </w:rPr>
        <w:t xml:space="preserve">[a] *** </w:t>
      </w:r>
      <w:r w:rsidRPr="007514B3">
        <w:rPr>
          <w:rFonts w:ascii="Times New Roman" w:hAnsi="Times New Roman" w:cs="Times New Roman"/>
        </w:rPr>
        <w:t xml:space="preserve">Trust </w:t>
      </w:r>
      <w:r>
        <w:rPr>
          <w:rFonts w:ascii="Times New Roman" w:hAnsi="Times New Roman" w:cs="Times New Roman"/>
        </w:rPr>
        <w:t xml:space="preserve">*** </w:t>
      </w:r>
      <w:r w:rsidRPr="007514B3">
        <w:rPr>
          <w:rFonts w:ascii="Times New Roman" w:hAnsi="Times New Roman" w:cs="Times New Roman"/>
        </w:rPr>
        <w:t xml:space="preserve">was marital property, since the </w:t>
      </w:r>
      <w:r>
        <w:rPr>
          <w:rFonts w:ascii="Times New Roman" w:hAnsi="Times New Roman" w:cs="Times New Roman"/>
        </w:rPr>
        <w:t xml:space="preserve">[husband] </w:t>
      </w:r>
      <w:r w:rsidRPr="007514B3">
        <w:rPr>
          <w:rFonts w:ascii="Times New Roman" w:hAnsi="Times New Roman" w:cs="Times New Roman"/>
        </w:rPr>
        <w:t xml:space="preserve">failed to sufficiently trace the source </w:t>
      </w:r>
      <w:r w:rsidRPr="007514B3">
        <w:rPr>
          <w:rFonts w:ascii="Times New Roman" w:hAnsi="Times New Roman" w:cs="Times New Roman"/>
        </w:rPr>
        <w:lastRenderedPageBreak/>
        <w:t>of the funds deposited into the trust and commingled marital assets with assets of the trust (</w:t>
      </w:r>
      <w:r>
        <w:rPr>
          <w:rFonts w:ascii="Times New Roman" w:hAnsi="Times New Roman" w:cs="Times New Roman"/>
        </w:rPr>
        <w:t>citations omitted)” and the husband “</w:t>
      </w:r>
      <w:r w:rsidRPr="007514B3">
        <w:rPr>
          <w:rFonts w:ascii="Times New Roman" w:hAnsi="Times New Roman" w:cs="Times New Roman"/>
        </w:rPr>
        <w:t xml:space="preserve">failed to overcome the presumption that the trust was marital property, the court properly determined that the trust was marital property subject to equitable distribution and providently </w:t>
      </w:r>
      <w:r>
        <w:rPr>
          <w:rFonts w:ascii="Times New Roman" w:hAnsi="Times New Roman" w:cs="Times New Roman"/>
        </w:rPr>
        <w:t xml:space="preserve">*** </w:t>
      </w:r>
      <w:r w:rsidRPr="007514B3">
        <w:rPr>
          <w:rFonts w:ascii="Times New Roman" w:hAnsi="Times New Roman" w:cs="Times New Roman"/>
        </w:rPr>
        <w:t>direct</w:t>
      </w:r>
      <w:r>
        <w:rPr>
          <w:rFonts w:ascii="Times New Roman" w:hAnsi="Times New Roman" w:cs="Times New Roman"/>
        </w:rPr>
        <w:t>[ed]</w:t>
      </w:r>
      <w:r w:rsidRPr="007514B3">
        <w:rPr>
          <w:rFonts w:ascii="Times New Roman" w:hAnsi="Times New Roman" w:cs="Times New Roman"/>
        </w:rPr>
        <w:t xml:space="preserve"> that it be divided equally between the parties</w:t>
      </w:r>
      <w:r>
        <w:rPr>
          <w:rFonts w:ascii="Times New Roman" w:hAnsi="Times New Roman" w:cs="Times New Roman"/>
        </w:rPr>
        <w:t>”; (5) determined that “</w:t>
      </w:r>
      <w:r w:rsidRPr="000B5D1E">
        <w:rPr>
          <w:rFonts w:ascii="Times New Roman" w:hAnsi="Times New Roman" w:cs="Times New Roman"/>
        </w:rPr>
        <w:t>Supreme Court providently exercised its discretion in determining that the</w:t>
      </w:r>
      <w:r>
        <w:rPr>
          <w:rFonts w:ascii="Times New Roman" w:hAnsi="Times New Roman" w:cs="Times New Roman"/>
        </w:rPr>
        <w:t xml:space="preserve"> [husband] </w:t>
      </w:r>
      <w:r w:rsidRPr="000B5D1E">
        <w:rPr>
          <w:rFonts w:ascii="Times New Roman" w:hAnsi="Times New Roman" w:cs="Times New Roman"/>
        </w:rPr>
        <w:t xml:space="preserve">should not have depleted approximately 80% of the liquid marital assets to pay the expenses of the collaborative divorce process, but rather, that the expenses should have been paid, in substantial part, with </w:t>
      </w:r>
      <w:r>
        <w:rPr>
          <w:rFonts w:ascii="Times New Roman" w:hAnsi="Times New Roman" w:cs="Times New Roman"/>
        </w:rPr>
        <w:t>[the husband</w:t>
      </w:r>
      <w:r w:rsidRPr="000B5D1E">
        <w:rPr>
          <w:rFonts w:ascii="Times New Roman" w:hAnsi="Times New Roman" w:cs="Times New Roman"/>
        </w:rPr>
        <w:t>'s</w:t>
      </w:r>
      <w:r>
        <w:rPr>
          <w:rFonts w:ascii="Times New Roman" w:hAnsi="Times New Roman" w:cs="Times New Roman"/>
        </w:rPr>
        <w:t>]</w:t>
      </w:r>
      <w:r w:rsidRPr="000B5D1E">
        <w:rPr>
          <w:rFonts w:ascii="Times New Roman" w:hAnsi="Times New Roman" w:cs="Times New Roman"/>
        </w:rPr>
        <w:t xml:space="preserve"> postcommencement earnings. Accordingly, the court providently exercised its discretion in awarding the parties' remaining liquid assets to the</w:t>
      </w:r>
      <w:r>
        <w:rPr>
          <w:rFonts w:ascii="Times New Roman" w:hAnsi="Times New Roman" w:cs="Times New Roman"/>
        </w:rPr>
        <w:t xml:space="preserve"> [wife]”; (6) held that “S</w:t>
      </w:r>
      <w:r w:rsidRPr="005D36C3">
        <w:rPr>
          <w:rFonts w:ascii="Times New Roman" w:hAnsi="Times New Roman" w:cs="Times New Roman"/>
        </w:rPr>
        <w:t>upreme Court providently exercised its discretion in applying the child support percentage to the combined parental income up to $400,000 based on its consideration of the resources of the parties and the children, the physical and emotional health of the children and their special needs and aptitudes, and the affluent lifestyle during the marriage</w:t>
      </w:r>
      <w:r>
        <w:rPr>
          <w:rFonts w:ascii="Times New Roman" w:hAnsi="Times New Roman" w:cs="Times New Roman"/>
        </w:rPr>
        <w:t>”;  and (7)  determined that “</w:t>
      </w:r>
      <w:r w:rsidRPr="005D36C3">
        <w:rPr>
          <w:rFonts w:ascii="Times New Roman" w:hAnsi="Times New Roman" w:cs="Times New Roman"/>
        </w:rPr>
        <w:t xml:space="preserve">the court providently exercised its discretion in declining to award the </w:t>
      </w:r>
      <w:r>
        <w:rPr>
          <w:rFonts w:ascii="Times New Roman" w:hAnsi="Times New Roman" w:cs="Times New Roman"/>
        </w:rPr>
        <w:t xml:space="preserve">[husband] </w:t>
      </w:r>
      <w:r w:rsidRPr="005D36C3">
        <w:rPr>
          <w:rFonts w:ascii="Times New Roman" w:hAnsi="Times New Roman" w:cs="Times New Roman"/>
        </w:rPr>
        <w:t>a credit against child support for his contribution to college room and board while the children reside at college</w:t>
      </w:r>
      <w:r>
        <w:rPr>
          <w:rFonts w:ascii="Times New Roman" w:hAnsi="Times New Roman" w:cs="Times New Roman"/>
        </w:rPr>
        <w:t>.”</w:t>
      </w:r>
    </w:p>
    <w:p w14:paraId="72BD8B2D" w14:textId="77777777" w:rsidR="00245175" w:rsidRDefault="00245175" w:rsidP="00245175">
      <w:pPr>
        <w:pStyle w:val="Heading2"/>
        <w:numPr>
          <w:ilvl w:val="0"/>
          <w:numId w:val="0"/>
        </w:numPr>
        <w:spacing w:line="240" w:lineRule="auto"/>
        <w:jc w:val="both"/>
        <w:rPr>
          <w:rFonts w:ascii="Times New Roman" w:hAnsi="Times New Roman" w:cs="Times New Roman"/>
        </w:rPr>
      </w:pPr>
    </w:p>
    <w:p w14:paraId="34346864" w14:textId="4F38D70A" w:rsidR="00E744BC" w:rsidRPr="00E744BC" w:rsidRDefault="00E744BC" w:rsidP="00660DA3">
      <w:pPr>
        <w:pStyle w:val="Heading2"/>
        <w:numPr>
          <w:ilvl w:val="0"/>
          <w:numId w:val="0"/>
        </w:numPr>
        <w:jc w:val="both"/>
        <w:rPr>
          <w:b/>
          <w:bCs/>
        </w:rPr>
      </w:pPr>
      <w:r w:rsidRPr="00E744BC">
        <w:rPr>
          <w:rFonts w:ascii="Times New Roman" w:hAnsi="Times New Roman" w:cs="Times New Roman"/>
          <w:b/>
          <w:bCs/>
        </w:rPr>
        <w:t>Counsel Fees -</w:t>
      </w:r>
      <w:r w:rsidRPr="00E744BC">
        <w:rPr>
          <w:b/>
          <w:bCs/>
        </w:rPr>
        <w:t xml:space="preserve"> </w:t>
      </w:r>
      <w:r w:rsidRPr="00E744BC">
        <w:rPr>
          <w:rFonts w:ascii="Times New Roman" w:hAnsi="Times New Roman" w:cs="Times New Roman"/>
          <w:b/>
          <w:bCs/>
        </w:rPr>
        <w:t>After Trial – Denied</w:t>
      </w:r>
    </w:p>
    <w:p w14:paraId="3E3E3E83" w14:textId="59959B2B" w:rsidR="00AB2F6E" w:rsidRDefault="00E744BC" w:rsidP="00E744BC">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E744BC">
        <w:rPr>
          <w:rFonts w:ascii="Times New Roman" w:hAnsi="Times New Roman" w:cs="Times New Roman"/>
          <w:b/>
          <w:bCs/>
          <w:i/>
          <w:iCs/>
        </w:rPr>
        <w:t>Matassov v. Matassov</w:t>
      </w:r>
      <w:r>
        <w:rPr>
          <w:rFonts w:ascii="Times New Roman" w:hAnsi="Times New Roman" w:cs="Times New Roman"/>
        </w:rPr>
        <w:t>, 2025 Westlaw 699737 (2d Dept. Mar. 5, 2025), the husband appealed from a September 2020 Supreme Court order, which, in the wife’s October 2017 divorce action, determined that she was the less monied spouse, found that “both parties engaged in conduct that was not conducive to a swift resolution of this action,” granted her motion for counsel fees to the extent of awarding her $50,000, and denied the husband’s cross-motion for the same relief. The parties were married in 1996 and stipulated in January 2020 to a resolution of all issues between them. The wife’s motion alleged that she was the less monied spouse and that “but for the manner in which Defendant conducted himself in this action, [her] fees would have been far less.” The husband contended that he was the less monied spouse and argued that the wife employed “dilatory and obstructionist tactics” and “engaged in lengthy litigation without any sense of responsibility for costs.” The Second Department modified, on the facts and in the exercise of discretion, by denying the wife’s motion, holding that upon “the merits of the parties’ respective positions, the fact that both parties engaged in conduct not conducive to a speedy resolution of the action, and that the plaintiff failed to prove that she was the less monied spouse, the Supreme Court improvidently exercised its discretion in granting the plaintiff’s motion ***.”</w:t>
      </w:r>
    </w:p>
    <w:p w14:paraId="304AA776" w14:textId="77777777" w:rsidR="00245175" w:rsidRDefault="00245175" w:rsidP="00E744BC">
      <w:pPr>
        <w:pStyle w:val="Heading2"/>
        <w:numPr>
          <w:ilvl w:val="0"/>
          <w:numId w:val="0"/>
        </w:numPr>
        <w:spacing w:line="240" w:lineRule="auto"/>
        <w:jc w:val="both"/>
        <w:rPr>
          <w:rFonts w:ascii="Times New Roman" w:hAnsi="Times New Roman" w:cs="Times New Roman"/>
        </w:rPr>
      </w:pPr>
    </w:p>
    <w:p w14:paraId="1EC4B384" w14:textId="3A33C1F2" w:rsidR="00245175" w:rsidRDefault="00245175" w:rsidP="00E744BC">
      <w:pPr>
        <w:pStyle w:val="Heading2"/>
        <w:numPr>
          <w:ilvl w:val="0"/>
          <w:numId w:val="0"/>
        </w:numPr>
        <w:spacing w:line="240" w:lineRule="auto"/>
        <w:jc w:val="both"/>
        <w:rPr>
          <w:rFonts w:ascii="Times New Roman" w:hAnsi="Times New Roman" w:cs="Times New Roman"/>
          <w:b/>
          <w:bCs/>
        </w:rPr>
      </w:pPr>
      <w:r w:rsidRPr="00245175">
        <w:rPr>
          <w:rFonts w:ascii="Times New Roman" w:hAnsi="Times New Roman" w:cs="Times New Roman"/>
          <w:b/>
          <w:bCs/>
        </w:rPr>
        <w:t xml:space="preserve">Counsel Fees – After Trial </w:t>
      </w:r>
      <w:r>
        <w:rPr>
          <w:rFonts w:ascii="Times New Roman" w:hAnsi="Times New Roman" w:cs="Times New Roman"/>
          <w:b/>
          <w:bCs/>
        </w:rPr>
        <w:t>–</w:t>
      </w:r>
      <w:r w:rsidRPr="00245175">
        <w:rPr>
          <w:rFonts w:ascii="Times New Roman" w:hAnsi="Times New Roman" w:cs="Times New Roman"/>
          <w:b/>
          <w:bCs/>
        </w:rPr>
        <w:t xml:space="preserve"> Granted</w:t>
      </w:r>
    </w:p>
    <w:p w14:paraId="2FA46ADF" w14:textId="77777777" w:rsidR="00245175" w:rsidRDefault="00245175" w:rsidP="00E744BC">
      <w:pPr>
        <w:pStyle w:val="Heading2"/>
        <w:numPr>
          <w:ilvl w:val="0"/>
          <w:numId w:val="0"/>
        </w:numPr>
        <w:spacing w:line="240" w:lineRule="auto"/>
        <w:jc w:val="both"/>
        <w:rPr>
          <w:rFonts w:ascii="Times New Roman" w:hAnsi="Times New Roman" w:cs="Times New Roman"/>
          <w:b/>
          <w:bCs/>
        </w:rPr>
      </w:pPr>
    </w:p>
    <w:p w14:paraId="2AFF0BDA" w14:textId="7AAF0D3D" w:rsidR="00245175" w:rsidRDefault="00245175" w:rsidP="00E744BC">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245175">
        <w:rPr>
          <w:rFonts w:ascii="Times New Roman" w:hAnsi="Times New Roman" w:cs="Times New Roman"/>
          <w:b/>
          <w:bCs/>
          <w:i/>
          <w:iCs/>
        </w:rPr>
        <w:t>Torkin v. Susac</w:t>
      </w:r>
      <w:r>
        <w:rPr>
          <w:rFonts w:ascii="Times New Roman" w:hAnsi="Times New Roman" w:cs="Times New Roman"/>
        </w:rPr>
        <w:t>, 2025 Westlaw 908378 (2d Dept. Mar. 26, 2025), the husband appealed from a March 2022 Supreme Court order which, after a hearing, granted the wife’s motion for counsel fees after trial to the extent of awarding her $272,000 in counsel fees. (See also the Appellate Division order handed down on the same date upon appeal from the judgment of divorce). The Second Department affirmed the award as a provident exercise of discretion, “considering the financial circumstances of the parties and the circumstances of the case as a whole, including the relative merits of the parties’ positions and whether either party delayed the proceedings or engaged in unnecessary litigation.”</w:t>
      </w:r>
    </w:p>
    <w:p w14:paraId="63CC0C0C" w14:textId="77777777" w:rsidR="00902870" w:rsidRPr="00245175" w:rsidRDefault="00902870" w:rsidP="00E744BC">
      <w:pPr>
        <w:pStyle w:val="Heading2"/>
        <w:numPr>
          <w:ilvl w:val="0"/>
          <w:numId w:val="0"/>
        </w:numPr>
        <w:spacing w:line="240" w:lineRule="auto"/>
        <w:jc w:val="both"/>
        <w:rPr>
          <w:rFonts w:ascii="Times New Roman" w:hAnsi="Times New Roman" w:cs="Times New Roman"/>
          <w:b/>
          <w:bCs/>
        </w:rPr>
      </w:pPr>
    </w:p>
    <w:p w14:paraId="2E1728C9" w14:textId="77777777" w:rsidR="00557CD2" w:rsidRDefault="00557CD2" w:rsidP="00E744BC">
      <w:pPr>
        <w:pStyle w:val="Heading2"/>
        <w:numPr>
          <w:ilvl w:val="0"/>
          <w:numId w:val="0"/>
        </w:numPr>
        <w:spacing w:line="240" w:lineRule="auto"/>
        <w:jc w:val="both"/>
        <w:rPr>
          <w:rFonts w:ascii="Times New Roman" w:hAnsi="Times New Roman" w:cs="Times New Roman"/>
        </w:rPr>
      </w:pPr>
    </w:p>
    <w:p w14:paraId="4CEF33AC" w14:textId="77777777" w:rsidR="00557CD2" w:rsidRPr="00557CD2" w:rsidRDefault="00557CD2" w:rsidP="00557CD2">
      <w:pPr>
        <w:pStyle w:val="Heading2"/>
        <w:numPr>
          <w:ilvl w:val="0"/>
          <w:numId w:val="0"/>
        </w:numPr>
        <w:jc w:val="both"/>
        <w:rPr>
          <w:rFonts w:ascii="Times New Roman" w:hAnsi="Times New Roman" w:cs="Times New Roman"/>
          <w:b/>
          <w:bCs/>
        </w:rPr>
      </w:pPr>
      <w:r w:rsidRPr="00557CD2">
        <w:rPr>
          <w:rFonts w:ascii="Times New Roman" w:hAnsi="Times New Roman" w:cs="Times New Roman"/>
          <w:b/>
          <w:bCs/>
        </w:rPr>
        <w:lastRenderedPageBreak/>
        <w:t>Counsel Fees - Post-Judgment – Enforcement and Modification – Granted</w:t>
      </w:r>
    </w:p>
    <w:p w14:paraId="7AF72D99" w14:textId="0F9E1DE3" w:rsidR="00557CD2" w:rsidRDefault="00557CD2" w:rsidP="00557CD2">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557CD2">
        <w:rPr>
          <w:rFonts w:ascii="Times New Roman" w:hAnsi="Times New Roman" w:cs="Times New Roman"/>
          <w:b/>
          <w:bCs/>
          <w:i/>
          <w:iCs/>
        </w:rPr>
        <w:t>Victoria M. v. Christopher L</w:t>
      </w:r>
      <w:r w:rsidRPr="00557CD2">
        <w:rPr>
          <w:rFonts w:ascii="Times New Roman" w:hAnsi="Times New Roman" w:cs="Times New Roman"/>
        </w:rPr>
        <w:t>.</w:t>
      </w:r>
      <w:r>
        <w:rPr>
          <w:rFonts w:ascii="Times New Roman" w:hAnsi="Times New Roman" w:cs="Times New Roman"/>
        </w:rPr>
        <w:t>, 2025 Westlaw 863949 (3d Dept. Mar. 20, 2025), the father appealed from a July 2023 Supreme Court order which, upon stipulated written counsel fee submissions in post-judgment proceedings wherein the mother sought approximately $50,000 and the father nearly $28,000, awarded the mother $25,000 and denied the father’s application. The Third Department previously withheld decision and remitted, directing Supreme Court “to provide a concise but clear explanation of its reasons for the fee award.” 232 AD3d 1098, 1100 (3d Dept. 2024). Following a decision upon remittitur and supplemental briefs, the Appellate Division affirmed as a proper exercise of discretion, noting Supreme Court: determined that “the father was not entitled to the relief he sought” and “the mother’s cross-motion was necessary, as the father refused to cooperate with enrolling one of the children in counseling, despite recognizing that the child had been exhibiting concerning behaviors”; “considered the parents’ relative financial circumstances, including *** the mother’s waiver of child support”; and considered that “the father had a pattern of causing unnecessary delays and taking unreasonable positions, which required the mother to incur significant legal fees, including having her counsel prepare for hearing dates which were narrowed or resolved at the last minute.”</w:t>
      </w:r>
    </w:p>
    <w:p w14:paraId="6B899E0A" w14:textId="77777777" w:rsidR="00480909" w:rsidRDefault="00480909" w:rsidP="00557CD2">
      <w:pPr>
        <w:pStyle w:val="Heading2"/>
        <w:numPr>
          <w:ilvl w:val="0"/>
          <w:numId w:val="0"/>
        </w:numPr>
        <w:spacing w:line="240" w:lineRule="auto"/>
        <w:jc w:val="both"/>
        <w:rPr>
          <w:rFonts w:ascii="Times New Roman" w:hAnsi="Times New Roman" w:cs="Times New Roman"/>
        </w:rPr>
      </w:pPr>
    </w:p>
    <w:p w14:paraId="7B599397" w14:textId="414C5F7D" w:rsidR="00480909" w:rsidRPr="00480909" w:rsidRDefault="00480909" w:rsidP="00480909">
      <w:pPr>
        <w:pStyle w:val="Heading2"/>
        <w:numPr>
          <w:ilvl w:val="0"/>
          <w:numId w:val="0"/>
        </w:numPr>
        <w:rPr>
          <w:b/>
          <w:bCs/>
        </w:rPr>
      </w:pPr>
      <w:r w:rsidRPr="00480909">
        <w:rPr>
          <w:rFonts w:ascii="Times New Roman" w:hAnsi="Times New Roman" w:cs="Times New Roman"/>
          <w:b/>
          <w:bCs/>
        </w:rPr>
        <w:t>Custody - Third Party</w:t>
      </w:r>
      <w:r>
        <w:rPr>
          <w:rFonts w:ascii="Times New Roman" w:hAnsi="Times New Roman" w:cs="Times New Roman"/>
          <w:b/>
          <w:bCs/>
        </w:rPr>
        <w:t xml:space="preserve"> </w:t>
      </w:r>
      <w:r w:rsidRPr="00480909">
        <w:rPr>
          <w:rFonts w:ascii="Times New Roman" w:hAnsi="Times New Roman" w:cs="Times New Roman"/>
          <w:b/>
          <w:bCs/>
        </w:rPr>
        <w:t>–</w:t>
      </w:r>
      <w:r>
        <w:rPr>
          <w:rFonts w:ascii="Times New Roman" w:hAnsi="Times New Roman" w:cs="Times New Roman"/>
          <w:b/>
          <w:bCs/>
        </w:rPr>
        <w:t xml:space="preserve"> </w:t>
      </w:r>
      <w:r w:rsidRPr="00480909">
        <w:rPr>
          <w:rFonts w:ascii="Times New Roman" w:hAnsi="Times New Roman" w:cs="Times New Roman"/>
          <w:b/>
          <w:bCs/>
        </w:rPr>
        <w:t>Aunt Over Cousin: Alienation, Verbal &amp; Physical Altercations</w:t>
      </w:r>
    </w:p>
    <w:p w14:paraId="7E4673C8" w14:textId="368005F6" w:rsidR="00480909" w:rsidRDefault="00480909" w:rsidP="00480909">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480909">
        <w:rPr>
          <w:rFonts w:ascii="Times New Roman" w:hAnsi="Times New Roman" w:cs="Times New Roman"/>
          <w:b/>
          <w:bCs/>
          <w:i/>
          <w:iCs/>
        </w:rPr>
        <w:t>Matter of Smith v. Butler</w:t>
      </w:r>
      <w:r>
        <w:rPr>
          <w:rFonts w:ascii="Times New Roman" w:hAnsi="Times New Roman" w:cs="Times New Roman"/>
        </w:rPr>
        <w:t>, 2025 Westlaw 814851 (4</w:t>
      </w:r>
      <w:r w:rsidRPr="00A9714D">
        <w:rPr>
          <w:rFonts w:ascii="Times New Roman" w:hAnsi="Times New Roman" w:cs="Times New Roman"/>
          <w:vertAlign w:val="superscript"/>
        </w:rPr>
        <w:t>th</w:t>
      </w:r>
      <w:r>
        <w:rPr>
          <w:rFonts w:ascii="Times New Roman" w:hAnsi="Times New Roman" w:cs="Times New Roman"/>
        </w:rPr>
        <w:t xml:space="preserve"> Dept. Mar. 14, 2025), the cousin of the subject child’s deceased mother appealed from a September 2023 Family Court order which, after a hearing, granted custody to the child’s maternal aunt. Extraordinary circumstances were found based upon the death of the mother and the father’s default in the proceeding. The Fourth Department affirmed, finding that “the aunt has a more stable home environment, *** and displays the willingness to foster a relationship with other family members that the cousin did not. The cousin repeatedly alienated the child from the aunt and other family members, was involved in frequent verbal and physical altercations in the presence of the child, and attempted – while in the presence of the child – to smuggle synthetic marihuana into prison for her ex-husband.” The Appellate Division concluded that “it is in the best interests of the child to be placed in the aunt’s care.”</w:t>
      </w:r>
    </w:p>
    <w:p w14:paraId="1E48B5BD" w14:textId="77777777" w:rsidR="002D194C" w:rsidRDefault="002D194C" w:rsidP="00480909">
      <w:pPr>
        <w:pStyle w:val="Heading2"/>
        <w:numPr>
          <w:ilvl w:val="0"/>
          <w:numId w:val="0"/>
        </w:numPr>
        <w:spacing w:line="240" w:lineRule="auto"/>
        <w:jc w:val="both"/>
        <w:rPr>
          <w:rFonts w:ascii="Times New Roman" w:hAnsi="Times New Roman" w:cs="Times New Roman"/>
        </w:rPr>
      </w:pPr>
    </w:p>
    <w:p w14:paraId="2275A649" w14:textId="731E5196" w:rsidR="002D194C" w:rsidRPr="002D194C" w:rsidRDefault="002D194C" w:rsidP="002D194C">
      <w:pPr>
        <w:pStyle w:val="Heading2"/>
        <w:numPr>
          <w:ilvl w:val="0"/>
          <w:numId w:val="0"/>
        </w:numPr>
        <w:spacing w:line="240" w:lineRule="auto"/>
        <w:jc w:val="both"/>
        <w:rPr>
          <w:rFonts w:ascii="Times New Roman" w:hAnsi="Times New Roman" w:cs="Times New Roman"/>
          <w:b/>
          <w:bCs/>
        </w:rPr>
      </w:pPr>
      <w:r w:rsidRPr="002D194C">
        <w:rPr>
          <w:rFonts w:ascii="Times New Roman" w:hAnsi="Times New Roman" w:cs="Times New Roman"/>
          <w:b/>
          <w:bCs/>
        </w:rPr>
        <w:t xml:space="preserve">Custody - </w:t>
      </w:r>
      <w:bookmarkStart w:id="0" w:name="_Hlk193447011"/>
      <w:r w:rsidRPr="002D194C">
        <w:rPr>
          <w:rFonts w:ascii="Times New Roman" w:hAnsi="Times New Roman" w:cs="Times New Roman"/>
          <w:b/>
          <w:bCs/>
        </w:rPr>
        <w:t>Third Party – Step-Grandmother</w:t>
      </w:r>
      <w:bookmarkEnd w:id="0"/>
      <w:r w:rsidRPr="002D194C">
        <w:rPr>
          <w:rFonts w:ascii="Times New Roman" w:hAnsi="Times New Roman" w:cs="Times New Roman"/>
          <w:b/>
          <w:bCs/>
        </w:rPr>
        <w:t xml:space="preserve"> - Mother Drove Intoxicated with Child, Verbal and Physical Abuse, Prolonged Absences, Mental </w:t>
      </w:r>
      <w:r w:rsidR="001F4407" w:rsidRPr="002D194C">
        <w:rPr>
          <w:rFonts w:ascii="Times New Roman" w:hAnsi="Times New Roman" w:cs="Times New Roman"/>
          <w:b/>
          <w:bCs/>
        </w:rPr>
        <w:t>Health,</w:t>
      </w:r>
      <w:r w:rsidRPr="002D194C">
        <w:rPr>
          <w:rFonts w:ascii="Times New Roman" w:hAnsi="Times New Roman" w:cs="Times New Roman"/>
          <w:b/>
          <w:bCs/>
        </w:rPr>
        <w:t xml:space="preserve"> and Substance Abuse</w:t>
      </w:r>
    </w:p>
    <w:p w14:paraId="4BBD19EE" w14:textId="77777777" w:rsidR="002D194C" w:rsidRPr="00FB6EF1" w:rsidRDefault="002D194C" w:rsidP="002D194C">
      <w:pPr>
        <w:pStyle w:val="Heading2"/>
        <w:numPr>
          <w:ilvl w:val="0"/>
          <w:numId w:val="0"/>
        </w:numPr>
        <w:spacing w:line="240" w:lineRule="auto"/>
        <w:jc w:val="both"/>
      </w:pPr>
    </w:p>
    <w:p w14:paraId="10AE0EB7" w14:textId="1678F25F" w:rsidR="002D194C" w:rsidRDefault="002D194C" w:rsidP="002D194C">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2D194C">
        <w:rPr>
          <w:rFonts w:ascii="Times New Roman" w:hAnsi="Times New Roman" w:cs="Times New Roman"/>
          <w:b/>
          <w:bCs/>
          <w:i/>
          <w:iCs/>
        </w:rPr>
        <w:t>Matter of Lachenauer v Lachenauer-Myers</w:t>
      </w:r>
      <w:r>
        <w:rPr>
          <w:rFonts w:ascii="Times New Roman" w:hAnsi="Times New Roman" w:cs="Times New Roman"/>
        </w:rPr>
        <w:t>, 2025 Westlaw 813768 (4</w:t>
      </w:r>
      <w:r w:rsidRPr="0038229D">
        <w:rPr>
          <w:rFonts w:ascii="Times New Roman" w:hAnsi="Times New Roman" w:cs="Times New Roman"/>
          <w:vertAlign w:val="superscript"/>
        </w:rPr>
        <w:t>th</w:t>
      </w:r>
      <w:r>
        <w:rPr>
          <w:rFonts w:ascii="Times New Roman" w:hAnsi="Times New Roman" w:cs="Times New Roman"/>
        </w:rPr>
        <w:t xml:space="preserve"> Dept. Mar. 14, 2025), the mother appealed from a February 2024 Family Court order which, after a hearing, modified a prior order by granting the step-grandmother primary physical custody of the child, with supervised visitation to her as the parties mutually agree.  The Fourth Department affirmed, noting that the mother did not dispute either the existence of sufficiently changed circumstances or Family Court’s best interests’ determination. As to extraordinary circumstances, the Appellate Division found: “the mother put the subject child at risk when she drove while intoxicated with the child in her car, struck the child with a lacrosse stick and bit him, repeatedly sent the child to live with the step-grandmother for prolonged periods of time, and failed to get appropriate substance abuse and mental health treatment, juxtaposed against the supportive and caring environment provided by the step-grandmother and the bond that has developed ***.” The Court </w:t>
      </w:r>
      <w:r>
        <w:rPr>
          <w:rFonts w:ascii="Times New Roman" w:hAnsi="Times New Roman" w:cs="Times New Roman"/>
        </w:rPr>
        <w:lastRenderedPageBreak/>
        <w:t>rejected the mother’s claim that supervised visitation was improper, noting that the mother “inflicted physical and verbal abuse upon the child on multiple occasions, leaving him fearful of being with her, and the child’s therapist testified at the hearing that any visitation should be supervised at first.”</w:t>
      </w:r>
    </w:p>
    <w:p w14:paraId="79381B01" w14:textId="77777777" w:rsidR="00C035DA" w:rsidRDefault="00C035DA" w:rsidP="00557CD2">
      <w:pPr>
        <w:pStyle w:val="Heading2"/>
        <w:numPr>
          <w:ilvl w:val="0"/>
          <w:numId w:val="0"/>
        </w:numPr>
        <w:spacing w:line="240" w:lineRule="auto"/>
        <w:jc w:val="both"/>
        <w:rPr>
          <w:rFonts w:ascii="Times New Roman" w:hAnsi="Times New Roman" w:cs="Times New Roman"/>
        </w:rPr>
      </w:pPr>
    </w:p>
    <w:p w14:paraId="78C48DCC" w14:textId="77777777" w:rsidR="002140D9" w:rsidRPr="002140D9" w:rsidRDefault="002D194C" w:rsidP="002140D9">
      <w:pPr>
        <w:pStyle w:val="Heading2"/>
        <w:numPr>
          <w:ilvl w:val="0"/>
          <w:numId w:val="0"/>
        </w:numPr>
        <w:jc w:val="both"/>
        <w:rPr>
          <w:b/>
          <w:bCs/>
        </w:rPr>
      </w:pPr>
      <w:r w:rsidRPr="002140D9">
        <w:rPr>
          <w:rFonts w:ascii="Times New Roman" w:hAnsi="Times New Roman" w:cs="Times New Roman"/>
          <w:b/>
          <w:bCs/>
        </w:rPr>
        <w:t xml:space="preserve">Custody – </w:t>
      </w:r>
      <w:r w:rsidR="002140D9" w:rsidRPr="002140D9">
        <w:rPr>
          <w:rFonts w:ascii="Times New Roman" w:hAnsi="Times New Roman" w:cs="Times New Roman"/>
          <w:b/>
          <w:bCs/>
        </w:rPr>
        <w:t>UCCJEA – Service – Out of State – Upheld</w:t>
      </w:r>
    </w:p>
    <w:p w14:paraId="69B98B15" w14:textId="2EA04E76" w:rsidR="002D194C" w:rsidRDefault="002140D9" w:rsidP="002140D9">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2140D9">
        <w:rPr>
          <w:rFonts w:ascii="Times New Roman" w:hAnsi="Times New Roman" w:cs="Times New Roman"/>
          <w:b/>
          <w:bCs/>
          <w:i/>
          <w:iCs/>
        </w:rPr>
        <w:t>Matter of Rodri</w:t>
      </w:r>
      <w:r>
        <w:rPr>
          <w:rFonts w:ascii="Times New Roman" w:hAnsi="Times New Roman" w:cs="Times New Roman"/>
          <w:b/>
          <w:bCs/>
          <w:i/>
          <w:iCs/>
        </w:rPr>
        <w:t>g</w:t>
      </w:r>
      <w:r w:rsidRPr="002140D9">
        <w:rPr>
          <w:rFonts w:ascii="Times New Roman" w:hAnsi="Times New Roman" w:cs="Times New Roman"/>
          <w:b/>
          <w:bCs/>
          <w:i/>
          <w:iCs/>
        </w:rPr>
        <w:t>uez v. Escobar</w:t>
      </w:r>
      <w:r>
        <w:rPr>
          <w:rFonts w:ascii="Times New Roman" w:hAnsi="Times New Roman" w:cs="Times New Roman"/>
        </w:rPr>
        <w:t xml:space="preserve">, 2025 Westlaw 699451 (2d Dept. Mar. 5, 2025), the father appealed from two November 2023 Family Court orders, which: (1) after a hearing to determine the validity of service of process, granted the mother’s motion to dismiss, upon the ground of lack of personal jurisdiction, the father’s 2021 petition seeking a writ to compel the mother to produce the parties’ child born in 2015 before the court, and for access to the child; and (2) dismissed the father’s petition. The Second Department: (1) dismissed the appeal from the first order, given that “no appeal lies as of right from a nondispositional order in a proceeding pursuant to Family Court article 6,” citing FCA 1112(a); and (2) reversed, on the law, vacated the first order, reinstated the </w:t>
      </w:r>
      <w:r w:rsidR="001F4407">
        <w:rPr>
          <w:rFonts w:ascii="Times New Roman" w:hAnsi="Times New Roman" w:cs="Times New Roman"/>
        </w:rPr>
        <w:t>petition,</w:t>
      </w:r>
      <w:r>
        <w:rPr>
          <w:rFonts w:ascii="Times New Roman" w:hAnsi="Times New Roman" w:cs="Times New Roman"/>
        </w:rPr>
        <w:t xml:space="preserve"> and remitted to Family Court. The Appellate Division noted that DRL 75-g(1)(a) provides that if a person cannot be served with notice in NY, “the court shall require that such person shall be served in a manner reasonably calculated to give notice … by [, inter alia] personal delivery outside the state prescribed by” CPLR 313.  CPLR 313 permits such out of state service to be personal “in the same manner as service is made within the state.” After due diligence with personal service, Family Court directed the father to serve the mother under CPLR 308(4) (“nail and mail”). The Second Department found that the mother’s motion to dismiss “effectively acknowledged that she had received a copy of the summons and petition affixed to the door of her home but stated simply, ‘To date, I have not received any mailing of the summons/petition.’” The father submitted his process server’s affidavit, which attested to the required mailing, and the mother’s reply failed to elaborate “on her bare denial of receipt of the summons and petition by mail at her admitted residence.” The Appellate Division held that “Family Court erred in directing a hearing to determine the validity of service of process upon the mother and should have found that service of process upon the mother was properly effectuated.”</w:t>
      </w:r>
    </w:p>
    <w:p w14:paraId="27F61BDD" w14:textId="77777777" w:rsidR="002D194C" w:rsidRDefault="002D194C" w:rsidP="00557CD2">
      <w:pPr>
        <w:pStyle w:val="Heading2"/>
        <w:numPr>
          <w:ilvl w:val="0"/>
          <w:numId w:val="0"/>
        </w:numPr>
        <w:spacing w:line="240" w:lineRule="auto"/>
        <w:jc w:val="both"/>
        <w:rPr>
          <w:rFonts w:ascii="Times New Roman" w:hAnsi="Times New Roman" w:cs="Times New Roman"/>
        </w:rPr>
      </w:pPr>
    </w:p>
    <w:p w14:paraId="7B0432B1" w14:textId="77777777" w:rsidR="00C035DA" w:rsidRPr="00C035DA" w:rsidRDefault="00C035DA" w:rsidP="00C035DA">
      <w:pPr>
        <w:pStyle w:val="Heading2"/>
        <w:numPr>
          <w:ilvl w:val="0"/>
          <w:numId w:val="0"/>
        </w:numPr>
        <w:jc w:val="both"/>
        <w:rPr>
          <w:b/>
          <w:bCs/>
        </w:rPr>
      </w:pPr>
      <w:r w:rsidRPr="00C035DA">
        <w:rPr>
          <w:rFonts w:ascii="Times New Roman" w:hAnsi="Times New Roman" w:cs="Times New Roman"/>
          <w:b/>
          <w:bCs/>
        </w:rPr>
        <w:t>Custody - Visitation – Prohibition Against at Father’s Residence – Allergies – Reversed</w:t>
      </w:r>
    </w:p>
    <w:p w14:paraId="1FF1345B" w14:textId="184E5DF8" w:rsidR="00C035DA" w:rsidRDefault="00C035DA" w:rsidP="00C035DA">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C035DA">
        <w:rPr>
          <w:rFonts w:ascii="Times New Roman" w:hAnsi="Times New Roman" w:cs="Times New Roman"/>
          <w:b/>
          <w:bCs/>
          <w:i/>
          <w:iCs/>
        </w:rPr>
        <w:t>Matter of Passero v. Patcyk</w:t>
      </w:r>
      <w:r>
        <w:rPr>
          <w:rFonts w:ascii="Times New Roman" w:hAnsi="Times New Roman" w:cs="Times New Roman"/>
        </w:rPr>
        <w:t>, 2025 Westlaw 877813 (4</w:t>
      </w:r>
      <w:r w:rsidRPr="00E6360C">
        <w:rPr>
          <w:rFonts w:ascii="Times New Roman" w:hAnsi="Times New Roman" w:cs="Times New Roman"/>
          <w:vertAlign w:val="superscript"/>
        </w:rPr>
        <w:t>th</w:t>
      </w:r>
      <w:r>
        <w:rPr>
          <w:rFonts w:ascii="Times New Roman" w:hAnsi="Times New Roman" w:cs="Times New Roman"/>
        </w:rPr>
        <w:t xml:space="preserve"> Dept. Mar. 21, 2025), the father appealed from a May 2023 Family Court order which, after a hearing upon the mother’s cross-petition, modified a prior order and “prohibited [the father] from exercising his visitation with the children at his residence.” The Fourth Department reversed, on the law, and vacated so much of the order as prohibited the father from exercising visitation at his residence. The Appellate Division noted that</w:t>
      </w:r>
      <w:r w:rsidR="00902870">
        <w:rPr>
          <w:rFonts w:ascii="Times New Roman" w:hAnsi="Times New Roman" w:cs="Times New Roman"/>
        </w:rPr>
        <w:t xml:space="preserve"> while</w:t>
      </w:r>
      <w:r>
        <w:rPr>
          <w:rFonts w:ascii="Times New Roman" w:hAnsi="Times New Roman" w:cs="Times New Roman"/>
        </w:rPr>
        <w:t xml:space="preserve"> “it was undisputed that two of the three children have moderate or severe allergies to horses and the father’s home is on property that has a barn in which horses are boarded, the home study of the father’s residence did not conclude that visitation at the home was unsafe for the children.” The home study further stated “the horses were kept in stables, downwind and a moderate distance from the home” and “safety precautions were taken by the father and his wife to not have allergens in the home.”  The mother’s expert allergist: “initially recommended that the children be treated with allergy medications before being exposed *** but did not *** [restrict] *** visitation at the father’s home”; and then “changed his opinion to one that the children are to strictly avoid horse allergens and seemingly the father’s house, but such opinion was based on </w:t>
      </w:r>
      <w:r>
        <w:rPr>
          <w:rFonts w:ascii="Times New Roman" w:hAnsi="Times New Roman" w:cs="Times New Roman"/>
        </w:rPr>
        <w:lastRenderedPageBreak/>
        <w:t>faulty information that the children were taken to an urgent care as a result of an allergic reaction to horses.”</w:t>
      </w:r>
    </w:p>
    <w:p w14:paraId="65D3EF78" w14:textId="77777777" w:rsidR="00ED211A" w:rsidRDefault="00ED211A" w:rsidP="00C035DA">
      <w:pPr>
        <w:pStyle w:val="Heading2"/>
        <w:numPr>
          <w:ilvl w:val="0"/>
          <w:numId w:val="0"/>
        </w:numPr>
        <w:spacing w:line="240" w:lineRule="auto"/>
        <w:jc w:val="both"/>
        <w:rPr>
          <w:rFonts w:ascii="Times New Roman" w:hAnsi="Times New Roman" w:cs="Times New Roman"/>
        </w:rPr>
      </w:pPr>
    </w:p>
    <w:p w14:paraId="4F75F10D" w14:textId="77777777" w:rsidR="00ED211A" w:rsidRPr="00ED211A" w:rsidRDefault="00ED211A" w:rsidP="00ED211A">
      <w:pPr>
        <w:pStyle w:val="Heading2"/>
        <w:numPr>
          <w:ilvl w:val="0"/>
          <w:numId w:val="0"/>
        </w:numPr>
        <w:rPr>
          <w:b/>
          <w:bCs/>
        </w:rPr>
      </w:pPr>
      <w:r w:rsidRPr="00ED211A">
        <w:rPr>
          <w:rFonts w:ascii="Times New Roman" w:hAnsi="Times New Roman" w:cs="Times New Roman"/>
          <w:b/>
          <w:bCs/>
        </w:rPr>
        <w:t>Disclosure - Article – Requirement of Good Faith Efforts Prior to Motion</w:t>
      </w:r>
    </w:p>
    <w:p w14:paraId="47943BCB" w14:textId="7AAD7176" w:rsidR="00ED211A" w:rsidRDefault="00ED211A" w:rsidP="00ED211A">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For an informative article reviewing decisions interpreting 22 NYCRR 202.20-f, effective February 1, 2021, see Alan Levy, “Good Faith Efforts Required Before Filing Civil Discovery Motions: New York Courts Say: ‘We Mean It!’” </w:t>
      </w:r>
      <w:r w:rsidRPr="008B0A82">
        <w:rPr>
          <w:rFonts w:ascii="Times New Roman" w:hAnsi="Times New Roman" w:cs="Times New Roman"/>
          <w:u w:val="single"/>
        </w:rPr>
        <w:t>NY Law Journal</w:t>
      </w:r>
      <w:r>
        <w:rPr>
          <w:rFonts w:ascii="Times New Roman" w:hAnsi="Times New Roman" w:cs="Times New Roman"/>
        </w:rPr>
        <w:t>, Mar. 10, 2025.</w:t>
      </w:r>
    </w:p>
    <w:p w14:paraId="38484621" w14:textId="77777777" w:rsidR="00245175" w:rsidRDefault="00245175" w:rsidP="00ED211A">
      <w:pPr>
        <w:pStyle w:val="Heading2"/>
        <w:numPr>
          <w:ilvl w:val="0"/>
          <w:numId w:val="0"/>
        </w:numPr>
        <w:spacing w:line="240" w:lineRule="auto"/>
        <w:jc w:val="both"/>
        <w:rPr>
          <w:rFonts w:ascii="Times New Roman" w:hAnsi="Times New Roman" w:cs="Times New Roman"/>
        </w:rPr>
      </w:pPr>
    </w:p>
    <w:p w14:paraId="7B4F82AF" w14:textId="77777777" w:rsidR="005764AE" w:rsidRPr="00DC30A3" w:rsidRDefault="00245175" w:rsidP="005764AE">
      <w:pPr>
        <w:pStyle w:val="Heading2"/>
        <w:numPr>
          <w:ilvl w:val="0"/>
          <w:numId w:val="0"/>
        </w:numPr>
        <w:tabs>
          <w:tab w:val="clear" w:pos="720"/>
          <w:tab w:val="left" w:pos="630"/>
        </w:tabs>
        <w:spacing w:line="240" w:lineRule="auto"/>
        <w:jc w:val="both"/>
      </w:pPr>
      <w:r w:rsidRPr="00245175">
        <w:rPr>
          <w:rFonts w:ascii="Times New Roman" w:hAnsi="Times New Roman" w:cs="Times New Roman"/>
          <w:b/>
          <w:bCs/>
        </w:rPr>
        <w:t>Enforcement - Child Support – Willful Violation Found; Inability to Pay Not Established - Income from Employment Evidence Not Offered</w:t>
      </w:r>
      <w:r w:rsidR="005764AE">
        <w:rPr>
          <w:rFonts w:ascii="Times New Roman" w:hAnsi="Times New Roman" w:cs="Times New Roman"/>
          <w:b/>
          <w:bCs/>
        </w:rPr>
        <w:t xml:space="preserve">; </w:t>
      </w:r>
      <w:r w:rsidR="005764AE" w:rsidRPr="005764AE">
        <w:rPr>
          <w:rFonts w:ascii="Times New Roman" w:hAnsi="Times New Roman" w:cs="Times New Roman"/>
          <w:b/>
          <w:bCs/>
        </w:rPr>
        <w:t>Evidence - Judicial Notice of Court Records – Actual Knowledge of Order</w:t>
      </w:r>
    </w:p>
    <w:p w14:paraId="3E897382" w14:textId="77777777" w:rsidR="00245175" w:rsidRPr="00245175" w:rsidRDefault="00245175" w:rsidP="00245175">
      <w:pPr>
        <w:pStyle w:val="Heading2"/>
        <w:numPr>
          <w:ilvl w:val="0"/>
          <w:numId w:val="0"/>
        </w:numPr>
        <w:spacing w:line="240" w:lineRule="auto"/>
        <w:jc w:val="both"/>
        <w:rPr>
          <w:rFonts w:ascii="Times New Roman" w:hAnsi="Times New Roman" w:cs="Times New Roman"/>
          <w:b/>
          <w:bCs/>
        </w:rPr>
      </w:pPr>
    </w:p>
    <w:p w14:paraId="5A3B16CF" w14:textId="3A4A4297" w:rsidR="00245175" w:rsidRDefault="00245175" w:rsidP="00245175">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5764AE">
        <w:rPr>
          <w:rFonts w:ascii="Times New Roman" w:hAnsi="Times New Roman" w:cs="Times New Roman"/>
          <w:b/>
          <w:bCs/>
          <w:i/>
          <w:iCs/>
        </w:rPr>
        <w:t>Matter of Pifferrer v. Barrera</w:t>
      </w:r>
      <w:r>
        <w:rPr>
          <w:rFonts w:ascii="Times New Roman" w:hAnsi="Times New Roman" w:cs="Times New Roman"/>
        </w:rPr>
        <w:t>, 2025 Westlaw 908349 (2d Dept. Mar. 26, 2025), the father appealed from a June 2024 Family Court order, denying his objections to a March 2024 Support Magistrate Order of Disposition which, after a hearing, found that he willfully failed to obey a November 2013 order of support pertaining to the parties’ child born in 2008. The Second Department affirmed, holding that “the father failed to meet his burden of offering competent, credible evidence of his inability to make the required payments.” The Appellate Division noted: “Apart from the monies the father testified that he was receiving from public assistance, the father failed to offer competent, credible evidence about his income from employment.</w:t>
      </w:r>
      <w:r w:rsidR="00902870">
        <w:rPr>
          <w:rFonts w:ascii="Times New Roman" w:hAnsi="Times New Roman" w:cs="Times New Roman"/>
        </w:rPr>
        <w:t>”</w:t>
      </w:r>
      <w:r>
        <w:rPr>
          <w:rFonts w:ascii="Times New Roman" w:hAnsi="Times New Roman" w:cs="Times New Roman"/>
        </w:rPr>
        <w:t xml:space="preserve"> The Court concluded that “the Support Magistrate did not err in taking judicial notice of the Family Court’s records to establish that the father had knowledge of the November 20</w:t>
      </w:r>
      <w:r w:rsidR="00902870">
        <w:rPr>
          <w:rFonts w:ascii="Times New Roman" w:hAnsi="Times New Roman" w:cs="Times New Roman"/>
        </w:rPr>
        <w:t>1</w:t>
      </w:r>
      <w:r>
        <w:rPr>
          <w:rFonts w:ascii="Times New Roman" w:hAnsi="Times New Roman" w:cs="Times New Roman"/>
        </w:rPr>
        <w:t>3 order.”</w:t>
      </w:r>
    </w:p>
    <w:p w14:paraId="5879F0B5" w14:textId="77777777" w:rsidR="003374BD" w:rsidRDefault="003374BD" w:rsidP="00ED211A">
      <w:pPr>
        <w:pStyle w:val="Heading2"/>
        <w:numPr>
          <w:ilvl w:val="0"/>
          <w:numId w:val="0"/>
        </w:numPr>
        <w:spacing w:line="240" w:lineRule="auto"/>
        <w:jc w:val="both"/>
        <w:rPr>
          <w:rFonts w:ascii="Times New Roman" w:hAnsi="Times New Roman" w:cs="Times New Roman"/>
        </w:rPr>
      </w:pPr>
    </w:p>
    <w:p w14:paraId="62961BBC" w14:textId="77777777" w:rsidR="003374BD" w:rsidRPr="003374BD" w:rsidRDefault="003374BD" w:rsidP="003374BD">
      <w:pPr>
        <w:pStyle w:val="Heading2"/>
        <w:numPr>
          <w:ilvl w:val="0"/>
          <w:numId w:val="0"/>
        </w:numPr>
        <w:jc w:val="both"/>
        <w:rPr>
          <w:rFonts w:ascii="Times New Roman" w:hAnsi="Times New Roman" w:cs="Times New Roman"/>
          <w:b/>
          <w:bCs/>
        </w:rPr>
      </w:pPr>
      <w:r w:rsidRPr="003374BD">
        <w:rPr>
          <w:rFonts w:ascii="Times New Roman" w:hAnsi="Times New Roman" w:cs="Times New Roman"/>
          <w:b/>
          <w:bCs/>
        </w:rPr>
        <w:t>Equitable Distribution - Valuation Date – Art – Date of Trial</w:t>
      </w:r>
    </w:p>
    <w:p w14:paraId="07CBCAEB" w14:textId="37D90E38" w:rsidR="00A84907" w:rsidRDefault="003374BD" w:rsidP="003374B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3374BD">
        <w:rPr>
          <w:rFonts w:ascii="Times New Roman" w:hAnsi="Times New Roman" w:cs="Times New Roman"/>
          <w:b/>
          <w:bCs/>
          <w:i/>
          <w:iCs/>
        </w:rPr>
        <w:t>Halley v. Craven</w:t>
      </w:r>
      <w:r>
        <w:rPr>
          <w:rFonts w:ascii="Times New Roman" w:hAnsi="Times New Roman" w:cs="Times New Roman"/>
        </w:rPr>
        <w:t>, 2025 Westlaw 836550 (1</w:t>
      </w:r>
      <w:r w:rsidRPr="00467CA3">
        <w:rPr>
          <w:rFonts w:ascii="Times New Roman" w:hAnsi="Times New Roman" w:cs="Times New Roman"/>
          <w:vertAlign w:val="superscript"/>
        </w:rPr>
        <w:t>st</w:t>
      </w:r>
      <w:r>
        <w:rPr>
          <w:rFonts w:ascii="Times New Roman" w:hAnsi="Times New Roman" w:cs="Times New Roman"/>
        </w:rPr>
        <w:t xml:space="preserve"> Dept. Mar. 18, 2025), the wife appealed from an August 2023 Supreme Court order, which denied her motion to set the valuation date for the art created by the parties as of the date of commencement of the husband’s 2022 action for divorce, and granted the husband’s cross-motion, to the extent of determining that the valuation date therefor shall be the date of trial. The First Department affirmed, noting that “at a post-commencement auction *** the wife’s painting sold for more than $600,000, despite expectations of a price between $20,000 and $30,000.” The Appellate Division rejected the wife’s claim that the $600,000 sale price “resulted from her efforts to cultivate relationships within the art world,” finding that “networking alone cannot account for the painting selling for more than 20 times the anticipated amount.” The Court concluded: “Given the susceptibility of the value of the artwork to fluctuations in the market, the court properly characterized the parties’ unsold artwork as passive and set the valuation date as of the date of trial.”</w:t>
      </w:r>
    </w:p>
    <w:p w14:paraId="60DDDA85" w14:textId="77777777" w:rsidR="00C71741" w:rsidRDefault="00C71741" w:rsidP="00C71741">
      <w:pPr>
        <w:pStyle w:val="Heading2"/>
        <w:numPr>
          <w:ilvl w:val="0"/>
          <w:numId w:val="0"/>
        </w:numPr>
        <w:spacing w:line="240" w:lineRule="auto"/>
        <w:jc w:val="both"/>
        <w:rPr>
          <w:rFonts w:ascii="Times New Roman" w:hAnsi="Times New Roman" w:cs="Times New Roman"/>
        </w:rPr>
      </w:pPr>
    </w:p>
    <w:p w14:paraId="38369088" w14:textId="1B7B3646" w:rsidR="00A16892" w:rsidRDefault="00A16892" w:rsidP="00C71741">
      <w:pPr>
        <w:pStyle w:val="Heading2"/>
        <w:numPr>
          <w:ilvl w:val="0"/>
          <w:numId w:val="0"/>
        </w:numPr>
        <w:spacing w:line="240" w:lineRule="auto"/>
        <w:jc w:val="both"/>
        <w:rPr>
          <w:rFonts w:ascii="Times New Roman" w:hAnsi="Times New Roman" w:cs="Times New Roman"/>
          <w:b/>
          <w:bCs/>
        </w:rPr>
      </w:pPr>
      <w:r w:rsidRPr="00A16892">
        <w:rPr>
          <w:rFonts w:ascii="Times New Roman" w:hAnsi="Times New Roman" w:cs="Times New Roman"/>
          <w:b/>
          <w:bCs/>
        </w:rPr>
        <w:t>Family Offense - Aggravated Harassment 2d, Harassment 2d – Found; Disorderly Conduct – Not Found</w:t>
      </w:r>
    </w:p>
    <w:p w14:paraId="233CC4DB" w14:textId="77777777" w:rsidR="00A16892" w:rsidRPr="00A16892" w:rsidRDefault="00A16892" w:rsidP="00A16892">
      <w:pPr>
        <w:pStyle w:val="Heading2"/>
        <w:numPr>
          <w:ilvl w:val="0"/>
          <w:numId w:val="0"/>
        </w:numPr>
        <w:spacing w:line="240" w:lineRule="auto"/>
        <w:jc w:val="both"/>
        <w:rPr>
          <w:b/>
          <w:bCs/>
        </w:rPr>
      </w:pPr>
    </w:p>
    <w:p w14:paraId="277002B9" w14:textId="7300CB62" w:rsidR="00A16892" w:rsidRDefault="00A16892" w:rsidP="00A16892">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A16892">
        <w:rPr>
          <w:rFonts w:ascii="Times New Roman" w:hAnsi="Times New Roman" w:cs="Times New Roman"/>
          <w:b/>
          <w:bCs/>
          <w:i/>
          <w:iCs/>
        </w:rPr>
        <w:t>Matter of D.C. v. J.J.G.</w:t>
      </w:r>
      <w:r>
        <w:rPr>
          <w:rFonts w:ascii="Times New Roman" w:hAnsi="Times New Roman" w:cs="Times New Roman"/>
        </w:rPr>
        <w:t>, 2025 Westlaw 863924 (1</w:t>
      </w:r>
      <w:r w:rsidRPr="00EF0D6F">
        <w:rPr>
          <w:rFonts w:ascii="Times New Roman" w:hAnsi="Times New Roman" w:cs="Times New Roman"/>
          <w:vertAlign w:val="superscript"/>
        </w:rPr>
        <w:t>st</w:t>
      </w:r>
      <w:r>
        <w:rPr>
          <w:rFonts w:ascii="Times New Roman" w:hAnsi="Times New Roman" w:cs="Times New Roman"/>
        </w:rPr>
        <w:t xml:space="preserve"> Dept. Mar. 20, 2025), the father appealed from an October 2022 Family Court order which, after a hearing, determined that he committed Aggravated Harassment 2d, Harassment 2d, and Disorderly Conduct and granted the mother and 2 children a 2-year order of protection. The First Department affirmed in part, holding </w:t>
      </w:r>
      <w:r>
        <w:rPr>
          <w:rFonts w:ascii="Times New Roman" w:hAnsi="Times New Roman" w:cs="Times New Roman"/>
        </w:rPr>
        <w:lastRenderedPageBreak/>
        <w:t>that the harassment offenses were established by the mother testimony that the father “caused her to fear for herself and their children by sending her messages over Facebook Messenger threatening to kill her and put her ‘to sleep’,” while noting that “[t]he communications served no legitimate purposes and caused [the mother] to be alarmed and to have a reasonable fear of harm to her physical safety,” and the father’s “intent to harass or alarm [the mother] may be inferred from his threats to kill her.” The Court concluded that disorderly conduct was not established, holding that the “</w:t>
      </w:r>
      <w:r w:rsidR="00902870">
        <w:rPr>
          <w:rFonts w:ascii="Times New Roman" w:hAnsi="Times New Roman" w:cs="Times New Roman"/>
        </w:rPr>
        <w:t xml:space="preserve">evidence that [the father] sent [the mother] </w:t>
      </w:r>
      <w:r>
        <w:rPr>
          <w:rFonts w:ascii="Times New Roman" w:hAnsi="Times New Roman" w:cs="Times New Roman"/>
        </w:rPr>
        <w:t>private messages through Facebook Messenger does not support a finding that</w:t>
      </w:r>
      <w:r w:rsidR="00902870">
        <w:rPr>
          <w:rFonts w:ascii="Times New Roman" w:hAnsi="Times New Roman" w:cs="Times New Roman"/>
        </w:rPr>
        <w:t xml:space="preserve"> he </w:t>
      </w:r>
      <w:r>
        <w:rPr>
          <w:rFonts w:ascii="Times New Roman" w:hAnsi="Times New Roman" w:cs="Times New Roman"/>
        </w:rPr>
        <w:t>acted with ‘the intent to cause, or recklessness in causing, public harm.’”</w:t>
      </w:r>
    </w:p>
    <w:p w14:paraId="64A62A02" w14:textId="77777777" w:rsidR="00403DB6" w:rsidRDefault="00403DB6" w:rsidP="00A16892">
      <w:pPr>
        <w:pStyle w:val="Heading2"/>
        <w:numPr>
          <w:ilvl w:val="0"/>
          <w:numId w:val="0"/>
        </w:numPr>
        <w:spacing w:line="240" w:lineRule="auto"/>
        <w:jc w:val="both"/>
        <w:rPr>
          <w:rFonts w:ascii="Times New Roman" w:hAnsi="Times New Roman" w:cs="Times New Roman"/>
        </w:rPr>
      </w:pPr>
    </w:p>
    <w:p w14:paraId="758C509B" w14:textId="77777777" w:rsidR="00403DB6" w:rsidRDefault="00403DB6" w:rsidP="00403DB6">
      <w:pPr>
        <w:pStyle w:val="Heading2"/>
        <w:numPr>
          <w:ilvl w:val="0"/>
          <w:numId w:val="0"/>
        </w:numPr>
        <w:spacing w:line="240" w:lineRule="auto"/>
        <w:rPr>
          <w:rFonts w:ascii="Times New Roman" w:hAnsi="Times New Roman" w:cs="Times New Roman"/>
          <w:b/>
          <w:bCs/>
        </w:rPr>
      </w:pPr>
      <w:r w:rsidRPr="00403DB6">
        <w:rPr>
          <w:rFonts w:ascii="Times New Roman" w:hAnsi="Times New Roman" w:cs="Times New Roman"/>
          <w:b/>
          <w:bCs/>
        </w:rPr>
        <w:t>Family Offense - Menacing 2d and 3d – Found – Committed Against Mother and Children</w:t>
      </w:r>
    </w:p>
    <w:p w14:paraId="74C6CFC0" w14:textId="77777777" w:rsidR="00403DB6" w:rsidRPr="00403DB6" w:rsidRDefault="00403DB6" w:rsidP="00403DB6">
      <w:pPr>
        <w:pStyle w:val="Heading2"/>
        <w:numPr>
          <w:ilvl w:val="0"/>
          <w:numId w:val="0"/>
        </w:numPr>
        <w:spacing w:line="240" w:lineRule="auto"/>
        <w:rPr>
          <w:b/>
          <w:bCs/>
        </w:rPr>
      </w:pPr>
    </w:p>
    <w:p w14:paraId="70B21E8C" w14:textId="22FD4E2F" w:rsidR="00403DB6" w:rsidRDefault="00403DB6" w:rsidP="00403DB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A10259">
        <w:rPr>
          <w:rFonts w:ascii="Times New Roman" w:hAnsi="Times New Roman" w:cs="Times New Roman"/>
          <w:b/>
          <w:bCs/>
          <w:i/>
          <w:iCs/>
        </w:rPr>
        <w:t>Matter of M.D. v. F.T.</w:t>
      </w:r>
      <w:r>
        <w:rPr>
          <w:rFonts w:ascii="Times New Roman" w:hAnsi="Times New Roman" w:cs="Times New Roman"/>
        </w:rPr>
        <w:t>, 2025 Westlaw 714565 (1</w:t>
      </w:r>
      <w:r w:rsidRPr="007E6FB5">
        <w:rPr>
          <w:rFonts w:ascii="Times New Roman" w:hAnsi="Times New Roman" w:cs="Times New Roman"/>
          <w:vertAlign w:val="superscript"/>
        </w:rPr>
        <w:t>st</w:t>
      </w:r>
      <w:r>
        <w:rPr>
          <w:rFonts w:ascii="Times New Roman" w:hAnsi="Times New Roman" w:cs="Times New Roman"/>
        </w:rPr>
        <w:t xml:space="preserve"> Dept. Mar. 6, 2025), the father appealed from a February 2024 Family Court order which, after a hearing, found that he committed menacing 2d and 3d against the mother and subject children, and issued orders of protection. The First Department affirmed, citing the mother’s testimony describing “multiple episodes over a 10-year period in which the father grabbed her hair, kicked and hit her, and intimidated her by backing her against a wall and screaming in her face” as evidence of menacing 2d (PL 120.14), with his intent being “inferred from his actions and the surrounding circumstances.” As to menacing 3d (PL 120.15) the Appellate Division held the offense was established, noting: the father “admitted to hitting the children on the hands or arms with a belt”; “the evidence showed that the father cursed and screamed at the children while they were working on a homework assignment over a holiday weekend, threatening to hit them with a belt”; and “the father physically intimidated the daughter, backing her up against a wall and screaming in her face.”</w:t>
      </w:r>
    </w:p>
    <w:p w14:paraId="00F8B1D9" w14:textId="77777777" w:rsidR="00A16892" w:rsidRDefault="00A16892" w:rsidP="00A16892">
      <w:pPr>
        <w:pStyle w:val="Heading2"/>
        <w:numPr>
          <w:ilvl w:val="0"/>
          <w:numId w:val="0"/>
        </w:numPr>
        <w:spacing w:line="240" w:lineRule="auto"/>
        <w:jc w:val="both"/>
        <w:rPr>
          <w:rFonts w:ascii="Times New Roman" w:hAnsi="Times New Roman" w:cs="Times New Roman"/>
        </w:rPr>
      </w:pPr>
    </w:p>
    <w:p w14:paraId="5A129105" w14:textId="77777777" w:rsidR="006275BD" w:rsidRPr="006275BD" w:rsidRDefault="00A16892" w:rsidP="006275BD">
      <w:pPr>
        <w:pStyle w:val="Heading2"/>
        <w:numPr>
          <w:ilvl w:val="0"/>
          <w:numId w:val="0"/>
        </w:numPr>
        <w:rPr>
          <w:b/>
          <w:bCs/>
        </w:rPr>
      </w:pPr>
      <w:r w:rsidRPr="006275BD">
        <w:rPr>
          <w:rFonts w:ascii="Times New Roman" w:hAnsi="Times New Roman" w:cs="Times New Roman"/>
          <w:b/>
          <w:bCs/>
        </w:rPr>
        <w:t xml:space="preserve">Family Offense - </w:t>
      </w:r>
      <w:r w:rsidR="006275BD" w:rsidRPr="006275BD">
        <w:rPr>
          <w:rFonts w:ascii="Times New Roman" w:hAnsi="Times New Roman" w:cs="Times New Roman"/>
          <w:b/>
          <w:bCs/>
        </w:rPr>
        <w:t>Violation – Consecutive Sentences Permitted</w:t>
      </w:r>
    </w:p>
    <w:p w14:paraId="1F63E6C0" w14:textId="3E2EF1E5" w:rsidR="00A16892" w:rsidRDefault="006275BD" w:rsidP="006275B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6275BD">
        <w:rPr>
          <w:rFonts w:ascii="Times New Roman" w:hAnsi="Times New Roman" w:cs="Times New Roman"/>
          <w:b/>
          <w:bCs/>
          <w:i/>
          <w:iCs/>
        </w:rPr>
        <w:t>Matter of Poli v. Titov</w:t>
      </w:r>
      <w:r>
        <w:rPr>
          <w:rFonts w:ascii="Times New Roman" w:hAnsi="Times New Roman" w:cs="Times New Roman"/>
        </w:rPr>
        <w:t xml:space="preserve">, </w:t>
      </w:r>
      <w:r w:rsidR="0043007A">
        <w:rPr>
          <w:rFonts w:ascii="Times New Roman" w:hAnsi="Times New Roman" w:cs="Times New Roman"/>
        </w:rPr>
        <w:t xml:space="preserve">227 NYS3d 724 </w:t>
      </w:r>
      <w:r>
        <w:rPr>
          <w:rFonts w:ascii="Times New Roman" w:hAnsi="Times New Roman" w:cs="Times New Roman"/>
        </w:rPr>
        <w:t>(2d Dept. Mar. 5, 2025), respondent in an intimate relationship proceeding commenced in February 2024, appealed from a March 2024 Family Court order of commitment which, after a hearing, found that he violated a temporary order of protection 8 separate times and sentenced him to a term of 48 months in total, 6 months for each violation, the maximum permitted by FCA 846-a, to run consecutively. The Second Department affirmed, noting that where, as here, respondent was incarcerated “as a punitive remedy ***, the proceeding is one involving criminal contempt,” and although the 8 consecutive 6-month terms are allowed by FCA 846-a, “the aggregate term of incarceration violates the statutory maximum,” citing PL 70.30(2)(b). The Appellate Division concluded that “since the aggregate term of incarceration is deemed to be equal to the legally authorized limit, there is no reason to modify the order of commitment.”</w:t>
      </w:r>
    </w:p>
    <w:p w14:paraId="06EEA277" w14:textId="77777777" w:rsidR="00902870" w:rsidRDefault="00902870" w:rsidP="006275BD">
      <w:pPr>
        <w:pStyle w:val="Heading2"/>
        <w:numPr>
          <w:ilvl w:val="0"/>
          <w:numId w:val="0"/>
        </w:numPr>
        <w:spacing w:line="240" w:lineRule="auto"/>
        <w:jc w:val="both"/>
        <w:rPr>
          <w:rFonts w:ascii="Times New Roman" w:hAnsi="Times New Roman" w:cs="Times New Roman"/>
        </w:rPr>
      </w:pPr>
    </w:p>
    <w:p w14:paraId="651A05E6" w14:textId="00876BA9" w:rsidR="00B47334" w:rsidRPr="00B47334" w:rsidRDefault="00B47334" w:rsidP="00B47334">
      <w:pPr>
        <w:pStyle w:val="Heading2"/>
        <w:numPr>
          <w:ilvl w:val="0"/>
          <w:numId w:val="0"/>
        </w:numPr>
        <w:jc w:val="both"/>
        <w:rPr>
          <w:b/>
          <w:bCs/>
        </w:rPr>
      </w:pPr>
      <w:r w:rsidRPr="00B47334">
        <w:rPr>
          <w:rFonts w:ascii="Times New Roman" w:hAnsi="Times New Roman" w:cs="Times New Roman"/>
          <w:b/>
          <w:bCs/>
        </w:rPr>
        <w:t>Pendente Lite - Automatic Orders – Violation – Advance on Equitable Distribution Modified</w:t>
      </w:r>
    </w:p>
    <w:p w14:paraId="55A1860C" w14:textId="32612D2F" w:rsidR="00B47334" w:rsidRDefault="00B47334" w:rsidP="00B4733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B47334">
        <w:rPr>
          <w:rFonts w:ascii="Times New Roman" w:hAnsi="Times New Roman" w:cs="Times New Roman"/>
          <w:b/>
          <w:bCs/>
          <w:i/>
          <w:iCs/>
        </w:rPr>
        <w:t>Roberson-Fisch v. Fisch</w:t>
      </w:r>
      <w:r>
        <w:rPr>
          <w:rFonts w:ascii="Times New Roman" w:hAnsi="Times New Roman" w:cs="Times New Roman"/>
        </w:rPr>
        <w:t>, 2025 Westlaw 863933 (1</w:t>
      </w:r>
      <w:r w:rsidRPr="00C06723">
        <w:rPr>
          <w:rFonts w:ascii="Times New Roman" w:hAnsi="Times New Roman" w:cs="Times New Roman"/>
          <w:vertAlign w:val="superscript"/>
        </w:rPr>
        <w:t>st</w:t>
      </w:r>
      <w:r>
        <w:rPr>
          <w:rFonts w:ascii="Times New Roman" w:hAnsi="Times New Roman" w:cs="Times New Roman"/>
        </w:rPr>
        <w:t xml:space="preserve"> Dept. Mar. 20, 2025), the husband appealed from a July 2024 Supreme Court order, which determined that he violated the automatic orders by purchasing $29.6 million in real property and directed him to pay the same sum to the wife as an advance on equitable distribution. The First Department held that “Supreme Court abused its discretion” and modified, on the law and in the exercise of discretion, vacated the </w:t>
      </w:r>
      <w:r>
        <w:rPr>
          <w:rFonts w:ascii="Times New Roman" w:hAnsi="Times New Roman" w:cs="Times New Roman"/>
        </w:rPr>
        <w:lastRenderedPageBreak/>
        <w:t>advance award and directed the wife to deliver the funds to her counsel, to be held in escrow pendente lite, subject to reallocation after trial.  The Appellate Division concluded that this “was not a situation where the wife needed the award for necessary expenses, counsel fees or other reasonable needs” and while the husband engaged in a “blatant violation of the automatic orders *** [which] warrants redress,” he “retains the ability to seek leave of court should he wish to purchase any additional real estate.”</w:t>
      </w:r>
    </w:p>
    <w:p w14:paraId="2EF5DF6D" w14:textId="77777777" w:rsidR="00B47334" w:rsidRDefault="00B47334" w:rsidP="00B47334">
      <w:pPr>
        <w:pStyle w:val="Heading2"/>
        <w:numPr>
          <w:ilvl w:val="0"/>
          <w:numId w:val="0"/>
        </w:numPr>
        <w:spacing w:line="240" w:lineRule="auto"/>
        <w:jc w:val="both"/>
        <w:rPr>
          <w:rFonts w:ascii="Times New Roman" w:hAnsi="Times New Roman" w:cs="Times New Roman"/>
        </w:rPr>
      </w:pPr>
    </w:p>
    <w:p w14:paraId="74326320" w14:textId="77777777" w:rsidR="00B47334" w:rsidRPr="00B47334" w:rsidRDefault="00B47334" w:rsidP="00B47334">
      <w:pPr>
        <w:pStyle w:val="Heading2"/>
        <w:numPr>
          <w:ilvl w:val="0"/>
          <w:numId w:val="0"/>
        </w:numPr>
        <w:jc w:val="both"/>
        <w:rPr>
          <w:b/>
          <w:bCs/>
        </w:rPr>
      </w:pPr>
      <w:r w:rsidRPr="00B47334">
        <w:rPr>
          <w:rFonts w:ascii="Times New Roman" w:hAnsi="Times New Roman" w:cs="Times New Roman"/>
          <w:b/>
          <w:bCs/>
        </w:rPr>
        <w:t>Procedure - Default – Vacatur Properly Denied; Interpreter Arguments Rejected</w:t>
      </w:r>
    </w:p>
    <w:p w14:paraId="0C4A47ED" w14:textId="4C11B03F" w:rsidR="00B47334" w:rsidRDefault="00B47334" w:rsidP="00B4733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B47334">
        <w:rPr>
          <w:rFonts w:ascii="Times New Roman" w:hAnsi="Times New Roman" w:cs="Times New Roman"/>
          <w:b/>
          <w:bCs/>
          <w:i/>
          <w:iCs/>
        </w:rPr>
        <w:t>Matter of Polanco v. Cruz</w:t>
      </w:r>
      <w:r>
        <w:rPr>
          <w:rFonts w:ascii="Times New Roman" w:hAnsi="Times New Roman" w:cs="Times New Roman"/>
        </w:rPr>
        <w:t>, 2025 Westlaw 699696 (2d Dept. Mar. 5, 2025), the mother appealed from a May 2024 Family Court order, which denied her motion to vacate the same Court’s February 2024 order, issued following her default in appearance at a February 2024 continuation of an October 2023 hearing upon the father’s February 2022 petition and her February 2023 petition, awarding the father sole legal and physical custody of the parties’ 3 children. The mother and her counsel were present at the October 2023 hearing, along with a Spanish interpreter, and the father’s direct testimony was completed and video evidence was received. The February 2024 continuation date was selected in the presence of the parties, counsel, and the interpreter. The mother failed to appear on the February 2024 date and her counsel requested an adjournment, stating he had communicated with her that morning and she claimed to be unaware of the hearing date. Family Court denied the adjournment request and proceeded by inquest. The Second Department affirmed, holding that the mother “failed to provide a reasonable excuse for her default” and found that her assertion “that she was unaware of the *** hearing date because the interpreter failed to interpret that date is unsupported by the record, as that date appears twice in the transcript, and is further contradicted by her assertion that she maintained regular and consistent communication with her attorney.” The Court concluded that in the absence of a reasonable excuse for the mother’s default, “we need not determine if she demonstrated a potentially meritorious defense.”</w:t>
      </w:r>
    </w:p>
    <w:p w14:paraId="191908A4" w14:textId="77777777" w:rsidR="005F4E5A" w:rsidRDefault="005F4E5A" w:rsidP="00B47334">
      <w:pPr>
        <w:pStyle w:val="Heading2"/>
        <w:numPr>
          <w:ilvl w:val="0"/>
          <w:numId w:val="0"/>
        </w:numPr>
        <w:spacing w:line="240" w:lineRule="auto"/>
        <w:jc w:val="both"/>
        <w:rPr>
          <w:rFonts w:ascii="Times New Roman" w:hAnsi="Times New Roman" w:cs="Times New Roman"/>
        </w:rPr>
      </w:pPr>
    </w:p>
    <w:p w14:paraId="26DA204F" w14:textId="2F0DA263" w:rsidR="00A16C7D" w:rsidRPr="00A16C7D" w:rsidRDefault="00A16C7D" w:rsidP="00B47334">
      <w:pPr>
        <w:pStyle w:val="Heading2"/>
        <w:numPr>
          <w:ilvl w:val="0"/>
          <w:numId w:val="0"/>
        </w:numPr>
        <w:spacing w:line="240" w:lineRule="auto"/>
        <w:jc w:val="both"/>
        <w:rPr>
          <w:rFonts w:ascii="Times New Roman" w:hAnsi="Times New Roman" w:cs="Times New Roman"/>
          <w:b/>
          <w:bCs/>
          <w:u w:val="single"/>
        </w:rPr>
      </w:pPr>
      <w:r w:rsidRPr="00A16C7D">
        <w:rPr>
          <w:rFonts w:ascii="Times New Roman" w:hAnsi="Times New Roman" w:cs="Times New Roman"/>
          <w:b/>
          <w:bCs/>
          <w:u w:val="single"/>
        </w:rPr>
        <w:t>Legislative</w:t>
      </w:r>
      <w:r w:rsidR="0043007A">
        <w:rPr>
          <w:rFonts w:ascii="Times New Roman" w:hAnsi="Times New Roman" w:cs="Times New Roman"/>
          <w:b/>
          <w:bCs/>
          <w:u w:val="single"/>
        </w:rPr>
        <w:t xml:space="preserve"> </w:t>
      </w:r>
      <w:r w:rsidRPr="00A16C7D">
        <w:rPr>
          <w:rFonts w:ascii="Times New Roman" w:hAnsi="Times New Roman" w:cs="Times New Roman"/>
          <w:b/>
          <w:bCs/>
          <w:u w:val="single"/>
        </w:rPr>
        <w:t>Items</w:t>
      </w:r>
    </w:p>
    <w:p w14:paraId="2E0C071D" w14:textId="77777777" w:rsidR="00A16C7D" w:rsidRDefault="00A16C7D" w:rsidP="00B47334">
      <w:pPr>
        <w:pStyle w:val="Heading2"/>
        <w:numPr>
          <w:ilvl w:val="0"/>
          <w:numId w:val="0"/>
        </w:numPr>
        <w:spacing w:line="240" w:lineRule="auto"/>
        <w:jc w:val="both"/>
        <w:rPr>
          <w:rFonts w:ascii="Times New Roman" w:hAnsi="Times New Roman" w:cs="Times New Roman"/>
          <w:b/>
          <w:bCs/>
        </w:rPr>
      </w:pPr>
    </w:p>
    <w:p w14:paraId="5C72FCAB" w14:textId="77777777" w:rsidR="00A16C7D" w:rsidRPr="00A16C7D" w:rsidRDefault="00A16C7D" w:rsidP="00A16C7D">
      <w:pPr>
        <w:pStyle w:val="Heading2"/>
        <w:numPr>
          <w:ilvl w:val="0"/>
          <w:numId w:val="0"/>
        </w:numPr>
        <w:rPr>
          <w:rFonts w:ascii="Times New Roman" w:hAnsi="Times New Roman" w:cs="Times New Roman"/>
          <w:b/>
          <w:bCs/>
        </w:rPr>
      </w:pPr>
      <w:r w:rsidRPr="00A16C7D">
        <w:rPr>
          <w:rFonts w:ascii="Times New Roman" w:hAnsi="Times New Roman" w:cs="Times New Roman"/>
          <w:b/>
          <w:bCs/>
        </w:rPr>
        <w:t>Parent Education and Awareness</w:t>
      </w:r>
    </w:p>
    <w:p w14:paraId="3B580C1B" w14:textId="4254256E" w:rsidR="00A16C7D" w:rsidRDefault="00A16C7D" w:rsidP="00A16C7D">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There is a bill which </w:t>
      </w:r>
      <w:r w:rsidRPr="00273F49">
        <w:rPr>
          <w:rFonts w:ascii="Times New Roman" w:hAnsi="Times New Roman" w:cs="Times New Roman"/>
          <w:b/>
          <w:bCs/>
          <w:u w:val="single"/>
        </w:rPr>
        <w:t>would add</w:t>
      </w:r>
      <w:r>
        <w:rPr>
          <w:rFonts w:ascii="Times New Roman" w:hAnsi="Times New Roman" w:cs="Times New Roman"/>
        </w:rPr>
        <w:t xml:space="preserve"> new DRL 212 and new FCA 665-670, to codify the concepts contained in 22 NYCRR Part 144, in particular, to provide that the court “shall order both parents to attend a certified parent education and awareness program unless the court finds significant evidence that attendance at the program would not benefit the parents or their children, provided, however, that the parents shall not attend the same class session. Such court order shall be made as early in the proceeding as practicable.”  At present, this is a one-house bill. A.06570.</w:t>
      </w:r>
    </w:p>
    <w:p w14:paraId="1B6E19C9" w14:textId="77777777" w:rsidR="00A16C7D" w:rsidRDefault="00A16C7D" w:rsidP="00A16C7D">
      <w:pPr>
        <w:pStyle w:val="Heading2"/>
        <w:numPr>
          <w:ilvl w:val="0"/>
          <w:numId w:val="0"/>
        </w:numPr>
        <w:spacing w:line="240" w:lineRule="auto"/>
        <w:jc w:val="both"/>
        <w:rPr>
          <w:rFonts w:ascii="Times New Roman" w:hAnsi="Times New Roman" w:cs="Times New Roman"/>
        </w:rPr>
      </w:pPr>
    </w:p>
    <w:p w14:paraId="2A339989" w14:textId="77777777" w:rsidR="00A16C7D" w:rsidRPr="00A16C7D" w:rsidRDefault="00A16C7D" w:rsidP="00A16C7D">
      <w:pPr>
        <w:pStyle w:val="Heading2"/>
        <w:numPr>
          <w:ilvl w:val="0"/>
          <w:numId w:val="0"/>
        </w:numPr>
        <w:rPr>
          <w:rFonts w:ascii="Times New Roman" w:hAnsi="Times New Roman" w:cs="Times New Roman"/>
          <w:b/>
          <w:bCs/>
        </w:rPr>
      </w:pPr>
      <w:r w:rsidRPr="00A16C7D">
        <w:rPr>
          <w:rFonts w:ascii="Times New Roman" w:hAnsi="Times New Roman" w:cs="Times New Roman"/>
          <w:b/>
          <w:bCs/>
        </w:rPr>
        <w:t>Separation – No Fault; Conversion Divorce Waiting Periods Shortened to 6 Months</w:t>
      </w:r>
    </w:p>
    <w:p w14:paraId="4F8130A2" w14:textId="1A560BBA" w:rsidR="00A16C7D" w:rsidRDefault="00A16C7D" w:rsidP="00A16C7D">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Passed by</w:t>
      </w:r>
      <w:r w:rsidR="006268E6">
        <w:rPr>
          <w:rFonts w:ascii="Times New Roman" w:hAnsi="Times New Roman" w:cs="Times New Roman"/>
        </w:rPr>
        <w:t xml:space="preserve"> both Houses and if </w:t>
      </w:r>
      <w:r>
        <w:rPr>
          <w:rFonts w:ascii="Times New Roman" w:hAnsi="Times New Roman" w:cs="Times New Roman"/>
        </w:rPr>
        <w:t xml:space="preserve">signed by the Governor, this legislation: (1) </w:t>
      </w:r>
      <w:r w:rsidRPr="0068631D">
        <w:rPr>
          <w:rFonts w:ascii="Times New Roman" w:hAnsi="Times New Roman" w:cs="Times New Roman"/>
          <w:b/>
          <w:bCs/>
          <w:u w:val="single"/>
        </w:rPr>
        <w:t>would amend</w:t>
      </w:r>
      <w:r>
        <w:rPr>
          <w:rFonts w:ascii="Times New Roman" w:hAnsi="Times New Roman" w:cs="Times New Roman"/>
        </w:rPr>
        <w:t xml:space="preserve"> DRL 170(5) and (6) to shorten the “conversion divorce” waiting periods following separation judgments and agreements to 6 months; and (2) </w:t>
      </w:r>
      <w:r w:rsidRPr="0068631D">
        <w:rPr>
          <w:rFonts w:ascii="Times New Roman" w:hAnsi="Times New Roman" w:cs="Times New Roman"/>
          <w:b/>
          <w:bCs/>
          <w:u w:val="single"/>
        </w:rPr>
        <w:t>would amend</w:t>
      </w:r>
      <w:r>
        <w:rPr>
          <w:rFonts w:ascii="Times New Roman" w:hAnsi="Times New Roman" w:cs="Times New Roman"/>
        </w:rPr>
        <w:t xml:space="preserve"> DRL 200 to add a new subdivision </w:t>
      </w:r>
      <w:r w:rsidR="006268E6">
        <w:rPr>
          <w:rFonts w:ascii="Times New Roman" w:hAnsi="Times New Roman" w:cs="Times New Roman"/>
        </w:rPr>
        <w:t>[6]</w:t>
      </w:r>
      <w:r>
        <w:rPr>
          <w:rFonts w:ascii="Times New Roman" w:hAnsi="Times New Roman" w:cs="Times New Roman"/>
        </w:rPr>
        <w:t xml:space="preserve"> to provide an irretrievable breakdown ground for separation, upon a statement under oath by one party that the relationship “has broken down irretrievably for a period of at least six months,” </w:t>
      </w:r>
      <w:r>
        <w:rPr>
          <w:rFonts w:ascii="Times New Roman" w:hAnsi="Times New Roman" w:cs="Times New Roman"/>
        </w:rPr>
        <w:lastRenderedPageBreak/>
        <w:t>provided that “the economic issues of the payment or waiver of spousal support, the payment of child support, the payment of counsel and experts’ fees and expenses as well as the custody and visitation with the infant children of the marriage have been resolved by the parties, or determined by the court and incorporated into the action.</w:t>
      </w:r>
      <w:r w:rsidR="009463C2">
        <w:rPr>
          <w:rFonts w:ascii="Times New Roman" w:hAnsi="Times New Roman" w:cs="Times New Roman"/>
        </w:rPr>
        <w:t xml:space="preserve">” </w:t>
      </w:r>
      <w:r>
        <w:rPr>
          <w:rFonts w:ascii="Times New Roman" w:hAnsi="Times New Roman" w:cs="Times New Roman"/>
        </w:rPr>
        <w:t>A.03392A, S.01261A.</w:t>
      </w:r>
    </w:p>
    <w:p w14:paraId="17E3B709" w14:textId="77777777" w:rsidR="00A16C7D" w:rsidRDefault="00A16C7D" w:rsidP="00A16C7D">
      <w:pPr>
        <w:pStyle w:val="Heading2"/>
        <w:numPr>
          <w:ilvl w:val="0"/>
          <w:numId w:val="0"/>
        </w:numPr>
        <w:spacing w:line="240" w:lineRule="auto"/>
        <w:jc w:val="both"/>
        <w:rPr>
          <w:rFonts w:ascii="Times New Roman" w:hAnsi="Times New Roman" w:cs="Times New Roman"/>
        </w:rPr>
      </w:pPr>
    </w:p>
    <w:p w14:paraId="1A9D3B96" w14:textId="77777777" w:rsidR="00A16C7D" w:rsidRPr="00A16C7D" w:rsidRDefault="00A16C7D" w:rsidP="00A16C7D">
      <w:pPr>
        <w:pStyle w:val="Heading2"/>
        <w:numPr>
          <w:ilvl w:val="0"/>
          <w:numId w:val="0"/>
        </w:numPr>
        <w:rPr>
          <w:rFonts w:ascii="Times New Roman" w:hAnsi="Times New Roman" w:cs="Times New Roman"/>
          <w:b/>
          <w:bCs/>
        </w:rPr>
      </w:pPr>
      <w:r w:rsidRPr="00A16C7D">
        <w:rPr>
          <w:rFonts w:ascii="Times New Roman" w:hAnsi="Times New Roman" w:cs="Times New Roman"/>
          <w:b/>
          <w:bCs/>
        </w:rPr>
        <w:t>Surrogacy – Technical Amendments and Sanitized Captions</w:t>
      </w:r>
    </w:p>
    <w:p w14:paraId="1D0399AC" w14:textId="75820CC5" w:rsidR="00A16C7D" w:rsidRDefault="00A16C7D" w:rsidP="00A16C7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This legislation, </w:t>
      </w:r>
      <w:r w:rsidRPr="00424A47">
        <w:rPr>
          <w:rFonts w:ascii="Times New Roman" w:hAnsi="Times New Roman" w:cs="Times New Roman"/>
          <w:b/>
          <w:bCs/>
          <w:u w:val="single"/>
        </w:rPr>
        <w:t>effective December 21, 2024</w:t>
      </w:r>
      <w:r>
        <w:rPr>
          <w:rFonts w:ascii="Times New Roman" w:hAnsi="Times New Roman" w:cs="Times New Roman"/>
        </w:rPr>
        <w:t xml:space="preserve">, amends numerous provisions of the statutes pertaining to surrogacy. </w:t>
      </w:r>
      <w:r w:rsidR="001F4407">
        <w:rPr>
          <w:rFonts w:ascii="Times New Roman" w:hAnsi="Times New Roman" w:cs="Times New Roman"/>
        </w:rPr>
        <w:t>Family</w:t>
      </w:r>
      <w:r>
        <w:rPr>
          <w:rFonts w:ascii="Times New Roman" w:hAnsi="Times New Roman" w:cs="Times New Roman"/>
        </w:rPr>
        <w:t xml:space="preserve"> Court Act 581-205 is amended to provide that the surnames of the child or parties shall not be displayed in any caption, document, index, </w:t>
      </w:r>
      <w:r w:rsidR="001F4407">
        <w:rPr>
          <w:rFonts w:ascii="Times New Roman" w:hAnsi="Times New Roman" w:cs="Times New Roman"/>
        </w:rPr>
        <w:t>minutes,</w:t>
      </w:r>
      <w:r>
        <w:rPr>
          <w:rFonts w:ascii="Times New Roman" w:hAnsi="Times New Roman" w:cs="Times New Roman"/>
        </w:rPr>
        <w:t xml:space="preserve"> or other record available to the public. A.04921C, S.05107C. Signed December 21, 2024, Laws of 2024, Ch. 671.</w:t>
      </w:r>
    </w:p>
    <w:p w14:paraId="0A6EC1AD" w14:textId="77777777" w:rsidR="00A16C7D" w:rsidRDefault="00A16C7D" w:rsidP="00A16C7D">
      <w:pPr>
        <w:pStyle w:val="Heading2"/>
        <w:numPr>
          <w:ilvl w:val="0"/>
          <w:numId w:val="0"/>
        </w:numPr>
        <w:spacing w:line="240" w:lineRule="auto"/>
        <w:jc w:val="both"/>
        <w:rPr>
          <w:rFonts w:ascii="Times New Roman" w:hAnsi="Times New Roman" w:cs="Times New Roman"/>
        </w:rPr>
      </w:pPr>
    </w:p>
    <w:p w14:paraId="6CE34836" w14:textId="2E2B2D75" w:rsidR="00A16C7D" w:rsidRPr="00A16C7D" w:rsidRDefault="00A16C7D" w:rsidP="00A16C7D">
      <w:pPr>
        <w:pStyle w:val="Heading2"/>
        <w:numPr>
          <w:ilvl w:val="0"/>
          <w:numId w:val="0"/>
        </w:numPr>
        <w:spacing w:line="240" w:lineRule="auto"/>
        <w:jc w:val="both"/>
        <w:rPr>
          <w:b/>
          <w:bCs/>
        </w:rPr>
      </w:pPr>
      <w:r>
        <w:rPr>
          <w:rFonts w:ascii="Times New Roman" w:hAnsi="Times New Roman" w:cs="Times New Roman"/>
        </w:rPr>
        <w:tab/>
        <w:t xml:space="preserve">Additional legislation, a series of chapter amendments, was </w:t>
      </w:r>
      <w:r w:rsidRPr="007A732F">
        <w:rPr>
          <w:rFonts w:ascii="Times New Roman" w:hAnsi="Times New Roman" w:cs="Times New Roman"/>
          <w:b/>
          <w:bCs/>
          <w:u w:val="single"/>
        </w:rPr>
        <w:t>signed February 28, 2025</w:t>
      </w:r>
      <w:r>
        <w:rPr>
          <w:rFonts w:ascii="Times New Roman" w:hAnsi="Times New Roman" w:cs="Times New Roman"/>
        </w:rPr>
        <w:t>, with varying effective dates. A.02057, S.0819, Laws of 2025, Ch. 98.</w:t>
      </w:r>
    </w:p>
    <w:p w14:paraId="6FE17424" w14:textId="0C27C2F4" w:rsidR="004E578D" w:rsidRPr="001F5293" w:rsidRDefault="00191C80" w:rsidP="001D563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p>
    <w:p w14:paraId="2FDE7D7B" w14:textId="77777777" w:rsidR="00FF5153" w:rsidRDefault="00FF5153" w:rsidP="0039601B">
      <w:pPr>
        <w:pStyle w:val="Heading2"/>
        <w:numPr>
          <w:ilvl w:val="0"/>
          <w:numId w:val="0"/>
        </w:numPr>
        <w:spacing w:line="240" w:lineRule="auto"/>
        <w:rPr>
          <w:rFonts w:ascii="Times New Roman" w:hAnsi="Times New Roman" w:cs="Times New Roman"/>
          <w:b/>
          <w:bCs/>
        </w:rPr>
      </w:pPr>
    </w:p>
    <w:p w14:paraId="782CEC95" w14:textId="66B93CDF" w:rsidR="00BF67C7" w:rsidRPr="0089226B" w:rsidRDefault="00BF67C7" w:rsidP="0039601B">
      <w:pPr>
        <w:pStyle w:val="Heading2"/>
        <w:numPr>
          <w:ilvl w:val="0"/>
          <w:numId w:val="0"/>
        </w:numPr>
        <w:spacing w:line="240" w:lineRule="auto"/>
        <w:jc w:val="both"/>
      </w:pPr>
    </w:p>
    <w:p w14:paraId="7D099A19" w14:textId="215D0A9E" w:rsidR="004F34EE" w:rsidRPr="00A279E6" w:rsidRDefault="004F34EE" w:rsidP="00AA33D7">
      <w:pPr>
        <w:pStyle w:val="Heading2"/>
        <w:numPr>
          <w:ilvl w:val="0"/>
          <w:numId w:val="0"/>
        </w:numPr>
        <w:jc w:val="both"/>
        <w:rPr>
          <w:b/>
          <w:bCs/>
        </w:rPr>
      </w:pPr>
    </w:p>
    <w:sectPr w:rsidR="004F34EE" w:rsidRPr="00A279E6" w:rsidSect="000002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BD8E" w14:textId="77777777" w:rsidR="00990D77" w:rsidRDefault="00990D77" w:rsidP="0013568D">
      <w:pPr>
        <w:spacing w:after="0" w:line="240" w:lineRule="auto"/>
      </w:pPr>
      <w:r>
        <w:separator/>
      </w:r>
    </w:p>
  </w:endnote>
  <w:endnote w:type="continuationSeparator" w:id="0">
    <w:p w14:paraId="79ADBE33" w14:textId="77777777" w:rsidR="00990D77" w:rsidRDefault="00990D77"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533471"/>
      <w:docPartObj>
        <w:docPartGallery w:val="Page Numbers (Bottom of Page)"/>
        <w:docPartUnique/>
      </w:docPartObj>
    </w:sdtPr>
    <w:sdtEndPr/>
    <w:sdtContent>
      <w:sdt>
        <w:sdtPr>
          <w:id w:val="-1769616900"/>
          <w:docPartObj>
            <w:docPartGallery w:val="Page Numbers (Top of Page)"/>
            <w:docPartUnique/>
          </w:docPartObj>
        </w:sdtPr>
        <w:sdtEndPr/>
        <w:sdtContent>
          <w:p w14:paraId="550BA402" w14:textId="366A3CFD" w:rsidR="0013568D" w:rsidRDefault="00022832">
            <w:pPr>
              <w:pStyle w:val="Footer"/>
              <w:jc w:val="right"/>
            </w:pPr>
            <w:r w:rsidRPr="00022832">
              <w:rPr>
                <w:b/>
                <w:bCs/>
                <w:i/>
                <w:iCs/>
              </w:rPr>
              <w:t>NYSBA Family Law Section Update</w:t>
            </w:r>
            <w:r w:rsidR="00434674" w:rsidRPr="00351E36">
              <w:rPr>
                <w:b/>
                <w:bCs/>
                <w:i/>
                <w:iCs/>
              </w:rPr>
              <w:t>,</w:t>
            </w:r>
            <w:r w:rsidR="00013D0E" w:rsidRPr="00351E36">
              <w:rPr>
                <w:b/>
                <w:bCs/>
                <w:i/>
                <w:iCs/>
              </w:rPr>
              <w:t xml:space="preserve"> </w:t>
            </w:r>
            <w:r w:rsidR="00C035DA">
              <w:rPr>
                <w:b/>
                <w:bCs/>
                <w:i/>
                <w:iCs/>
              </w:rPr>
              <w:t>April</w:t>
            </w:r>
            <w:r w:rsidR="00CA063D">
              <w:rPr>
                <w:b/>
                <w:bCs/>
                <w:i/>
                <w:iCs/>
              </w:rPr>
              <w:t xml:space="preserve"> </w:t>
            </w:r>
            <w:r w:rsidR="00013D0E" w:rsidRPr="00351E36">
              <w:rPr>
                <w:b/>
                <w:bCs/>
                <w:i/>
                <w:iCs/>
              </w:rPr>
              <w:t>2025</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DE0F" w14:textId="77777777" w:rsidR="00990D77" w:rsidRDefault="00990D77" w:rsidP="0013568D">
      <w:pPr>
        <w:spacing w:after="0" w:line="240" w:lineRule="auto"/>
      </w:pPr>
      <w:r>
        <w:separator/>
      </w:r>
    </w:p>
  </w:footnote>
  <w:footnote w:type="continuationSeparator" w:id="0">
    <w:p w14:paraId="2A7F13A2" w14:textId="77777777" w:rsidR="00990D77" w:rsidRDefault="00990D77"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13D0E"/>
    <w:rsid w:val="00022832"/>
    <w:rsid w:val="000254B3"/>
    <w:rsid w:val="00030E7B"/>
    <w:rsid w:val="000322B8"/>
    <w:rsid w:val="00032EA3"/>
    <w:rsid w:val="00033C3A"/>
    <w:rsid w:val="000404FD"/>
    <w:rsid w:val="00041C00"/>
    <w:rsid w:val="00047F89"/>
    <w:rsid w:val="00051512"/>
    <w:rsid w:val="00052C0D"/>
    <w:rsid w:val="000540AA"/>
    <w:rsid w:val="000551E0"/>
    <w:rsid w:val="0005543C"/>
    <w:rsid w:val="000625A6"/>
    <w:rsid w:val="00062CD7"/>
    <w:rsid w:val="000654AE"/>
    <w:rsid w:val="00066217"/>
    <w:rsid w:val="00066226"/>
    <w:rsid w:val="000662E8"/>
    <w:rsid w:val="00066D9F"/>
    <w:rsid w:val="0006780C"/>
    <w:rsid w:val="000700E4"/>
    <w:rsid w:val="00071082"/>
    <w:rsid w:val="00071B05"/>
    <w:rsid w:val="0007559B"/>
    <w:rsid w:val="00076A51"/>
    <w:rsid w:val="00076AAD"/>
    <w:rsid w:val="000827AF"/>
    <w:rsid w:val="00085BF5"/>
    <w:rsid w:val="00091F6C"/>
    <w:rsid w:val="00093E1C"/>
    <w:rsid w:val="00096BC4"/>
    <w:rsid w:val="000A116B"/>
    <w:rsid w:val="000A6E42"/>
    <w:rsid w:val="000B032A"/>
    <w:rsid w:val="000B21E3"/>
    <w:rsid w:val="000B536B"/>
    <w:rsid w:val="000B64E3"/>
    <w:rsid w:val="000C5DFF"/>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D6C"/>
    <w:rsid w:val="00107716"/>
    <w:rsid w:val="00110B69"/>
    <w:rsid w:val="00111B35"/>
    <w:rsid w:val="0011428F"/>
    <w:rsid w:val="00116A8B"/>
    <w:rsid w:val="001248D2"/>
    <w:rsid w:val="001270FF"/>
    <w:rsid w:val="0013228F"/>
    <w:rsid w:val="001334B5"/>
    <w:rsid w:val="00133775"/>
    <w:rsid w:val="00135004"/>
    <w:rsid w:val="0013568D"/>
    <w:rsid w:val="00137E75"/>
    <w:rsid w:val="0014019F"/>
    <w:rsid w:val="00142D95"/>
    <w:rsid w:val="00144E14"/>
    <w:rsid w:val="001611AD"/>
    <w:rsid w:val="001626DE"/>
    <w:rsid w:val="00162DC8"/>
    <w:rsid w:val="00164586"/>
    <w:rsid w:val="00166C26"/>
    <w:rsid w:val="00171E6E"/>
    <w:rsid w:val="001758DF"/>
    <w:rsid w:val="00177866"/>
    <w:rsid w:val="0018302A"/>
    <w:rsid w:val="00186704"/>
    <w:rsid w:val="001903F1"/>
    <w:rsid w:val="00191BDF"/>
    <w:rsid w:val="00191C80"/>
    <w:rsid w:val="00192EA0"/>
    <w:rsid w:val="00195367"/>
    <w:rsid w:val="00196B70"/>
    <w:rsid w:val="00197828"/>
    <w:rsid w:val="001A41F3"/>
    <w:rsid w:val="001A729B"/>
    <w:rsid w:val="001B09C1"/>
    <w:rsid w:val="001B1566"/>
    <w:rsid w:val="001B19AC"/>
    <w:rsid w:val="001B28C0"/>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F1D15"/>
    <w:rsid w:val="001F1EAC"/>
    <w:rsid w:val="001F3A03"/>
    <w:rsid w:val="001F4407"/>
    <w:rsid w:val="001F4CBA"/>
    <w:rsid w:val="00200A25"/>
    <w:rsid w:val="00200D26"/>
    <w:rsid w:val="0020544D"/>
    <w:rsid w:val="00211262"/>
    <w:rsid w:val="00211575"/>
    <w:rsid w:val="00212037"/>
    <w:rsid w:val="002140D9"/>
    <w:rsid w:val="0021690E"/>
    <w:rsid w:val="00222428"/>
    <w:rsid w:val="00231ABD"/>
    <w:rsid w:val="002366B4"/>
    <w:rsid w:val="00236893"/>
    <w:rsid w:val="002418FB"/>
    <w:rsid w:val="002442F7"/>
    <w:rsid w:val="00245175"/>
    <w:rsid w:val="00250F9D"/>
    <w:rsid w:val="002539EE"/>
    <w:rsid w:val="00255048"/>
    <w:rsid w:val="00260F81"/>
    <w:rsid w:val="00263553"/>
    <w:rsid w:val="002635EA"/>
    <w:rsid w:val="002640C3"/>
    <w:rsid w:val="00264B31"/>
    <w:rsid w:val="00264D9B"/>
    <w:rsid w:val="00264DB3"/>
    <w:rsid w:val="00265850"/>
    <w:rsid w:val="0026604F"/>
    <w:rsid w:val="00266CF4"/>
    <w:rsid w:val="00274E69"/>
    <w:rsid w:val="0027645F"/>
    <w:rsid w:val="00277304"/>
    <w:rsid w:val="00277940"/>
    <w:rsid w:val="002844E5"/>
    <w:rsid w:val="00285163"/>
    <w:rsid w:val="0028627A"/>
    <w:rsid w:val="00286DA7"/>
    <w:rsid w:val="002875C4"/>
    <w:rsid w:val="00287C90"/>
    <w:rsid w:val="0029176C"/>
    <w:rsid w:val="00295975"/>
    <w:rsid w:val="00296312"/>
    <w:rsid w:val="002A0635"/>
    <w:rsid w:val="002A378A"/>
    <w:rsid w:val="002A417E"/>
    <w:rsid w:val="002B2655"/>
    <w:rsid w:val="002B3C7F"/>
    <w:rsid w:val="002C0242"/>
    <w:rsid w:val="002C0F9A"/>
    <w:rsid w:val="002C1D9B"/>
    <w:rsid w:val="002C34BB"/>
    <w:rsid w:val="002C371B"/>
    <w:rsid w:val="002C38DD"/>
    <w:rsid w:val="002C408C"/>
    <w:rsid w:val="002C4256"/>
    <w:rsid w:val="002D194C"/>
    <w:rsid w:val="002D21B9"/>
    <w:rsid w:val="002D45D9"/>
    <w:rsid w:val="002D4C74"/>
    <w:rsid w:val="002D6348"/>
    <w:rsid w:val="002D78E1"/>
    <w:rsid w:val="002E01D4"/>
    <w:rsid w:val="002E2596"/>
    <w:rsid w:val="002F03B1"/>
    <w:rsid w:val="002F23FB"/>
    <w:rsid w:val="002F473E"/>
    <w:rsid w:val="002F50D8"/>
    <w:rsid w:val="002F7615"/>
    <w:rsid w:val="00302F0A"/>
    <w:rsid w:val="00303952"/>
    <w:rsid w:val="00304190"/>
    <w:rsid w:val="00316AE4"/>
    <w:rsid w:val="00316B46"/>
    <w:rsid w:val="003208C8"/>
    <w:rsid w:val="0032713C"/>
    <w:rsid w:val="00331173"/>
    <w:rsid w:val="003374BD"/>
    <w:rsid w:val="003415F7"/>
    <w:rsid w:val="00341AB2"/>
    <w:rsid w:val="003433C5"/>
    <w:rsid w:val="00344411"/>
    <w:rsid w:val="00351E36"/>
    <w:rsid w:val="0035715C"/>
    <w:rsid w:val="00362AAA"/>
    <w:rsid w:val="0036502B"/>
    <w:rsid w:val="00365549"/>
    <w:rsid w:val="0037175C"/>
    <w:rsid w:val="00371823"/>
    <w:rsid w:val="00375AF9"/>
    <w:rsid w:val="00375E4B"/>
    <w:rsid w:val="00381CBC"/>
    <w:rsid w:val="0038342C"/>
    <w:rsid w:val="003861E9"/>
    <w:rsid w:val="00387D11"/>
    <w:rsid w:val="0039326A"/>
    <w:rsid w:val="0039379B"/>
    <w:rsid w:val="00393A13"/>
    <w:rsid w:val="0039601B"/>
    <w:rsid w:val="003A0196"/>
    <w:rsid w:val="003A3A37"/>
    <w:rsid w:val="003A4E0D"/>
    <w:rsid w:val="003A521A"/>
    <w:rsid w:val="003A58AF"/>
    <w:rsid w:val="003A73BE"/>
    <w:rsid w:val="003B1027"/>
    <w:rsid w:val="003B3D44"/>
    <w:rsid w:val="003B533E"/>
    <w:rsid w:val="003B7088"/>
    <w:rsid w:val="003C0C3C"/>
    <w:rsid w:val="003C2789"/>
    <w:rsid w:val="003C531D"/>
    <w:rsid w:val="003C5858"/>
    <w:rsid w:val="003D151D"/>
    <w:rsid w:val="003D2FB1"/>
    <w:rsid w:val="003D7C08"/>
    <w:rsid w:val="003E12C1"/>
    <w:rsid w:val="003E5A82"/>
    <w:rsid w:val="003E5E58"/>
    <w:rsid w:val="003F3EFE"/>
    <w:rsid w:val="003F4BBA"/>
    <w:rsid w:val="00401CF6"/>
    <w:rsid w:val="00402074"/>
    <w:rsid w:val="004027AB"/>
    <w:rsid w:val="00403DB6"/>
    <w:rsid w:val="004055E6"/>
    <w:rsid w:val="00405D6A"/>
    <w:rsid w:val="00406B54"/>
    <w:rsid w:val="00412122"/>
    <w:rsid w:val="00412E43"/>
    <w:rsid w:val="0042070D"/>
    <w:rsid w:val="0042173F"/>
    <w:rsid w:val="00423B86"/>
    <w:rsid w:val="00424D96"/>
    <w:rsid w:val="0043007A"/>
    <w:rsid w:val="00433165"/>
    <w:rsid w:val="00434674"/>
    <w:rsid w:val="00436002"/>
    <w:rsid w:val="00436C6A"/>
    <w:rsid w:val="004403EA"/>
    <w:rsid w:val="00441764"/>
    <w:rsid w:val="0044182D"/>
    <w:rsid w:val="00442B12"/>
    <w:rsid w:val="00442E95"/>
    <w:rsid w:val="00443DF1"/>
    <w:rsid w:val="00445701"/>
    <w:rsid w:val="00447881"/>
    <w:rsid w:val="00455A34"/>
    <w:rsid w:val="00456862"/>
    <w:rsid w:val="00460089"/>
    <w:rsid w:val="0046490D"/>
    <w:rsid w:val="00466410"/>
    <w:rsid w:val="00474065"/>
    <w:rsid w:val="004773F0"/>
    <w:rsid w:val="00480909"/>
    <w:rsid w:val="0048175B"/>
    <w:rsid w:val="00487D28"/>
    <w:rsid w:val="00490C4F"/>
    <w:rsid w:val="0049268A"/>
    <w:rsid w:val="004A1A7F"/>
    <w:rsid w:val="004A26C8"/>
    <w:rsid w:val="004A40BC"/>
    <w:rsid w:val="004B1E3E"/>
    <w:rsid w:val="004B23DB"/>
    <w:rsid w:val="004B5BF7"/>
    <w:rsid w:val="004B6E26"/>
    <w:rsid w:val="004C11F7"/>
    <w:rsid w:val="004C1B2A"/>
    <w:rsid w:val="004C6309"/>
    <w:rsid w:val="004C6FEA"/>
    <w:rsid w:val="004D122F"/>
    <w:rsid w:val="004D1831"/>
    <w:rsid w:val="004D1B2F"/>
    <w:rsid w:val="004D2AAD"/>
    <w:rsid w:val="004D348C"/>
    <w:rsid w:val="004D3CD1"/>
    <w:rsid w:val="004D5479"/>
    <w:rsid w:val="004E0119"/>
    <w:rsid w:val="004E02BA"/>
    <w:rsid w:val="004E304C"/>
    <w:rsid w:val="004E3DE2"/>
    <w:rsid w:val="004E578D"/>
    <w:rsid w:val="004F183D"/>
    <w:rsid w:val="004F1E58"/>
    <w:rsid w:val="004F2B31"/>
    <w:rsid w:val="004F34EE"/>
    <w:rsid w:val="0050045E"/>
    <w:rsid w:val="00503467"/>
    <w:rsid w:val="00504AA4"/>
    <w:rsid w:val="00523DA5"/>
    <w:rsid w:val="005244CF"/>
    <w:rsid w:val="005254EB"/>
    <w:rsid w:val="00525DC5"/>
    <w:rsid w:val="0052614B"/>
    <w:rsid w:val="00531535"/>
    <w:rsid w:val="00532B1B"/>
    <w:rsid w:val="00532BC6"/>
    <w:rsid w:val="00534D55"/>
    <w:rsid w:val="00534ECF"/>
    <w:rsid w:val="005409A9"/>
    <w:rsid w:val="00540FC7"/>
    <w:rsid w:val="005428A6"/>
    <w:rsid w:val="0054330B"/>
    <w:rsid w:val="00543D1C"/>
    <w:rsid w:val="005547A4"/>
    <w:rsid w:val="00557CD2"/>
    <w:rsid w:val="00561B60"/>
    <w:rsid w:val="005636F9"/>
    <w:rsid w:val="0056461A"/>
    <w:rsid w:val="0057264C"/>
    <w:rsid w:val="00574051"/>
    <w:rsid w:val="00574618"/>
    <w:rsid w:val="005750C3"/>
    <w:rsid w:val="005764AE"/>
    <w:rsid w:val="005767B5"/>
    <w:rsid w:val="005834BD"/>
    <w:rsid w:val="0058461B"/>
    <w:rsid w:val="00587C83"/>
    <w:rsid w:val="00590397"/>
    <w:rsid w:val="00591B5A"/>
    <w:rsid w:val="00593428"/>
    <w:rsid w:val="005941DF"/>
    <w:rsid w:val="0059627F"/>
    <w:rsid w:val="0059679A"/>
    <w:rsid w:val="005A14E6"/>
    <w:rsid w:val="005A20B1"/>
    <w:rsid w:val="005A43BD"/>
    <w:rsid w:val="005A63C9"/>
    <w:rsid w:val="005B0F11"/>
    <w:rsid w:val="005B40E1"/>
    <w:rsid w:val="005B4A10"/>
    <w:rsid w:val="005C0C8C"/>
    <w:rsid w:val="005C3139"/>
    <w:rsid w:val="005C5D5A"/>
    <w:rsid w:val="005C75EE"/>
    <w:rsid w:val="005D1A9A"/>
    <w:rsid w:val="005D528C"/>
    <w:rsid w:val="005D7B18"/>
    <w:rsid w:val="005E3BFD"/>
    <w:rsid w:val="005F11C0"/>
    <w:rsid w:val="005F4375"/>
    <w:rsid w:val="005F4E5A"/>
    <w:rsid w:val="005F523E"/>
    <w:rsid w:val="005F53C7"/>
    <w:rsid w:val="006001EC"/>
    <w:rsid w:val="006008DC"/>
    <w:rsid w:val="006041F0"/>
    <w:rsid w:val="00604BBE"/>
    <w:rsid w:val="006074D7"/>
    <w:rsid w:val="006207B6"/>
    <w:rsid w:val="006244B6"/>
    <w:rsid w:val="00624BFB"/>
    <w:rsid w:val="006250E1"/>
    <w:rsid w:val="00626431"/>
    <w:rsid w:val="006268E6"/>
    <w:rsid w:val="006275BD"/>
    <w:rsid w:val="00631D12"/>
    <w:rsid w:val="00631E50"/>
    <w:rsid w:val="00632DF8"/>
    <w:rsid w:val="00633F7B"/>
    <w:rsid w:val="0063482D"/>
    <w:rsid w:val="00637907"/>
    <w:rsid w:val="0064076C"/>
    <w:rsid w:val="0064131D"/>
    <w:rsid w:val="00641967"/>
    <w:rsid w:val="006446D9"/>
    <w:rsid w:val="00646820"/>
    <w:rsid w:val="006503C8"/>
    <w:rsid w:val="00652EDA"/>
    <w:rsid w:val="00653C6D"/>
    <w:rsid w:val="00654971"/>
    <w:rsid w:val="00655DF5"/>
    <w:rsid w:val="00660DA3"/>
    <w:rsid w:val="0066211F"/>
    <w:rsid w:val="00662C8E"/>
    <w:rsid w:val="00673005"/>
    <w:rsid w:val="00674FBC"/>
    <w:rsid w:val="006768D4"/>
    <w:rsid w:val="0067755D"/>
    <w:rsid w:val="00681041"/>
    <w:rsid w:val="00681FF3"/>
    <w:rsid w:val="00682416"/>
    <w:rsid w:val="00682F58"/>
    <w:rsid w:val="00684C18"/>
    <w:rsid w:val="00687A35"/>
    <w:rsid w:val="006909C0"/>
    <w:rsid w:val="00690AAF"/>
    <w:rsid w:val="00691C58"/>
    <w:rsid w:val="006930CE"/>
    <w:rsid w:val="00693AB6"/>
    <w:rsid w:val="00695392"/>
    <w:rsid w:val="00696AF5"/>
    <w:rsid w:val="006976EF"/>
    <w:rsid w:val="006976F6"/>
    <w:rsid w:val="0069775F"/>
    <w:rsid w:val="006A1E72"/>
    <w:rsid w:val="006A51E4"/>
    <w:rsid w:val="006A543B"/>
    <w:rsid w:val="006A5A7F"/>
    <w:rsid w:val="006B4BE8"/>
    <w:rsid w:val="006C650A"/>
    <w:rsid w:val="006D0E76"/>
    <w:rsid w:val="006D181B"/>
    <w:rsid w:val="006E457A"/>
    <w:rsid w:val="006E4AE6"/>
    <w:rsid w:val="006E5D5C"/>
    <w:rsid w:val="006E64B0"/>
    <w:rsid w:val="006F28E2"/>
    <w:rsid w:val="006F2B5D"/>
    <w:rsid w:val="006F39E4"/>
    <w:rsid w:val="006F4972"/>
    <w:rsid w:val="006F6113"/>
    <w:rsid w:val="00704457"/>
    <w:rsid w:val="0070449D"/>
    <w:rsid w:val="007058D9"/>
    <w:rsid w:val="00711785"/>
    <w:rsid w:val="00712602"/>
    <w:rsid w:val="00713918"/>
    <w:rsid w:val="007165EB"/>
    <w:rsid w:val="00722019"/>
    <w:rsid w:val="00722A55"/>
    <w:rsid w:val="007261F7"/>
    <w:rsid w:val="00726C77"/>
    <w:rsid w:val="00727088"/>
    <w:rsid w:val="007333D3"/>
    <w:rsid w:val="00734B55"/>
    <w:rsid w:val="00741F62"/>
    <w:rsid w:val="00743824"/>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4719"/>
    <w:rsid w:val="0077478E"/>
    <w:rsid w:val="007773D2"/>
    <w:rsid w:val="00783A91"/>
    <w:rsid w:val="00783B98"/>
    <w:rsid w:val="00792C72"/>
    <w:rsid w:val="00793B25"/>
    <w:rsid w:val="0079413E"/>
    <w:rsid w:val="0079600E"/>
    <w:rsid w:val="007A12A9"/>
    <w:rsid w:val="007A2D12"/>
    <w:rsid w:val="007B0927"/>
    <w:rsid w:val="007B1F53"/>
    <w:rsid w:val="007B398A"/>
    <w:rsid w:val="007B599D"/>
    <w:rsid w:val="007B7631"/>
    <w:rsid w:val="007C746B"/>
    <w:rsid w:val="007C7ACA"/>
    <w:rsid w:val="007D26EF"/>
    <w:rsid w:val="007D43E5"/>
    <w:rsid w:val="007D64B6"/>
    <w:rsid w:val="007D66D6"/>
    <w:rsid w:val="007D6956"/>
    <w:rsid w:val="007D7789"/>
    <w:rsid w:val="007E0AFE"/>
    <w:rsid w:val="007E5221"/>
    <w:rsid w:val="007E7E51"/>
    <w:rsid w:val="007E7ECB"/>
    <w:rsid w:val="007F0353"/>
    <w:rsid w:val="007F0FAA"/>
    <w:rsid w:val="007F0FE7"/>
    <w:rsid w:val="007F1901"/>
    <w:rsid w:val="007F2E6D"/>
    <w:rsid w:val="007F367F"/>
    <w:rsid w:val="007F36DF"/>
    <w:rsid w:val="007F3A6D"/>
    <w:rsid w:val="00801E66"/>
    <w:rsid w:val="00802BC6"/>
    <w:rsid w:val="00805174"/>
    <w:rsid w:val="0080674A"/>
    <w:rsid w:val="008076B1"/>
    <w:rsid w:val="00813A43"/>
    <w:rsid w:val="00815927"/>
    <w:rsid w:val="00817ADB"/>
    <w:rsid w:val="00822735"/>
    <w:rsid w:val="008256BC"/>
    <w:rsid w:val="00831BF4"/>
    <w:rsid w:val="0083296D"/>
    <w:rsid w:val="00832EE4"/>
    <w:rsid w:val="0083549F"/>
    <w:rsid w:val="008368B0"/>
    <w:rsid w:val="008370E9"/>
    <w:rsid w:val="00837EF3"/>
    <w:rsid w:val="00840290"/>
    <w:rsid w:val="0084153B"/>
    <w:rsid w:val="00841F77"/>
    <w:rsid w:val="00844D77"/>
    <w:rsid w:val="00845B5C"/>
    <w:rsid w:val="00846723"/>
    <w:rsid w:val="00850E04"/>
    <w:rsid w:val="008539B2"/>
    <w:rsid w:val="00855452"/>
    <w:rsid w:val="00857BC9"/>
    <w:rsid w:val="00862943"/>
    <w:rsid w:val="0089226B"/>
    <w:rsid w:val="00893F63"/>
    <w:rsid w:val="00897F14"/>
    <w:rsid w:val="00897F26"/>
    <w:rsid w:val="008A11BF"/>
    <w:rsid w:val="008B0051"/>
    <w:rsid w:val="008B2B87"/>
    <w:rsid w:val="008B4AF2"/>
    <w:rsid w:val="008B56BA"/>
    <w:rsid w:val="008C05AE"/>
    <w:rsid w:val="008C189C"/>
    <w:rsid w:val="008C2582"/>
    <w:rsid w:val="008C651D"/>
    <w:rsid w:val="008C715C"/>
    <w:rsid w:val="008D5F44"/>
    <w:rsid w:val="008D5F89"/>
    <w:rsid w:val="008E4B3B"/>
    <w:rsid w:val="008F1A67"/>
    <w:rsid w:val="008F23F2"/>
    <w:rsid w:val="008F5B45"/>
    <w:rsid w:val="00900466"/>
    <w:rsid w:val="00900D3C"/>
    <w:rsid w:val="00900E49"/>
    <w:rsid w:val="0090215F"/>
    <w:rsid w:val="00902870"/>
    <w:rsid w:val="009048AC"/>
    <w:rsid w:val="009055B2"/>
    <w:rsid w:val="00905997"/>
    <w:rsid w:val="00915DEF"/>
    <w:rsid w:val="00922813"/>
    <w:rsid w:val="00925C96"/>
    <w:rsid w:val="00926438"/>
    <w:rsid w:val="00926952"/>
    <w:rsid w:val="00932F6F"/>
    <w:rsid w:val="0094100B"/>
    <w:rsid w:val="0094307B"/>
    <w:rsid w:val="009463C2"/>
    <w:rsid w:val="00946656"/>
    <w:rsid w:val="009479C7"/>
    <w:rsid w:val="00952D57"/>
    <w:rsid w:val="00954676"/>
    <w:rsid w:val="00955C58"/>
    <w:rsid w:val="00956A11"/>
    <w:rsid w:val="009573A3"/>
    <w:rsid w:val="00960F1C"/>
    <w:rsid w:val="00963446"/>
    <w:rsid w:val="009636EE"/>
    <w:rsid w:val="009646B0"/>
    <w:rsid w:val="009719A3"/>
    <w:rsid w:val="0097513C"/>
    <w:rsid w:val="00975A07"/>
    <w:rsid w:val="009775DF"/>
    <w:rsid w:val="00983212"/>
    <w:rsid w:val="0098400E"/>
    <w:rsid w:val="00990D77"/>
    <w:rsid w:val="0099446A"/>
    <w:rsid w:val="00994F89"/>
    <w:rsid w:val="00997FA9"/>
    <w:rsid w:val="009A29BF"/>
    <w:rsid w:val="009A4576"/>
    <w:rsid w:val="009A5971"/>
    <w:rsid w:val="009A5A55"/>
    <w:rsid w:val="009A5BA5"/>
    <w:rsid w:val="009A6839"/>
    <w:rsid w:val="009A6AD5"/>
    <w:rsid w:val="009B1427"/>
    <w:rsid w:val="009B457C"/>
    <w:rsid w:val="009C25D9"/>
    <w:rsid w:val="009C2B63"/>
    <w:rsid w:val="009C2EF5"/>
    <w:rsid w:val="009D16C6"/>
    <w:rsid w:val="009E304D"/>
    <w:rsid w:val="009F0FA5"/>
    <w:rsid w:val="009F1F13"/>
    <w:rsid w:val="009F3787"/>
    <w:rsid w:val="009F379D"/>
    <w:rsid w:val="009F71BA"/>
    <w:rsid w:val="009F786C"/>
    <w:rsid w:val="00A0076E"/>
    <w:rsid w:val="00A01BE5"/>
    <w:rsid w:val="00A04C4B"/>
    <w:rsid w:val="00A06B07"/>
    <w:rsid w:val="00A06DC6"/>
    <w:rsid w:val="00A06E64"/>
    <w:rsid w:val="00A0753F"/>
    <w:rsid w:val="00A10259"/>
    <w:rsid w:val="00A11264"/>
    <w:rsid w:val="00A13967"/>
    <w:rsid w:val="00A1542F"/>
    <w:rsid w:val="00A16892"/>
    <w:rsid w:val="00A16C7D"/>
    <w:rsid w:val="00A22355"/>
    <w:rsid w:val="00A22728"/>
    <w:rsid w:val="00A25D6D"/>
    <w:rsid w:val="00A279E6"/>
    <w:rsid w:val="00A350A3"/>
    <w:rsid w:val="00A43ED8"/>
    <w:rsid w:val="00A43FC9"/>
    <w:rsid w:val="00A54CD2"/>
    <w:rsid w:val="00A55554"/>
    <w:rsid w:val="00A65503"/>
    <w:rsid w:val="00A6648F"/>
    <w:rsid w:val="00A669A6"/>
    <w:rsid w:val="00A6729A"/>
    <w:rsid w:val="00A73D94"/>
    <w:rsid w:val="00A746FC"/>
    <w:rsid w:val="00A83FEB"/>
    <w:rsid w:val="00A84907"/>
    <w:rsid w:val="00A85C88"/>
    <w:rsid w:val="00A9259B"/>
    <w:rsid w:val="00A94CEF"/>
    <w:rsid w:val="00A95835"/>
    <w:rsid w:val="00A960E9"/>
    <w:rsid w:val="00AA008A"/>
    <w:rsid w:val="00AA33D7"/>
    <w:rsid w:val="00AA40AC"/>
    <w:rsid w:val="00AA6304"/>
    <w:rsid w:val="00AA6D49"/>
    <w:rsid w:val="00AB0549"/>
    <w:rsid w:val="00AB0F3D"/>
    <w:rsid w:val="00AB1981"/>
    <w:rsid w:val="00AB1F18"/>
    <w:rsid w:val="00AB2F6E"/>
    <w:rsid w:val="00AB36FD"/>
    <w:rsid w:val="00AB425B"/>
    <w:rsid w:val="00AB43F7"/>
    <w:rsid w:val="00AB482C"/>
    <w:rsid w:val="00AC33A6"/>
    <w:rsid w:val="00AC35F3"/>
    <w:rsid w:val="00AC39FC"/>
    <w:rsid w:val="00AD31F0"/>
    <w:rsid w:val="00AD57BF"/>
    <w:rsid w:val="00AD608C"/>
    <w:rsid w:val="00AD6936"/>
    <w:rsid w:val="00AD7210"/>
    <w:rsid w:val="00AE1154"/>
    <w:rsid w:val="00AE237E"/>
    <w:rsid w:val="00AE3480"/>
    <w:rsid w:val="00AE36CB"/>
    <w:rsid w:val="00AE49C5"/>
    <w:rsid w:val="00AE4D2C"/>
    <w:rsid w:val="00AE5B72"/>
    <w:rsid w:val="00AE5B98"/>
    <w:rsid w:val="00AE6954"/>
    <w:rsid w:val="00AF0EA9"/>
    <w:rsid w:val="00AF39B5"/>
    <w:rsid w:val="00B01E70"/>
    <w:rsid w:val="00B028A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400D"/>
    <w:rsid w:val="00B35C64"/>
    <w:rsid w:val="00B36613"/>
    <w:rsid w:val="00B41978"/>
    <w:rsid w:val="00B41FD6"/>
    <w:rsid w:val="00B460B4"/>
    <w:rsid w:val="00B47334"/>
    <w:rsid w:val="00B503C8"/>
    <w:rsid w:val="00B53C1F"/>
    <w:rsid w:val="00B563D4"/>
    <w:rsid w:val="00B6127A"/>
    <w:rsid w:val="00B633FB"/>
    <w:rsid w:val="00B649AA"/>
    <w:rsid w:val="00B65207"/>
    <w:rsid w:val="00B71142"/>
    <w:rsid w:val="00B726B2"/>
    <w:rsid w:val="00B778D5"/>
    <w:rsid w:val="00B8125F"/>
    <w:rsid w:val="00B819E1"/>
    <w:rsid w:val="00B860C9"/>
    <w:rsid w:val="00B92FA4"/>
    <w:rsid w:val="00B9574E"/>
    <w:rsid w:val="00B965AA"/>
    <w:rsid w:val="00B96F0B"/>
    <w:rsid w:val="00BA069E"/>
    <w:rsid w:val="00BA137B"/>
    <w:rsid w:val="00BA213F"/>
    <w:rsid w:val="00BA2243"/>
    <w:rsid w:val="00BA3CB9"/>
    <w:rsid w:val="00BA3E20"/>
    <w:rsid w:val="00BA48E7"/>
    <w:rsid w:val="00BB1342"/>
    <w:rsid w:val="00BB3EE7"/>
    <w:rsid w:val="00BB55B7"/>
    <w:rsid w:val="00BB59B3"/>
    <w:rsid w:val="00BC1057"/>
    <w:rsid w:val="00BC5015"/>
    <w:rsid w:val="00BC5344"/>
    <w:rsid w:val="00BC62DA"/>
    <w:rsid w:val="00BD238E"/>
    <w:rsid w:val="00BD6C46"/>
    <w:rsid w:val="00BD6D61"/>
    <w:rsid w:val="00BE2F60"/>
    <w:rsid w:val="00BE4F18"/>
    <w:rsid w:val="00BE6AF8"/>
    <w:rsid w:val="00BE6FC7"/>
    <w:rsid w:val="00BF09E0"/>
    <w:rsid w:val="00BF2187"/>
    <w:rsid w:val="00BF67C7"/>
    <w:rsid w:val="00BF76B5"/>
    <w:rsid w:val="00C016ED"/>
    <w:rsid w:val="00C035DA"/>
    <w:rsid w:val="00C101DE"/>
    <w:rsid w:val="00C13F4E"/>
    <w:rsid w:val="00C15DC1"/>
    <w:rsid w:val="00C24641"/>
    <w:rsid w:val="00C252FC"/>
    <w:rsid w:val="00C26561"/>
    <w:rsid w:val="00C273B9"/>
    <w:rsid w:val="00C32E87"/>
    <w:rsid w:val="00C34549"/>
    <w:rsid w:val="00C3490A"/>
    <w:rsid w:val="00C36CEA"/>
    <w:rsid w:val="00C371AB"/>
    <w:rsid w:val="00C4514F"/>
    <w:rsid w:val="00C458E9"/>
    <w:rsid w:val="00C46E88"/>
    <w:rsid w:val="00C54500"/>
    <w:rsid w:val="00C54553"/>
    <w:rsid w:val="00C61700"/>
    <w:rsid w:val="00C63A86"/>
    <w:rsid w:val="00C7005B"/>
    <w:rsid w:val="00C71741"/>
    <w:rsid w:val="00C737EA"/>
    <w:rsid w:val="00C73DCD"/>
    <w:rsid w:val="00C74DCB"/>
    <w:rsid w:val="00C80888"/>
    <w:rsid w:val="00C80FD4"/>
    <w:rsid w:val="00C87F35"/>
    <w:rsid w:val="00C9332E"/>
    <w:rsid w:val="00C948F0"/>
    <w:rsid w:val="00C95B8F"/>
    <w:rsid w:val="00C96C83"/>
    <w:rsid w:val="00CA063D"/>
    <w:rsid w:val="00CA096E"/>
    <w:rsid w:val="00CA4132"/>
    <w:rsid w:val="00CA642E"/>
    <w:rsid w:val="00CB322C"/>
    <w:rsid w:val="00CB4557"/>
    <w:rsid w:val="00CB55D3"/>
    <w:rsid w:val="00CB7B00"/>
    <w:rsid w:val="00CC10C7"/>
    <w:rsid w:val="00CC22AD"/>
    <w:rsid w:val="00CC505B"/>
    <w:rsid w:val="00CC610B"/>
    <w:rsid w:val="00CC7A31"/>
    <w:rsid w:val="00CC7C38"/>
    <w:rsid w:val="00CD0335"/>
    <w:rsid w:val="00CD4136"/>
    <w:rsid w:val="00CD4183"/>
    <w:rsid w:val="00CD6FBB"/>
    <w:rsid w:val="00CE265D"/>
    <w:rsid w:val="00CF130C"/>
    <w:rsid w:val="00CF36CC"/>
    <w:rsid w:val="00CF58A5"/>
    <w:rsid w:val="00CF60A4"/>
    <w:rsid w:val="00D053CD"/>
    <w:rsid w:val="00D06A84"/>
    <w:rsid w:val="00D06BC2"/>
    <w:rsid w:val="00D0724E"/>
    <w:rsid w:val="00D16953"/>
    <w:rsid w:val="00D16D91"/>
    <w:rsid w:val="00D17A8F"/>
    <w:rsid w:val="00D24BD7"/>
    <w:rsid w:val="00D27CD5"/>
    <w:rsid w:val="00D35092"/>
    <w:rsid w:val="00D37494"/>
    <w:rsid w:val="00D4102B"/>
    <w:rsid w:val="00D41D92"/>
    <w:rsid w:val="00D438BB"/>
    <w:rsid w:val="00D46011"/>
    <w:rsid w:val="00D47511"/>
    <w:rsid w:val="00D51241"/>
    <w:rsid w:val="00D51270"/>
    <w:rsid w:val="00D515C3"/>
    <w:rsid w:val="00D55D67"/>
    <w:rsid w:val="00D60836"/>
    <w:rsid w:val="00D6220C"/>
    <w:rsid w:val="00D705AD"/>
    <w:rsid w:val="00D70D1D"/>
    <w:rsid w:val="00D722DA"/>
    <w:rsid w:val="00D72BD0"/>
    <w:rsid w:val="00D752DA"/>
    <w:rsid w:val="00D76786"/>
    <w:rsid w:val="00D81DCC"/>
    <w:rsid w:val="00D8267B"/>
    <w:rsid w:val="00D84BCD"/>
    <w:rsid w:val="00D85549"/>
    <w:rsid w:val="00D85E38"/>
    <w:rsid w:val="00D9014D"/>
    <w:rsid w:val="00D95AF5"/>
    <w:rsid w:val="00D96AD2"/>
    <w:rsid w:val="00D96F45"/>
    <w:rsid w:val="00DA0BC5"/>
    <w:rsid w:val="00DA5079"/>
    <w:rsid w:val="00DB107E"/>
    <w:rsid w:val="00DB4FD7"/>
    <w:rsid w:val="00DC19FE"/>
    <w:rsid w:val="00DC1FB8"/>
    <w:rsid w:val="00DC30D1"/>
    <w:rsid w:val="00DC399C"/>
    <w:rsid w:val="00DC4503"/>
    <w:rsid w:val="00DD0029"/>
    <w:rsid w:val="00DD26D6"/>
    <w:rsid w:val="00DD3D5A"/>
    <w:rsid w:val="00DD5177"/>
    <w:rsid w:val="00DE1882"/>
    <w:rsid w:val="00DE20DE"/>
    <w:rsid w:val="00DE54A8"/>
    <w:rsid w:val="00DF11B4"/>
    <w:rsid w:val="00E03CE3"/>
    <w:rsid w:val="00E05C85"/>
    <w:rsid w:val="00E12500"/>
    <w:rsid w:val="00E16D81"/>
    <w:rsid w:val="00E17027"/>
    <w:rsid w:val="00E21E25"/>
    <w:rsid w:val="00E25248"/>
    <w:rsid w:val="00E25C7C"/>
    <w:rsid w:val="00E2679B"/>
    <w:rsid w:val="00E30FCE"/>
    <w:rsid w:val="00E32494"/>
    <w:rsid w:val="00E3347E"/>
    <w:rsid w:val="00E352FF"/>
    <w:rsid w:val="00E402B0"/>
    <w:rsid w:val="00E40756"/>
    <w:rsid w:val="00E42353"/>
    <w:rsid w:val="00E44424"/>
    <w:rsid w:val="00E44601"/>
    <w:rsid w:val="00E46D1D"/>
    <w:rsid w:val="00E46F08"/>
    <w:rsid w:val="00E53F00"/>
    <w:rsid w:val="00E544CB"/>
    <w:rsid w:val="00E56DBB"/>
    <w:rsid w:val="00E60947"/>
    <w:rsid w:val="00E63BA5"/>
    <w:rsid w:val="00E6424D"/>
    <w:rsid w:val="00E65BFC"/>
    <w:rsid w:val="00E66295"/>
    <w:rsid w:val="00E67044"/>
    <w:rsid w:val="00E70A38"/>
    <w:rsid w:val="00E72095"/>
    <w:rsid w:val="00E7287F"/>
    <w:rsid w:val="00E72959"/>
    <w:rsid w:val="00E744BC"/>
    <w:rsid w:val="00E819A0"/>
    <w:rsid w:val="00E82778"/>
    <w:rsid w:val="00E853DB"/>
    <w:rsid w:val="00E853FC"/>
    <w:rsid w:val="00E87DE9"/>
    <w:rsid w:val="00E90C8E"/>
    <w:rsid w:val="00E95D4A"/>
    <w:rsid w:val="00E97668"/>
    <w:rsid w:val="00E97969"/>
    <w:rsid w:val="00EA169D"/>
    <w:rsid w:val="00EA2EDA"/>
    <w:rsid w:val="00EA3B33"/>
    <w:rsid w:val="00EA4569"/>
    <w:rsid w:val="00EA4A8A"/>
    <w:rsid w:val="00EA522F"/>
    <w:rsid w:val="00EB06BB"/>
    <w:rsid w:val="00EB0CAB"/>
    <w:rsid w:val="00EB11C2"/>
    <w:rsid w:val="00EB3286"/>
    <w:rsid w:val="00EB6865"/>
    <w:rsid w:val="00EC396F"/>
    <w:rsid w:val="00ED00D8"/>
    <w:rsid w:val="00ED211A"/>
    <w:rsid w:val="00ED3B50"/>
    <w:rsid w:val="00EE39D1"/>
    <w:rsid w:val="00EE5E10"/>
    <w:rsid w:val="00EE5F2D"/>
    <w:rsid w:val="00EF1281"/>
    <w:rsid w:val="00EF2DAA"/>
    <w:rsid w:val="00EF3343"/>
    <w:rsid w:val="00EF5CD4"/>
    <w:rsid w:val="00EF6197"/>
    <w:rsid w:val="00F001B5"/>
    <w:rsid w:val="00F06FF8"/>
    <w:rsid w:val="00F0766A"/>
    <w:rsid w:val="00F07D3C"/>
    <w:rsid w:val="00F114F8"/>
    <w:rsid w:val="00F11F37"/>
    <w:rsid w:val="00F1338D"/>
    <w:rsid w:val="00F24D37"/>
    <w:rsid w:val="00F3057C"/>
    <w:rsid w:val="00F3220C"/>
    <w:rsid w:val="00F33C54"/>
    <w:rsid w:val="00F341F9"/>
    <w:rsid w:val="00F353B6"/>
    <w:rsid w:val="00F35A8F"/>
    <w:rsid w:val="00F41677"/>
    <w:rsid w:val="00F433AB"/>
    <w:rsid w:val="00F438CF"/>
    <w:rsid w:val="00F4503E"/>
    <w:rsid w:val="00F45445"/>
    <w:rsid w:val="00F45517"/>
    <w:rsid w:val="00F4614E"/>
    <w:rsid w:val="00F5354A"/>
    <w:rsid w:val="00F54134"/>
    <w:rsid w:val="00F55DF6"/>
    <w:rsid w:val="00F6115C"/>
    <w:rsid w:val="00F6221D"/>
    <w:rsid w:val="00F6555D"/>
    <w:rsid w:val="00F7047C"/>
    <w:rsid w:val="00F7094E"/>
    <w:rsid w:val="00F71628"/>
    <w:rsid w:val="00F71E3E"/>
    <w:rsid w:val="00F71FA3"/>
    <w:rsid w:val="00F72AB8"/>
    <w:rsid w:val="00F72E22"/>
    <w:rsid w:val="00F77769"/>
    <w:rsid w:val="00F77C7F"/>
    <w:rsid w:val="00F83E33"/>
    <w:rsid w:val="00F863C3"/>
    <w:rsid w:val="00F93A8C"/>
    <w:rsid w:val="00FA04E1"/>
    <w:rsid w:val="00FA1133"/>
    <w:rsid w:val="00FA246D"/>
    <w:rsid w:val="00FB07CF"/>
    <w:rsid w:val="00FB6F1F"/>
    <w:rsid w:val="00FB7F33"/>
    <w:rsid w:val="00FC07AB"/>
    <w:rsid w:val="00FC25BF"/>
    <w:rsid w:val="00FD258E"/>
    <w:rsid w:val="00FD662D"/>
    <w:rsid w:val="00FE2D0E"/>
    <w:rsid w:val="00FE49D9"/>
    <w:rsid w:val="00FE7CD7"/>
    <w:rsid w:val="00FF15DD"/>
    <w:rsid w:val="00FF1A6B"/>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2024-09-30T17:13:00Z</cp:lastPrinted>
  <dcterms:created xsi:type="dcterms:W3CDTF">2025-04-01T16:05:00Z</dcterms:created>
  <dcterms:modified xsi:type="dcterms:W3CDTF">2025-04-01T16:05:00Z</dcterms:modified>
</cp:coreProperties>
</file>