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EB9DA" w14:textId="6BCC338A" w:rsidR="00963446" w:rsidRDefault="003109BB" w:rsidP="00963446">
      <w:pPr>
        <w:pStyle w:val="Heading2"/>
        <w:numPr>
          <w:ilvl w:val="0"/>
          <w:numId w:val="0"/>
        </w:numPr>
        <w:rPr>
          <w:rFonts w:ascii="Stencil" w:hAnsi="Stencil" w:cs="Times New Roman"/>
          <w:b/>
        </w:rPr>
      </w:pPr>
      <w:r>
        <w:rPr>
          <w:rFonts w:ascii="Stencil" w:hAnsi="Stencil" w:cs="Times New Roman"/>
          <w:b/>
          <w:u w:val="single"/>
        </w:rPr>
        <w:t>NYSBA FAMILY LAW SECTION UPDATE</w:t>
      </w:r>
      <w:r w:rsidR="002F23FB" w:rsidRPr="00D47511">
        <w:rPr>
          <w:rFonts w:ascii="Stencil" w:hAnsi="Stencil" w:cs="Times New Roman"/>
          <w:b/>
        </w:rPr>
        <w:t xml:space="preserve">, </w:t>
      </w:r>
      <w:r w:rsidR="00ED72AA">
        <w:rPr>
          <w:rFonts w:ascii="Stencil" w:hAnsi="Stencil" w:cs="Times New Roman"/>
          <w:b/>
        </w:rPr>
        <w:t>NOVEMBER</w:t>
      </w:r>
      <w:r w:rsidR="00334BEE">
        <w:rPr>
          <w:rFonts w:ascii="Stencil" w:hAnsi="Stencil" w:cs="Times New Roman"/>
          <w:b/>
        </w:rPr>
        <w:t xml:space="preserve"> </w:t>
      </w:r>
      <w:r w:rsidR="00654971" w:rsidRPr="00D47511">
        <w:rPr>
          <w:rFonts w:ascii="Stencil" w:hAnsi="Stencil" w:cs="Times New Roman"/>
          <w:b/>
        </w:rPr>
        <w:t>2</w:t>
      </w:r>
      <w:r w:rsidR="00963446" w:rsidRPr="00D47511">
        <w:rPr>
          <w:rFonts w:ascii="Stencil" w:hAnsi="Stencil" w:cs="Times New Roman"/>
          <w:b/>
        </w:rPr>
        <w:t>02</w:t>
      </w:r>
      <w:r w:rsidR="00654971" w:rsidRPr="00D47511">
        <w:rPr>
          <w:rFonts w:ascii="Stencil" w:hAnsi="Stencil" w:cs="Times New Roman"/>
          <w:b/>
        </w:rPr>
        <w:t>5</w:t>
      </w:r>
    </w:p>
    <w:p w14:paraId="09CCB385" w14:textId="23D9C2FB" w:rsidR="00963446" w:rsidRPr="00F77769" w:rsidRDefault="00963446" w:rsidP="00963446">
      <w:pPr>
        <w:pStyle w:val="Heading2"/>
        <w:numPr>
          <w:ilvl w:val="0"/>
          <w:numId w:val="0"/>
        </w:numPr>
        <w:spacing w:line="240" w:lineRule="auto"/>
        <w:rPr>
          <w:rFonts w:ascii="Verdana" w:hAnsi="Verdana" w:cs="Times New Roman"/>
          <w:b/>
          <w:bCs/>
        </w:rPr>
      </w:pPr>
      <w:r w:rsidRPr="00F77769">
        <w:rPr>
          <w:rFonts w:ascii="Verdana" w:hAnsi="Verdana" w:cs="Times New Roman"/>
          <w:b/>
          <w:bCs/>
        </w:rPr>
        <w:t>By Bruce J. Wagner</w:t>
      </w:r>
    </w:p>
    <w:p w14:paraId="773ECFB8" w14:textId="61F7F386" w:rsidR="00792DC9" w:rsidRDefault="00963446" w:rsidP="006C66A9">
      <w:pPr>
        <w:pStyle w:val="Heading2"/>
        <w:numPr>
          <w:ilvl w:val="0"/>
          <w:numId w:val="0"/>
        </w:numPr>
        <w:jc w:val="both"/>
        <w:rPr>
          <w:rFonts w:ascii="Verdana" w:hAnsi="Verdana" w:cs="Times New Roman"/>
          <w:b/>
          <w:bCs/>
        </w:rPr>
      </w:pPr>
      <w:r w:rsidRPr="00F77769">
        <w:rPr>
          <w:rFonts w:ascii="Verdana" w:hAnsi="Verdana" w:cs="Times New Roman"/>
          <w:b/>
          <w:bCs/>
        </w:rPr>
        <w:t>Support Magistrate, Schenectady &amp; Montgomery County Family Courts</w:t>
      </w:r>
    </w:p>
    <w:p w14:paraId="081F7F91" w14:textId="77777777" w:rsidR="00F46FD8" w:rsidRPr="005B7C91" w:rsidRDefault="00F46FD8" w:rsidP="006C66A9">
      <w:pPr>
        <w:pStyle w:val="Heading2"/>
        <w:numPr>
          <w:ilvl w:val="0"/>
          <w:numId w:val="0"/>
        </w:numPr>
        <w:jc w:val="both"/>
        <w:rPr>
          <w:rFonts w:ascii="Times New Roman" w:hAnsi="Times New Roman" w:cs="Times New Roman"/>
          <w:b/>
          <w:bCs/>
        </w:rPr>
      </w:pPr>
      <w:r w:rsidRPr="005B7C91">
        <w:rPr>
          <w:rFonts w:ascii="Times New Roman" w:hAnsi="Times New Roman" w:cs="Times New Roman"/>
          <w:b/>
          <w:bCs/>
          <w:u w:val="single"/>
        </w:rPr>
        <w:t>Happy 15</w:t>
      </w:r>
      <w:r w:rsidRPr="005B7C91">
        <w:rPr>
          <w:rFonts w:ascii="Times New Roman" w:hAnsi="Times New Roman" w:cs="Times New Roman"/>
          <w:b/>
          <w:bCs/>
          <w:u w:val="single"/>
          <w:vertAlign w:val="superscript"/>
        </w:rPr>
        <w:t>th</w:t>
      </w:r>
      <w:r w:rsidRPr="005B7C91">
        <w:rPr>
          <w:rFonts w:ascii="Times New Roman" w:hAnsi="Times New Roman" w:cs="Times New Roman"/>
          <w:b/>
          <w:bCs/>
          <w:u w:val="single"/>
        </w:rPr>
        <w:t xml:space="preserve"> Birthday to</w:t>
      </w:r>
      <w:r w:rsidRPr="005B7C91">
        <w:rPr>
          <w:rFonts w:ascii="Times New Roman" w:hAnsi="Times New Roman" w:cs="Times New Roman"/>
          <w:b/>
          <w:bCs/>
        </w:rPr>
        <w:t>:</w:t>
      </w:r>
    </w:p>
    <w:p w14:paraId="30CD6355" w14:textId="2D6754A7" w:rsidR="00F46FD8" w:rsidRPr="005B7C91" w:rsidRDefault="00F969AF" w:rsidP="00F969AF">
      <w:pPr>
        <w:pStyle w:val="Heading2"/>
        <w:numPr>
          <w:ilvl w:val="0"/>
          <w:numId w:val="0"/>
        </w:numPr>
        <w:spacing w:line="240" w:lineRule="auto"/>
        <w:jc w:val="both"/>
        <w:rPr>
          <w:rFonts w:ascii="Times New Roman" w:hAnsi="Times New Roman" w:cs="Times New Roman"/>
        </w:rPr>
      </w:pPr>
      <w:r w:rsidRPr="005B7C91">
        <w:rPr>
          <w:rFonts w:ascii="Times New Roman" w:hAnsi="Times New Roman" w:cs="Times New Roman"/>
        </w:rPr>
        <w:t>1 – “</w:t>
      </w:r>
      <w:r w:rsidR="00F46FD8" w:rsidRPr="005B7C91">
        <w:rPr>
          <w:rFonts w:ascii="Times New Roman" w:hAnsi="Times New Roman" w:cs="Times New Roman"/>
        </w:rPr>
        <w:t>No-Fault</w:t>
      </w:r>
      <w:r w:rsidRPr="005B7C91">
        <w:rPr>
          <w:rFonts w:ascii="Times New Roman" w:hAnsi="Times New Roman" w:cs="Times New Roman"/>
        </w:rPr>
        <w:t>”</w:t>
      </w:r>
      <w:r w:rsidR="00F46FD8" w:rsidRPr="005B7C91">
        <w:rPr>
          <w:rFonts w:ascii="Times New Roman" w:hAnsi="Times New Roman" w:cs="Times New Roman"/>
        </w:rPr>
        <w:t xml:space="preserve"> Divorce, Laws of 2010, Ch. 384, effective October 12, 2010.</w:t>
      </w:r>
    </w:p>
    <w:p w14:paraId="37EF8F4F" w14:textId="77777777" w:rsidR="00F969AF" w:rsidRPr="005B7C91" w:rsidRDefault="00F969AF" w:rsidP="00F969AF">
      <w:pPr>
        <w:pStyle w:val="Heading2"/>
        <w:numPr>
          <w:ilvl w:val="0"/>
          <w:numId w:val="0"/>
        </w:numPr>
        <w:spacing w:line="240" w:lineRule="auto"/>
        <w:jc w:val="both"/>
        <w:rPr>
          <w:rFonts w:ascii="Times New Roman" w:hAnsi="Times New Roman" w:cs="Times New Roman"/>
        </w:rPr>
      </w:pPr>
    </w:p>
    <w:p w14:paraId="4C7E11A3" w14:textId="69BBD9C7" w:rsidR="00F46FD8" w:rsidRPr="005B7C91" w:rsidRDefault="00F969AF" w:rsidP="001710F3">
      <w:pPr>
        <w:pStyle w:val="Heading2"/>
        <w:numPr>
          <w:ilvl w:val="0"/>
          <w:numId w:val="0"/>
        </w:numPr>
        <w:spacing w:line="240" w:lineRule="auto"/>
        <w:jc w:val="both"/>
        <w:rPr>
          <w:rFonts w:ascii="Times New Roman" w:hAnsi="Times New Roman" w:cs="Times New Roman"/>
        </w:rPr>
      </w:pPr>
      <w:r w:rsidRPr="005B7C91">
        <w:rPr>
          <w:rFonts w:ascii="Times New Roman" w:hAnsi="Times New Roman" w:cs="Times New Roman"/>
        </w:rPr>
        <w:t xml:space="preserve">2 - </w:t>
      </w:r>
      <w:r w:rsidR="00F46FD8" w:rsidRPr="005B7C91">
        <w:rPr>
          <w:rFonts w:ascii="Times New Roman" w:hAnsi="Times New Roman" w:cs="Times New Roman"/>
        </w:rPr>
        <w:t>Counsel Fees</w:t>
      </w:r>
      <w:r w:rsidR="005B7C91">
        <w:rPr>
          <w:rFonts w:ascii="Times New Roman" w:hAnsi="Times New Roman" w:cs="Times New Roman"/>
        </w:rPr>
        <w:t xml:space="preserve">: </w:t>
      </w:r>
      <w:r w:rsidR="00F46FD8" w:rsidRPr="005B7C91">
        <w:rPr>
          <w:rFonts w:ascii="Times New Roman" w:hAnsi="Times New Roman" w:cs="Times New Roman"/>
        </w:rPr>
        <w:t>Rebuttable Presumption and Other Amendments, Laws of 2010, Ch. 329, effective October 12, 2010.</w:t>
      </w:r>
    </w:p>
    <w:p w14:paraId="499669E6" w14:textId="77777777" w:rsidR="001710F3" w:rsidRPr="005B7C91" w:rsidRDefault="001710F3" w:rsidP="001710F3">
      <w:pPr>
        <w:pStyle w:val="Heading2"/>
        <w:numPr>
          <w:ilvl w:val="0"/>
          <w:numId w:val="0"/>
        </w:numPr>
        <w:spacing w:line="240" w:lineRule="auto"/>
        <w:jc w:val="both"/>
        <w:rPr>
          <w:rFonts w:ascii="Times New Roman" w:hAnsi="Times New Roman" w:cs="Times New Roman"/>
        </w:rPr>
      </w:pPr>
    </w:p>
    <w:p w14:paraId="6AC23B49" w14:textId="73F3A74F" w:rsidR="001710F3" w:rsidRPr="005B7C91" w:rsidRDefault="00F969AF" w:rsidP="001710F3">
      <w:pPr>
        <w:pStyle w:val="Heading2"/>
        <w:numPr>
          <w:ilvl w:val="0"/>
          <w:numId w:val="0"/>
        </w:numPr>
        <w:spacing w:line="240" w:lineRule="auto"/>
        <w:jc w:val="both"/>
        <w:rPr>
          <w:rFonts w:ascii="Times New Roman" w:hAnsi="Times New Roman" w:cs="Times New Roman"/>
        </w:rPr>
      </w:pPr>
      <w:r w:rsidRPr="005B7C91">
        <w:rPr>
          <w:rFonts w:ascii="Times New Roman" w:hAnsi="Times New Roman" w:cs="Times New Roman"/>
        </w:rPr>
        <w:t xml:space="preserve">3 - </w:t>
      </w:r>
      <w:r w:rsidR="001710F3" w:rsidRPr="005B7C91">
        <w:rPr>
          <w:rFonts w:ascii="Times New Roman" w:hAnsi="Times New Roman" w:cs="Times New Roman"/>
        </w:rPr>
        <w:t>Temporary Maintenance Guidelines and New Factors</w:t>
      </w:r>
      <w:r w:rsidR="009A4CE7">
        <w:rPr>
          <w:rFonts w:ascii="Times New Roman" w:hAnsi="Times New Roman" w:cs="Times New Roman"/>
        </w:rPr>
        <w:t xml:space="preserve"> and Name for Maintenance (</w:t>
      </w:r>
      <w:r w:rsidR="001710F3" w:rsidRPr="005B7C91">
        <w:rPr>
          <w:rFonts w:ascii="Times New Roman" w:hAnsi="Times New Roman" w:cs="Times New Roman"/>
        </w:rPr>
        <w:t>Post-Divorce Maintenance</w:t>
      </w:r>
      <w:r w:rsidR="009A4CE7">
        <w:rPr>
          <w:rFonts w:ascii="Times New Roman" w:hAnsi="Times New Roman" w:cs="Times New Roman"/>
        </w:rPr>
        <w:t>)</w:t>
      </w:r>
      <w:r w:rsidR="001710F3" w:rsidRPr="005B7C91">
        <w:rPr>
          <w:rFonts w:ascii="Times New Roman" w:hAnsi="Times New Roman" w:cs="Times New Roman"/>
        </w:rPr>
        <w:t xml:space="preserve">, Laws of 2010, Ch. 371, effective October 12, 2010, which led to the enactment of revised guidelines for temporary </w:t>
      </w:r>
      <w:r w:rsidRPr="005B7C91">
        <w:rPr>
          <w:rFonts w:ascii="Times New Roman" w:hAnsi="Times New Roman" w:cs="Times New Roman"/>
        </w:rPr>
        <w:t xml:space="preserve">maintenance </w:t>
      </w:r>
      <w:r w:rsidR="001710F3" w:rsidRPr="005B7C91">
        <w:rPr>
          <w:rFonts w:ascii="Times New Roman" w:hAnsi="Times New Roman" w:cs="Times New Roman"/>
        </w:rPr>
        <w:t>(10</w:t>
      </w:r>
      <w:r w:rsidR="001710F3" w:rsidRPr="005B7C91">
        <w:rPr>
          <w:rFonts w:ascii="Times New Roman" w:hAnsi="Times New Roman" w:cs="Times New Roman"/>
          <w:vertAlign w:val="superscript"/>
        </w:rPr>
        <w:t>th</w:t>
      </w:r>
      <w:r w:rsidR="001710F3" w:rsidRPr="005B7C91">
        <w:rPr>
          <w:rFonts w:ascii="Times New Roman" w:hAnsi="Times New Roman" w:cs="Times New Roman"/>
        </w:rPr>
        <w:t xml:space="preserve"> birthday</w:t>
      </w:r>
      <w:r w:rsidRPr="005B7C91">
        <w:rPr>
          <w:rFonts w:ascii="Times New Roman" w:hAnsi="Times New Roman" w:cs="Times New Roman"/>
        </w:rPr>
        <w:t>, effective</w:t>
      </w:r>
      <w:r w:rsidR="001710F3" w:rsidRPr="005B7C91">
        <w:rPr>
          <w:rFonts w:ascii="Times New Roman" w:hAnsi="Times New Roman" w:cs="Times New Roman"/>
        </w:rPr>
        <w:t xml:space="preserve"> October 25, 2015)</w:t>
      </w:r>
      <w:r w:rsidRPr="005B7C91">
        <w:rPr>
          <w:rFonts w:ascii="Times New Roman" w:hAnsi="Times New Roman" w:cs="Times New Roman"/>
        </w:rPr>
        <w:t xml:space="preserve">, </w:t>
      </w:r>
      <w:r w:rsidR="001710F3" w:rsidRPr="005B7C91">
        <w:rPr>
          <w:rFonts w:ascii="Times New Roman" w:hAnsi="Times New Roman" w:cs="Times New Roman"/>
        </w:rPr>
        <w:t xml:space="preserve">post-divorce maintenance </w:t>
      </w:r>
      <w:r w:rsidRPr="005B7C91">
        <w:rPr>
          <w:rFonts w:ascii="Times New Roman" w:hAnsi="Times New Roman" w:cs="Times New Roman"/>
        </w:rPr>
        <w:t xml:space="preserve">and </w:t>
      </w:r>
      <w:r w:rsidR="009A4CE7">
        <w:rPr>
          <w:rFonts w:ascii="Times New Roman" w:hAnsi="Times New Roman" w:cs="Times New Roman"/>
        </w:rPr>
        <w:t xml:space="preserve">application of guidelines to </w:t>
      </w:r>
      <w:r w:rsidRPr="005B7C91">
        <w:rPr>
          <w:rFonts w:ascii="Times New Roman" w:hAnsi="Times New Roman" w:cs="Times New Roman"/>
        </w:rPr>
        <w:t xml:space="preserve">spousal support in Family Court, Laws of 2015, Ch. 269, </w:t>
      </w:r>
      <w:r w:rsidR="001710F3" w:rsidRPr="005B7C91">
        <w:rPr>
          <w:rFonts w:ascii="Times New Roman" w:hAnsi="Times New Roman" w:cs="Times New Roman"/>
        </w:rPr>
        <w:t>effective January 23, 2016 (10</w:t>
      </w:r>
      <w:r w:rsidR="001710F3" w:rsidRPr="005B7C91">
        <w:rPr>
          <w:rFonts w:ascii="Times New Roman" w:hAnsi="Times New Roman" w:cs="Times New Roman"/>
          <w:vertAlign w:val="superscript"/>
        </w:rPr>
        <w:t>th</w:t>
      </w:r>
      <w:r w:rsidR="001710F3" w:rsidRPr="005B7C91">
        <w:rPr>
          <w:rFonts w:ascii="Times New Roman" w:hAnsi="Times New Roman" w:cs="Times New Roman"/>
        </w:rPr>
        <w:t xml:space="preserve"> birthday coming soon)</w:t>
      </w:r>
      <w:r w:rsidRPr="005B7C91">
        <w:rPr>
          <w:rFonts w:ascii="Times New Roman" w:hAnsi="Times New Roman" w:cs="Times New Roman"/>
        </w:rPr>
        <w:t>.</w:t>
      </w:r>
    </w:p>
    <w:p w14:paraId="4AD99839" w14:textId="77777777" w:rsidR="00F969AF" w:rsidRPr="005B7C91" w:rsidRDefault="00F969AF" w:rsidP="001710F3">
      <w:pPr>
        <w:pStyle w:val="Heading2"/>
        <w:numPr>
          <w:ilvl w:val="0"/>
          <w:numId w:val="0"/>
        </w:numPr>
        <w:spacing w:line="240" w:lineRule="auto"/>
        <w:jc w:val="both"/>
        <w:rPr>
          <w:rFonts w:ascii="Times New Roman" w:hAnsi="Times New Roman" w:cs="Times New Roman"/>
        </w:rPr>
      </w:pPr>
    </w:p>
    <w:p w14:paraId="72286902" w14:textId="529D1DC9" w:rsidR="00F969AF" w:rsidRDefault="00F969AF" w:rsidP="001710F3">
      <w:pPr>
        <w:pStyle w:val="Heading2"/>
        <w:numPr>
          <w:ilvl w:val="0"/>
          <w:numId w:val="0"/>
        </w:numPr>
        <w:spacing w:line="240" w:lineRule="auto"/>
        <w:jc w:val="both"/>
        <w:rPr>
          <w:rFonts w:ascii="Verdana" w:hAnsi="Verdana" w:cs="Times New Roman"/>
          <w:b/>
          <w:bCs/>
        </w:rPr>
      </w:pPr>
      <w:r w:rsidRPr="005B7C91">
        <w:rPr>
          <w:rFonts w:ascii="Times New Roman" w:hAnsi="Times New Roman" w:cs="Times New Roman"/>
        </w:rPr>
        <w:t xml:space="preserve">4 </w:t>
      </w:r>
      <w:r w:rsidR="005B7C91" w:rsidRPr="005B7C91">
        <w:rPr>
          <w:rFonts w:ascii="Times New Roman" w:hAnsi="Times New Roman" w:cs="Times New Roman"/>
        </w:rPr>
        <w:t>–</w:t>
      </w:r>
      <w:r w:rsidRPr="005B7C91">
        <w:rPr>
          <w:rFonts w:ascii="Times New Roman" w:hAnsi="Times New Roman" w:cs="Times New Roman"/>
        </w:rPr>
        <w:t xml:space="preserve"> </w:t>
      </w:r>
      <w:r w:rsidR="005B7C91" w:rsidRPr="005B7C91">
        <w:rPr>
          <w:rFonts w:ascii="Times New Roman" w:hAnsi="Times New Roman" w:cs="Times New Roman"/>
        </w:rPr>
        <w:t xml:space="preserve">Child Support Modification – Substantial change of circumstances applied to agreements incorporated into orders, </w:t>
      </w:r>
      <w:r w:rsidR="009A4CE7">
        <w:rPr>
          <w:rFonts w:ascii="Times New Roman" w:hAnsi="Times New Roman" w:cs="Times New Roman"/>
        </w:rPr>
        <w:t xml:space="preserve">and the </w:t>
      </w:r>
      <w:r w:rsidR="005B7C91" w:rsidRPr="005B7C91">
        <w:rPr>
          <w:rFonts w:ascii="Times New Roman" w:hAnsi="Times New Roman" w:cs="Times New Roman"/>
        </w:rPr>
        <w:t xml:space="preserve">3-year and 15% </w:t>
      </w:r>
      <w:r w:rsidR="009A4CE7">
        <w:rPr>
          <w:rFonts w:ascii="Times New Roman" w:hAnsi="Times New Roman" w:cs="Times New Roman"/>
        </w:rPr>
        <w:t xml:space="preserve">modification </w:t>
      </w:r>
      <w:r w:rsidR="005B7C91" w:rsidRPr="005B7C91">
        <w:rPr>
          <w:rFonts w:ascii="Times New Roman" w:hAnsi="Times New Roman" w:cs="Times New Roman"/>
        </w:rPr>
        <w:t>grounds, Laws of 2010, Ch. 182, effective October 13, 2010.</w:t>
      </w:r>
    </w:p>
    <w:p w14:paraId="5B361162" w14:textId="77777777" w:rsidR="009A4CE7" w:rsidRDefault="009A4CE7" w:rsidP="007701FC">
      <w:pPr>
        <w:pStyle w:val="Heading2"/>
        <w:numPr>
          <w:ilvl w:val="0"/>
          <w:numId w:val="0"/>
        </w:numPr>
        <w:spacing w:line="240" w:lineRule="auto"/>
        <w:contextualSpacing/>
        <w:jc w:val="both"/>
        <w:rPr>
          <w:rFonts w:ascii="Times New Roman" w:hAnsi="Times New Roman" w:cs="Times New Roman"/>
          <w:b/>
          <w:bCs/>
        </w:rPr>
      </w:pPr>
    </w:p>
    <w:p w14:paraId="6492657F" w14:textId="708C8E25" w:rsidR="001A37A7" w:rsidRDefault="001A37A7" w:rsidP="007701FC">
      <w:pPr>
        <w:pStyle w:val="Heading2"/>
        <w:numPr>
          <w:ilvl w:val="0"/>
          <w:numId w:val="0"/>
        </w:numPr>
        <w:spacing w:line="240" w:lineRule="auto"/>
        <w:contextualSpacing/>
        <w:jc w:val="both"/>
        <w:rPr>
          <w:rFonts w:ascii="Times New Roman" w:hAnsi="Times New Roman" w:cs="Times New Roman"/>
          <w:b/>
          <w:bCs/>
        </w:rPr>
      </w:pPr>
      <w:r>
        <w:rPr>
          <w:rFonts w:ascii="Times New Roman" w:hAnsi="Times New Roman" w:cs="Times New Roman"/>
          <w:b/>
          <w:bCs/>
        </w:rPr>
        <w:t>Agreements – Drafting</w:t>
      </w:r>
    </w:p>
    <w:p w14:paraId="4DE78B27" w14:textId="77777777" w:rsidR="001A37A7" w:rsidRDefault="001A37A7" w:rsidP="007701FC">
      <w:pPr>
        <w:pStyle w:val="Heading2"/>
        <w:numPr>
          <w:ilvl w:val="0"/>
          <w:numId w:val="0"/>
        </w:numPr>
        <w:spacing w:line="240" w:lineRule="auto"/>
        <w:contextualSpacing/>
        <w:jc w:val="both"/>
        <w:rPr>
          <w:rFonts w:ascii="Times New Roman" w:hAnsi="Times New Roman" w:cs="Times New Roman"/>
          <w:b/>
          <w:bCs/>
        </w:rPr>
      </w:pPr>
    </w:p>
    <w:p w14:paraId="07FF934B" w14:textId="2208A446" w:rsidR="001A37A7" w:rsidRDefault="001A37A7" w:rsidP="007701FC">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For an informative article, </w:t>
      </w:r>
      <w:r w:rsidRPr="00BB7715">
        <w:rPr>
          <w:rFonts w:ascii="Times New Roman" w:hAnsi="Times New Roman" w:cs="Times New Roman"/>
          <w:i/>
          <w:iCs/>
        </w:rPr>
        <w:t>see</w:t>
      </w:r>
      <w:r>
        <w:rPr>
          <w:rFonts w:ascii="Times New Roman" w:hAnsi="Times New Roman" w:cs="Times New Roman"/>
        </w:rPr>
        <w:t xml:space="preserve"> Alan Feigenbaum, “The Perils of Drafting Divorce Agreements: Part Deux,” NY Law Journal, Oct. 23, 2025.</w:t>
      </w:r>
    </w:p>
    <w:p w14:paraId="40803D42" w14:textId="77777777" w:rsidR="006C66A9" w:rsidRDefault="006C66A9" w:rsidP="007701FC">
      <w:pPr>
        <w:pStyle w:val="Heading2"/>
        <w:numPr>
          <w:ilvl w:val="0"/>
          <w:numId w:val="0"/>
        </w:numPr>
        <w:spacing w:line="240" w:lineRule="auto"/>
        <w:contextualSpacing/>
        <w:jc w:val="both"/>
        <w:rPr>
          <w:rFonts w:ascii="Times New Roman" w:hAnsi="Times New Roman" w:cs="Times New Roman"/>
        </w:rPr>
      </w:pPr>
    </w:p>
    <w:p w14:paraId="79826E0D" w14:textId="77777777" w:rsidR="006C66A9" w:rsidRPr="006C66A9" w:rsidRDefault="006C66A9" w:rsidP="006C66A9">
      <w:pPr>
        <w:pStyle w:val="Heading2"/>
        <w:numPr>
          <w:ilvl w:val="0"/>
          <w:numId w:val="0"/>
        </w:numPr>
        <w:rPr>
          <w:b/>
          <w:bCs/>
        </w:rPr>
      </w:pPr>
      <w:r w:rsidRPr="006C66A9">
        <w:rPr>
          <w:rFonts w:ascii="Times New Roman" w:hAnsi="Times New Roman" w:cs="Times New Roman"/>
          <w:b/>
          <w:bCs/>
        </w:rPr>
        <w:t xml:space="preserve">Agreements - </w:t>
      </w:r>
      <w:r w:rsidRPr="006C66A9">
        <w:rPr>
          <w:rFonts w:ascii="Times New Roman" w:hAnsi="Times New Roman" w:cs="Times New Roman"/>
          <w:b/>
          <w:bCs/>
        </w:rPr>
        <w:t>Denial of Set Aside Without Hearing – Reversed</w:t>
      </w:r>
    </w:p>
    <w:p w14:paraId="26DC959C" w14:textId="47C8692C" w:rsidR="006C66A9" w:rsidRDefault="006C66A9" w:rsidP="006C66A9">
      <w:pPr>
        <w:pStyle w:val="Heading2"/>
        <w:numPr>
          <w:ilvl w:val="0"/>
          <w:numId w:val="0"/>
        </w:numPr>
        <w:spacing w:line="240" w:lineRule="auto"/>
        <w:contextualSpacing/>
        <w:jc w:val="both"/>
        <w:rPr>
          <w:rFonts w:ascii="Times New Roman" w:hAnsi="Times New Roman" w:cs="Times New Roman"/>
          <w:b/>
          <w:bCs/>
        </w:rPr>
      </w:pPr>
      <w:r>
        <w:rPr>
          <w:rFonts w:ascii="Times New Roman" w:hAnsi="Times New Roman" w:cs="Times New Roman"/>
        </w:rPr>
        <w:tab/>
        <w:t xml:space="preserve">In </w:t>
      </w:r>
      <w:r w:rsidRPr="006C66A9">
        <w:rPr>
          <w:rFonts w:ascii="Times New Roman" w:hAnsi="Times New Roman" w:cs="Times New Roman"/>
          <w:b/>
          <w:bCs/>
          <w:i/>
          <w:iCs/>
        </w:rPr>
        <w:t>Medina v. Medina</w:t>
      </w:r>
      <w:r>
        <w:rPr>
          <w:rFonts w:ascii="Times New Roman" w:hAnsi="Times New Roman" w:cs="Times New Roman"/>
        </w:rPr>
        <w:t>, 2025 Westlaw 3028613 (1</w:t>
      </w:r>
      <w:r w:rsidRPr="00E90156">
        <w:rPr>
          <w:rFonts w:ascii="Times New Roman" w:hAnsi="Times New Roman" w:cs="Times New Roman"/>
          <w:vertAlign w:val="superscript"/>
        </w:rPr>
        <w:t>st</w:t>
      </w:r>
      <w:r>
        <w:rPr>
          <w:rFonts w:ascii="Times New Roman" w:hAnsi="Times New Roman" w:cs="Times New Roman"/>
        </w:rPr>
        <w:t xml:space="preserve"> Dept. Oct. 30, 2025), the husband appealed from a September 2024 Supreme Court order which, without a hearing, denied his motion to set aside the parties’ November 2005 separation agreement. The First Department reversed, on the law, and remanded for further proceedings upon the husband’s motion, holding that Supreme Court “should not have declined to consider the husband’s affirmations” based upon failure to comply with CPLR 2101(b)’s requirement that papers be in English, and that affidavits in a foreign language be accompanied by an English translation and translator’s affidavit.</w:t>
      </w:r>
      <w:r>
        <w:rPr>
          <w:rFonts w:ascii="Times New Roman" w:hAnsi="Times New Roman" w:cs="Times New Roman"/>
        </w:rPr>
        <w:t xml:space="preserve"> </w:t>
      </w:r>
      <w:r>
        <w:rPr>
          <w:rFonts w:ascii="Times New Roman" w:hAnsi="Times New Roman" w:cs="Times New Roman"/>
        </w:rPr>
        <w:t>The Appellate Division observed that “the husband’s affirmations were filed only in English and neither party contends that the husband does not read, speak or understand English”; “his moving papers did not provide a sufficient basis for *** [Supreme] court to disregard his affirmation”; and “there is no basis in this record for the motion court’s finding that [the husband] does not read or understand English at present (internal quotation marks and citation omitted).”</w:t>
      </w:r>
    </w:p>
    <w:p w14:paraId="06EA13DF" w14:textId="77777777" w:rsidR="001A37A7" w:rsidRDefault="001A37A7" w:rsidP="007701FC">
      <w:pPr>
        <w:pStyle w:val="Heading2"/>
        <w:numPr>
          <w:ilvl w:val="0"/>
          <w:numId w:val="0"/>
        </w:numPr>
        <w:spacing w:line="240" w:lineRule="auto"/>
        <w:contextualSpacing/>
        <w:jc w:val="both"/>
        <w:rPr>
          <w:rFonts w:ascii="Times New Roman" w:hAnsi="Times New Roman" w:cs="Times New Roman"/>
          <w:b/>
          <w:bCs/>
        </w:rPr>
      </w:pPr>
    </w:p>
    <w:p w14:paraId="2663850E" w14:textId="23D39439" w:rsidR="007701FC" w:rsidRDefault="007701FC" w:rsidP="007701FC">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b/>
          <w:bCs/>
        </w:rPr>
        <w:t xml:space="preserve">Child Support </w:t>
      </w:r>
      <w:r w:rsidRPr="007701FC">
        <w:rPr>
          <w:rFonts w:ascii="Times New Roman" w:hAnsi="Times New Roman" w:cs="Times New Roman"/>
          <w:b/>
          <w:bCs/>
        </w:rPr>
        <w:t>– CSSA – Business Deductions Disallowed; Imputed Income; Right to Counsel</w:t>
      </w:r>
    </w:p>
    <w:p w14:paraId="43151629" w14:textId="77777777" w:rsidR="007701FC" w:rsidRDefault="007701FC" w:rsidP="007701FC">
      <w:pPr>
        <w:pStyle w:val="Heading2"/>
        <w:numPr>
          <w:ilvl w:val="0"/>
          <w:numId w:val="0"/>
        </w:numPr>
        <w:spacing w:line="240" w:lineRule="auto"/>
        <w:contextualSpacing/>
        <w:jc w:val="both"/>
        <w:rPr>
          <w:rFonts w:ascii="Times New Roman" w:hAnsi="Times New Roman" w:cs="Times New Roman"/>
        </w:rPr>
      </w:pPr>
    </w:p>
    <w:p w14:paraId="794933EA" w14:textId="1EEDE678" w:rsidR="007701FC" w:rsidRDefault="007701FC" w:rsidP="007701FC">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7701FC">
        <w:rPr>
          <w:rFonts w:ascii="Times New Roman" w:hAnsi="Times New Roman" w:cs="Times New Roman"/>
          <w:b/>
          <w:bCs/>
          <w:i/>
          <w:iCs/>
        </w:rPr>
        <w:t>Matter of Morales v. Foley</w:t>
      </w:r>
      <w:r>
        <w:rPr>
          <w:rFonts w:ascii="Times New Roman" w:hAnsi="Times New Roman" w:cs="Times New Roman"/>
        </w:rPr>
        <w:t xml:space="preserve">, 2025 Westlaw 2845468 (2d Dept. Oct. 8, 2025), </w:t>
      </w:r>
      <w:r w:rsidRPr="000E3757">
        <w:rPr>
          <w:rFonts w:ascii="Times New Roman" w:hAnsi="Times New Roman" w:cs="Times New Roman"/>
        </w:rPr>
        <w:t xml:space="preserve">the father appealed from a February 2024 Family Court order denying </w:t>
      </w:r>
      <w:r w:rsidR="009507F4">
        <w:rPr>
          <w:rFonts w:ascii="Times New Roman" w:hAnsi="Times New Roman" w:cs="Times New Roman"/>
        </w:rPr>
        <w:t xml:space="preserve">his objections to </w:t>
      </w:r>
      <w:r w:rsidRPr="000E3757">
        <w:rPr>
          <w:rFonts w:ascii="Times New Roman" w:hAnsi="Times New Roman" w:cs="Times New Roman"/>
        </w:rPr>
        <w:t xml:space="preserve">a January 2024 </w:t>
      </w:r>
      <w:r w:rsidRPr="000E3757">
        <w:rPr>
          <w:rFonts w:ascii="Times New Roman" w:hAnsi="Times New Roman" w:cs="Times New Roman"/>
        </w:rPr>
        <w:lastRenderedPageBreak/>
        <w:t>Support Magistrate order which, after a hearing upon the mother’s 2022 petition, directed him to pay child support of $1,096 per week toward the support of the parties’ 4 children born between 2012 and 2018, and retroactive support of $60,028.14. The Second Department affirmed, holding: “</w:t>
      </w:r>
      <w:r w:rsidRPr="00DE3D41">
        <w:rPr>
          <w:rFonts w:ascii="Times New Roman" w:hAnsi="Times New Roman" w:cs="Times New Roman"/>
        </w:rPr>
        <w:t>there was no right to assigned counsel in this proceeding, and the Support Magistrate was thus not required to conduct a searching inquiry to ensure that his waiver of counsel was unequivocal, voluntary, and intelligent</w:t>
      </w:r>
      <w:r w:rsidRPr="000E3757">
        <w:rPr>
          <w:rFonts w:ascii="Times New Roman" w:hAnsi="Times New Roman" w:cs="Times New Roman"/>
        </w:rPr>
        <w:t>”; and “</w:t>
      </w:r>
      <w:r w:rsidRPr="00DE3D41">
        <w:rPr>
          <w:rFonts w:ascii="Times New Roman" w:hAnsi="Times New Roman" w:cs="Times New Roman"/>
        </w:rPr>
        <w:t>the father was aware at several appearances that he had a right to retain counsel but chose to proceed pro se</w:t>
      </w:r>
      <w:r w:rsidRPr="000E3757">
        <w:rPr>
          <w:rFonts w:ascii="Times New Roman" w:hAnsi="Times New Roman" w:cs="Times New Roman"/>
        </w:rPr>
        <w:t xml:space="preserve"> (citations omitted),</w:t>
      </w:r>
      <w:r w:rsidRPr="00DE3D41">
        <w:rPr>
          <w:rFonts w:ascii="Times New Roman" w:hAnsi="Times New Roman" w:cs="Times New Roman"/>
        </w:rPr>
        <w:t xml:space="preserve"> and the Support Magistrate did not improvidently exercise her discretion in declining to adjourn the proceedings</w:t>
      </w:r>
      <w:r w:rsidRPr="000E3757">
        <w:rPr>
          <w:rFonts w:ascii="Times New Roman" w:hAnsi="Times New Roman" w:cs="Times New Roman"/>
        </w:rPr>
        <w:t xml:space="preserve"> (citation omitted).”</w:t>
      </w:r>
      <w:r w:rsidRPr="00DE3D41">
        <w:rPr>
          <w:rFonts w:ascii="Times New Roman" w:hAnsi="Times New Roman" w:cs="Times New Roman"/>
        </w:rPr>
        <w:t xml:space="preserve"> </w:t>
      </w:r>
      <w:r w:rsidRPr="000E3757">
        <w:rPr>
          <w:rFonts w:ascii="Times New Roman" w:hAnsi="Times New Roman" w:cs="Times New Roman"/>
        </w:rPr>
        <w:t>The Second Department further determined that “</w:t>
      </w:r>
      <w:r w:rsidRPr="00DE3D41">
        <w:rPr>
          <w:rFonts w:ascii="Times New Roman" w:hAnsi="Times New Roman" w:cs="Times New Roman"/>
        </w:rPr>
        <w:t>the Support Magistrate did not improvidently exercise her discretion in imputing income to the father from his business and declining to reduce that amount by certain claimed</w:t>
      </w:r>
      <w:r w:rsidRPr="000E3757">
        <w:rPr>
          <w:rFonts w:ascii="Times New Roman" w:hAnsi="Times New Roman" w:cs="Times New Roman"/>
        </w:rPr>
        <w:t xml:space="preserve"> </w:t>
      </w:r>
      <w:r w:rsidRPr="00DE3D41">
        <w:rPr>
          <w:rFonts w:ascii="Times New Roman" w:hAnsi="Times New Roman" w:cs="Times New Roman"/>
        </w:rPr>
        <w:t xml:space="preserve">business deductions and expenses, as </w:t>
      </w:r>
      <w:r w:rsidRPr="000E3757">
        <w:rPr>
          <w:rFonts w:ascii="Times New Roman" w:hAnsi="Times New Roman" w:cs="Times New Roman"/>
        </w:rPr>
        <w:t xml:space="preserve">[he] </w:t>
      </w:r>
      <w:r w:rsidRPr="00DE3D41">
        <w:rPr>
          <w:rFonts w:ascii="Times New Roman" w:hAnsi="Times New Roman" w:cs="Times New Roman"/>
        </w:rPr>
        <w:t xml:space="preserve">failed to present evidence concerning those deductions and expenses other than his tax returns </w:t>
      </w:r>
      <w:r w:rsidRPr="000E3757">
        <w:rPr>
          <w:rFonts w:ascii="Times New Roman" w:hAnsi="Times New Roman" w:cs="Times New Roman"/>
        </w:rPr>
        <w:t>(citation omitted).</w:t>
      </w:r>
      <w:r>
        <w:rPr>
          <w:rFonts w:ascii="Times New Roman" w:hAnsi="Times New Roman" w:cs="Times New Roman"/>
        </w:rPr>
        <w:t>”</w:t>
      </w:r>
    </w:p>
    <w:p w14:paraId="2205AF5B" w14:textId="77777777" w:rsidR="001A37A7" w:rsidRDefault="001A37A7" w:rsidP="007701FC">
      <w:pPr>
        <w:pStyle w:val="Heading2"/>
        <w:numPr>
          <w:ilvl w:val="0"/>
          <w:numId w:val="0"/>
        </w:numPr>
        <w:spacing w:line="240" w:lineRule="auto"/>
        <w:contextualSpacing/>
        <w:jc w:val="both"/>
        <w:rPr>
          <w:rFonts w:ascii="Times New Roman" w:hAnsi="Times New Roman" w:cs="Times New Roman"/>
        </w:rPr>
      </w:pPr>
    </w:p>
    <w:p w14:paraId="5A1C7088" w14:textId="346DF56D" w:rsidR="001A37A7" w:rsidRPr="001A37A7" w:rsidRDefault="001A37A7" w:rsidP="007701FC">
      <w:pPr>
        <w:pStyle w:val="Heading2"/>
        <w:numPr>
          <w:ilvl w:val="0"/>
          <w:numId w:val="0"/>
        </w:numPr>
        <w:spacing w:line="240" w:lineRule="auto"/>
        <w:contextualSpacing/>
        <w:jc w:val="both"/>
        <w:rPr>
          <w:rFonts w:ascii="Times New Roman" w:hAnsi="Times New Roman" w:cs="Times New Roman"/>
          <w:b/>
          <w:bCs/>
        </w:rPr>
      </w:pPr>
      <w:r w:rsidRPr="001A37A7">
        <w:rPr>
          <w:rFonts w:ascii="Times New Roman" w:hAnsi="Times New Roman" w:cs="Times New Roman"/>
          <w:b/>
          <w:bCs/>
        </w:rPr>
        <w:t>Child Support – Subject Matter Jurisdiction</w:t>
      </w:r>
      <w:r w:rsidR="009507F4">
        <w:rPr>
          <w:rFonts w:ascii="Times New Roman" w:hAnsi="Times New Roman" w:cs="Times New Roman"/>
          <w:b/>
          <w:bCs/>
        </w:rPr>
        <w:t xml:space="preserve">; Trial </w:t>
      </w:r>
      <w:r w:rsidR="00E55558">
        <w:rPr>
          <w:rFonts w:ascii="Times New Roman" w:hAnsi="Times New Roman" w:cs="Times New Roman"/>
          <w:b/>
          <w:bCs/>
        </w:rPr>
        <w:t>b</w:t>
      </w:r>
      <w:r w:rsidR="009507F4">
        <w:rPr>
          <w:rFonts w:ascii="Times New Roman" w:hAnsi="Times New Roman" w:cs="Times New Roman"/>
          <w:b/>
          <w:bCs/>
        </w:rPr>
        <w:t>y Jury Not Available</w:t>
      </w:r>
    </w:p>
    <w:p w14:paraId="493E59E3" w14:textId="77777777" w:rsidR="001A37A7" w:rsidRDefault="001A37A7" w:rsidP="007701FC">
      <w:pPr>
        <w:pStyle w:val="Heading2"/>
        <w:numPr>
          <w:ilvl w:val="0"/>
          <w:numId w:val="0"/>
        </w:numPr>
        <w:spacing w:line="240" w:lineRule="auto"/>
        <w:contextualSpacing/>
        <w:jc w:val="both"/>
        <w:rPr>
          <w:rFonts w:ascii="Times New Roman" w:hAnsi="Times New Roman" w:cs="Times New Roman"/>
        </w:rPr>
      </w:pPr>
    </w:p>
    <w:p w14:paraId="6203C5BA" w14:textId="7002D9DE" w:rsidR="001A37A7" w:rsidRDefault="001A37A7" w:rsidP="007701FC">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1A37A7">
        <w:rPr>
          <w:rFonts w:ascii="Times New Roman" w:hAnsi="Times New Roman" w:cs="Times New Roman"/>
          <w:b/>
          <w:bCs/>
          <w:i/>
          <w:iCs/>
        </w:rPr>
        <w:t>Matter of Lee v. Auguste</w:t>
      </w:r>
      <w:r>
        <w:rPr>
          <w:rFonts w:ascii="Times New Roman" w:hAnsi="Times New Roman" w:cs="Times New Roman"/>
        </w:rPr>
        <w:t>, 2025 Westlaw 2969810 (2d Dept. Oct. 22, 2025), the Appellate Division rejected the father’s challenge to a May 2021 Support Magistrate Order and the denial of his objections thereto upon subject matter jurisdiction grounds. The Second Department held: “The New York State Constitution imbues the Family Court with jurisdiction over proceedings for the support of dependents (see NY Const, art VI, § 13[b][4]). The Family Court has exclusive original jurisdiction over proceedings for support or maintenance under *** [FCA 411].” The Appellate Division cited FCA 439(a), which confers the requisite authority upon Support Magistrates. The Court concluded by observing that the father “was not entitled to a jury trial under the Seventh Amendment of the United States Constitution because that amendment is not applicable in state courts (citations omitted).”</w:t>
      </w:r>
      <w:r w:rsidR="00E55558">
        <w:rPr>
          <w:rFonts w:ascii="Times New Roman" w:hAnsi="Times New Roman" w:cs="Times New Roman"/>
        </w:rPr>
        <w:t xml:space="preserve"> [</w:t>
      </w:r>
      <w:r w:rsidR="00E55558" w:rsidRPr="00B4284C">
        <w:rPr>
          <w:rFonts w:ascii="Times New Roman" w:hAnsi="Times New Roman" w:cs="Times New Roman"/>
          <w:b/>
          <w:bCs/>
          <w:u w:val="single"/>
        </w:rPr>
        <w:t>Ed. Note</w:t>
      </w:r>
      <w:r w:rsidR="00E55558">
        <w:rPr>
          <w:rFonts w:ascii="Times New Roman" w:hAnsi="Times New Roman" w:cs="Times New Roman"/>
        </w:rPr>
        <w:t>: 22 NYCRR §205.35(a) provides: “</w:t>
      </w:r>
      <w:r w:rsidR="00E55558" w:rsidRPr="00B4284C">
        <w:rPr>
          <w:rFonts w:ascii="Times New Roman" w:hAnsi="Times New Roman" w:cs="Times New Roman"/>
        </w:rPr>
        <w:t xml:space="preserve">Unless otherwise specified in the order of reference, the support magistrate shall conduct the hearing </w:t>
      </w:r>
      <w:r w:rsidR="00E55558" w:rsidRPr="00B4284C">
        <w:rPr>
          <w:rFonts w:ascii="Times New Roman" w:hAnsi="Times New Roman" w:cs="Times New Roman"/>
          <w:i/>
          <w:iCs/>
          <w:u w:val="single"/>
        </w:rPr>
        <w:t>in the same manner as a court trying an issue without a jury</w:t>
      </w:r>
      <w:r w:rsidR="00E55558" w:rsidRPr="00B4284C">
        <w:rPr>
          <w:rFonts w:ascii="Times New Roman" w:hAnsi="Times New Roman" w:cs="Times New Roman"/>
        </w:rPr>
        <w:t xml:space="preserve"> in conformance with the procedures set forth in the Civil Practice Law and Rules and with section 205.3 of this Part</w:t>
      </w:r>
      <w:r w:rsidR="00E55558">
        <w:rPr>
          <w:rFonts w:ascii="Times New Roman" w:hAnsi="Times New Roman" w:cs="Times New Roman"/>
        </w:rPr>
        <w:t>.” (Emphasis added)].</w:t>
      </w:r>
    </w:p>
    <w:p w14:paraId="4694586A" w14:textId="77777777" w:rsidR="006C66A9" w:rsidRDefault="006C66A9" w:rsidP="007701FC">
      <w:pPr>
        <w:pStyle w:val="Heading2"/>
        <w:numPr>
          <w:ilvl w:val="0"/>
          <w:numId w:val="0"/>
        </w:numPr>
        <w:spacing w:line="240" w:lineRule="auto"/>
        <w:contextualSpacing/>
        <w:jc w:val="both"/>
        <w:rPr>
          <w:rFonts w:ascii="Times New Roman" w:hAnsi="Times New Roman" w:cs="Times New Roman"/>
        </w:rPr>
      </w:pPr>
    </w:p>
    <w:p w14:paraId="588E6127" w14:textId="6E7791E0" w:rsidR="00ED72AA" w:rsidRDefault="00ED72AA" w:rsidP="00963446">
      <w:pPr>
        <w:pStyle w:val="Heading2"/>
        <w:numPr>
          <w:ilvl w:val="0"/>
          <w:numId w:val="0"/>
        </w:numPr>
        <w:jc w:val="both"/>
        <w:rPr>
          <w:rFonts w:ascii="Times New Roman" w:hAnsi="Times New Roman" w:cs="Times New Roman"/>
          <w:b/>
          <w:bCs/>
        </w:rPr>
      </w:pPr>
      <w:r>
        <w:rPr>
          <w:rFonts w:ascii="Times New Roman" w:hAnsi="Times New Roman" w:cs="Times New Roman"/>
          <w:b/>
          <w:bCs/>
        </w:rPr>
        <w:t>Counsel Fees – Rule Compliance</w:t>
      </w:r>
    </w:p>
    <w:p w14:paraId="0E3D51FB" w14:textId="77777777" w:rsidR="00ED72AA" w:rsidRDefault="00ED72AA" w:rsidP="007413B0">
      <w:pPr>
        <w:pStyle w:val="Heading2"/>
        <w:numPr>
          <w:ilvl w:val="0"/>
          <w:numId w:val="0"/>
        </w:numPr>
        <w:tabs>
          <w:tab w:val="left" w:pos="6210"/>
        </w:tabs>
        <w:spacing w:line="240" w:lineRule="auto"/>
        <w:jc w:val="both"/>
        <w:rPr>
          <w:rFonts w:ascii="Times New Roman" w:hAnsi="Times New Roman" w:cs="Times New Roman"/>
        </w:rPr>
      </w:pPr>
      <w:r>
        <w:rPr>
          <w:rFonts w:ascii="Times New Roman" w:hAnsi="Times New Roman" w:cs="Times New Roman"/>
        </w:rPr>
        <w:tab/>
        <w:t xml:space="preserve">In </w:t>
      </w:r>
      <w:proofErr w:type="spellStart"/>
      <w:r w:rsidRPr="007413B0">
        <w:rPr>
          <w:rFonts w:ascii="Times New Roman" w:hAnsi="Times New Roman" w:cs="Times New Roman"/>
          <w:b/>
          <w:bCs/>
          <w:i/>
          <w:iCs/>
        </w:rPr>
        <w:t>Skotarczak</w:t>
      </w:r>
      <w:proofErr w:type="spellEnd"/>
      <w:r w:rsidRPr="007413B0">
        <w:rPr>
          <w:rFonts w:ascii="Times New Roman" w:hAnsi="Times New Roman" w:cs="Times New Roman"/>
          <w:b/>
          <w:bCs/>
          <w:i/>
          <w:iCs/>
        </w:rPr>
        <w:t xml:space="preserve"> v. </w:t>
      </w:r>
      <w:proofErr w:type="spellStart"/>
      <w:r w:rsidRPr="007413B0">
        <w:rPr>
          <w:rFonts w:ascii="Times New Roman" w:hAnsi="Times New Roman" w:cs="Times New Roman"/>
          <w:b/>
          <w:bCs/>
          <w:i/>
          <w:iCs/>
        </w:rPr>
        <w:t>Skotarczak</w:t>
      </w:r>
      <w:proofErr w:type="spellEnd"/>
      <w:r>
        <w:rPr>
          <w:rFonts w:ascii="Times New Roman" w:hAnsi="Times New Roman" w:cs="Times New Roman"/>
        </w:rPr>
        <w:t>, 2025 Westlaw 2813450 (4</w:t>
      </w:r>
      <w:r w:rsidRPr="00C47349">
        <w:rPr>
          <w:rFonts w:ascii="Times New Roman" w:hAnsi="Times New Roman" w:cs="Times New Roman"/>
          <w:vertAlign w:val="superscript"/>
        </w:rPr>
        <w:t>th</w:t>
      </w:r>
      <w:r>
        <w:rPr>
          <w:rFonts w:ascii="Times New Roman" w:hAnsi="Times New Roman" w:cs="Times New Roman"/>
        </w:rPr>
        <w:t xml:space="preserve"> Dept. Oct. 3, 2025), the former husband (husband) in a post-judgment proceeding appealed from a May 2024 Supreme Court order, </w:t>
      </w:r>
      <w:r w:rsidRPr="00A436E2">
        <w:rPr>
          <w:rFonts w:ascii="Times New Roman" w:hAnsi="Times New Roman" w:cs="Times New Roman"/>
        </w:rPr>
        <w:t xml:space="preserve">which awarded the former wife (wife) $12,000 in attorney's fees. The Fourth Department affirmed, rejecting the husband’s argument that “Supreme Court erred in making any award to [the wife] inasmuch as her application was untimely and did not comply with 22 NYCRR 202.16(k).” While the Appellate Division agreed that the wife’s application “was not made within the 30-day time limit established by the parties’ oral stipulation, *** [the wife] had been granted an extension, ***,” </w:t>
      </w:r>
      <w:r>
        <w:rPr>
          <w:rFonts w:ascii="Times New Roman" w:hAnsi="Times New Roman" w:cs="Times New Roman"/>
        </w:rPr>
        <w:t xml:space="preserve">and </w:t>
      </w:r>
      <w:r w:rsidRPr="00A436E2">
        <w:rPr>
          <w:rFonts w:ascii="Times New Roman" w:hAnsi="Times New Roman" w:cs="Times New Roman"/>
        </w:rPr>
        <w:t>concluded that Supreme Court “did not err in considering [the wife’s] application, even if it was filed after the deadline ***.” The Fourth Department “acknowledge[d] that the failure to comply with [22 NYCRR 202.16(k)(5)(ii] *** permits a court to deny the motion without prejudice to renewal upon compliance,” but “denial is not required.” The Court concluded that “[</w:t>
      </w:r>
      <w:proofErr w:type="spellStart"/>
      <w:r w:rsidRPr="00A436E2">
        <w:rPr>
          <w:rFonts w:ascii="Times New Roman" w:hAnsi="Times New Roman" w:cs="Times New Roman"/>
        </w:rPr>
        <w:t>i</w:t>
      </w:r>
      <w:proofErr w:type="spellEnd"/>
      <w:r w:rsidRPr="00A436E2">
        <w:rPr>
          <w:rFonts w:ascii="Times New Roman" w:hAnsi="Times New Roman" w:cs="Times New Roman"/>
        </w:rPr>
        <w:t>]n the interest of judicial economy,” there was “no basis on the merits to disturb the award (citations omitted).”</w:t>
      </w:r>
    </w:p>
    <w:p w14:paraId="6C5E8345" w14:textId="77777777" w:rsidR="00D71EA0" w:rsidRDefault="00D71EA0" w:rsidP="007413B0">
      <w:pPr>
        <w:pStyle w:val="Heading2"/>
        <w:numPr>
          <w:ilvl w:val="0"/>
          <w:numId w:val="0"/>
        </w:numPr>
        <w:tabs>
          <w:tab w:val="left" w:pos="6210"/>
        </w:tabs>
        <w:spacing w:line="240" w:lineRule="auto"/>
        <w:jc w:val="both"/>
        <w:rPr>
          <w:rFonts w:ascii="Times New Roman" w:hAnsi="Times New Roman" w:cs="Times New Roman"/>
        </w:rPr>
      </w:pPr>
    </w:p>
    <w:p w14:paraId="43052074" w14:textId="77777777" w:rsidR="00D71EA0" w:rsidRPr="0021394D" w:rsidRDefault="00D71EA0" w:rsidP="00D71EA0">
      <w:pPr>
        <w:pStyle w:val="Heading2"/>
        <w:numPr>
          <w:ilvl w:val="0"/>
          <w:numId w:val="0"/>
        </w:numPr>
        <w:jc w:val="both"/>
        <w:rPr>
          <w:b/>
          <w:bCs/>
        </w:rPr>
      </w:pPr>
      <w:r w:rsidRPr="0021394D">
        <w:rPr>
          <w:rFonts w:ascii="Times New Roman" w:hAnsi="Times New Roman" w:cs="Times New Roman"/>
          <w:b/>
          <w:bCs/>
        </w:rPr>
        <w:lastRenderedPageBreak/>
        <w:t>Custody - Joint - Final Decision Making, Primary Caretaker as Factor</w:t>
      </w:r>
    </w:p>
    <w:p w14:paraId="03F7585A" w14:textId="20F18B69" w:rsidR="00D71EA0" w:rsidRDefault="00D71EA0" w:rsidP="00D71EA0">
      <w:pPr>
        <w:pStyle w:val="Heading2"/>
        <w:numPr>
          <w:ilvl w:val="0"/>
          <w:numId w:val="0"/>
        </w:numPr>
        <w:tabs>
          <w:tab w:val="left" w:pos="6210"/>
        </w:tabs>
        <w:spacing w:line="240" w:lineRule="auto"/>
        <w:jc w:val="both"/>
        <w:rPr>
          <w:rFonts w:ascii="Times New Roman" w:hAnsi="Times New Roman" w:cs="Times New Roman"/>
        </w:rPr>
      </w:pPr>
      <w:r>
        <w:rPr>
          <w:rFonts w:ascii="Times New Roman" w:hAnsi="Times New Roman" w:cs="Times New Roman"/>
        </w:rPr>
        <w:tab/>
        <w:t xml:space="preserve">In </w:t>
      </w:r>
      <w:r w:rsidRPr="0021394D">
        <w:rPr>
          <w:rFonts w:ascii="Times New Roman" w:hAnsi="Times New Roman" w:cs="Times New Roman"/>
          <w:b/>
          <w:bCs/>
          <w:i/>
          <w:iCs/>
        </w:rPr>
        <w:t>Matter of Emmanuel A. v. Evelyn R.M.G.</w:t>
      </w:r>
      <w:r>
        <w:rPr>
          <w:rFonts w:ascii="Times New Roman" w:hAnsi="Times New Roman" w:cs="Times New Roman"/>
        </w:rPr>
        <w:t>, 2025 Westlaw 2857057 (1</w:t>
      </w:r>
      <w:r w:rsidRPr="00E9702B">
        <w:rPr>
          <w:rFonts w:ascii="Times New Roman" w:hAnsi="Times New Roman" w:cs="Times New Roman"/>
          <w:vertAlign w:val="superscript"/>
        </w:rPr>
        <w:t>st</w:t>
      </w:r>
      <w:r>
        <w:rPr>
          <w:rFonts w:ascii="Times New Roman" w:hAnsi="Times New Roman" w:cs="Times New Roman"/>
        </w:rPr>
        <w:t xml:space="preserve"> Dept. Oct. 9, 2025), </w:t>
      </w:r>
      <w:r w:rsidRPr="00BC5335">
        <w:rPr>
          <w:rFonts w:ascii="Times New Roman" w:hAnsi="Times New Roman" w:cs="Times New Roman"/>
        </w:rPr>
        <w:t>the mother appealed from a December 2024 Family Court order which, after a hearing, awarded the parties joint legal custody, with final decision-making and physical custody of the subject child to the</w:t>
      </w:r>
      <w:r>
        <w:rPr>
          <w:rFonts w:ascii="Times New Roman" w:hAnsi="Times New Roman" w:cs="Times New Roman"/>
        </w:rPr>
        <w:t xml:space="preserve"> father</w:t>
      </w:r>
      <w:r w:rsidRPr="00BC5335">
        <w:rPr>
          <w:rFonts w:ascii="Times New Roman" w:hAnsi="Times New Roman" w:cs="Times New Roman"/>
        </w:rPr>
        <w:t>. The First Department affirmed, holding: “</w:t>
      </w:r>
      <w:r w:rsidRPr="005B3962">
        <w:rPr>
          <w:rFonts w:ascii="Times New Roman" w:hAnsi="Times New Roman" w:cs="Times New Roman"/>
        </w:rPr>
        <w:t>Joint legal custody was appropriate in this case because the parties</w:t>
      </w:r>
      <w:r w:rsidRPr="00BC5335">
        <w:rPr>
          <w:rFonts w:ascii="Times New Roman" w:hAnsi="Times New Roman" w:cs="Times New Roman"/>
        </w:rPr>
        <w:t>’</w:t>
      </w:r>
      <w:r w:rsidRPr="005B3962">
        <w:rPr>
          <w:rFonts w:ascii="Times New Roman" w:hAnsi="Times New Roman" w:cs="Times New Roman"/>
        </w:rPr>
        <w:t xml:space="preserve"> relationship was not characterized by such level of acrimony and mistrust that would render joint custody unworkable</w:t>
      </w:r>
      <w:r w:rsidRPr="00BC5335">
        <w:rPr>
          <w:rFonts w:ascii="Times New Roman" w:hAnsi="Times New Roman" w:cs="Times New Roman"/>
        </w:rPr>
        <w:t xml:space="preserve"> (citation omitted)”; and although “</w:t>
      </w:r>
      <w:r w:rsidRPr="005B3962">
        <w:rPr>
          <w:rFonts w:ascii="Times New Roman" w:hAnsi="Times New Roman" w:cs="Times New Roman"/>
        </w:rPr>
        <w:t>the mother had limited direct involvement in the child</w:t>
      </w:r>
      <w:r w:rsidRPr="00BC5335">
        <w:rPr>
          <w:rFonts w:ascii="Times New Roman" w:hAnsi="Times New Roman" w:cs="Times New Roman"/>
        </w:rPr>
        <w:t>’</w:t>
      </w:r>
      <w:r w:rsidRPr="005B3962">
        <w:rPr>
          <w:rFonts w:ascii="Times New Roman" w:hAnsi="Times New Roman" w:cs="Times New Roman"/>
        </w:rPr>
        <w:t>s education and medical care, this was due in part to the father</w:t>
      </w:r>
      <w:r w:rsidRPr="00BC5335">
        <w:rPr>
          <w:rFonts w:ascii="Times New Roman" w:hAnsi="Times New Roman" w:cs="Times New Roman"/>
        </w:rPr>
        <w:t>’</w:t>
      </w:r>
      <w:r w:rsidRPr="005B3962">
        <w:rPr>
          <w:rFonts w:ascii="Times New Roman" w:hAnsi="Times New Roman" w:cs="Times New Roman"/>
        </w:rPr>
        <w:t>s failure to share information with her regarding the child's schooling and medical issues, as well as his insufficient efforts to foster the relationship between her and the child.</w:t>
      </w:r>
      <w:r w:rsidRPr="00BC5335">
        <w:rPr>
          <w:rFonts w:ascii="Times New Roman" w:hAnsi="Times New Roman" w:cs="Times New Roman"/>
        </w:rPr>
        <w:t>” The Appellate Division held that “</w:t>
      </w:r>
      <w:r w:rsidRPr="005B3962">
        <w:rPr>
          <w:rFonts w:ascii="Times New Roman" w:hAnsi="Times New Roman" w:cs="Times New Roman"/>
        </w:rPr>
        <w:t>Family Court properly awarded the father final decision-making authority after consultation with the mother, given that the father had been the child's primary caregiver who had taken care of all his needs for several years</w:t>
      </w:r>
      <w:r w:rsidRPr="00BC5335">
        <w:rPr>
          <w:rFonts w:ascii="Times New Roman" w:hAnsi="Times New Roman" w:cs="Times New Roman"/>
        </w:rPr>
        <w:t>” and</w:t>
      </w:r>
      <w:r w:rsidRPr="005B3962">
        <w:rPr>
          <w:rFonts w:ascii="Times New Roman" w:hAnsi="Times New Roman" w:cs="Times New Roman"/>
        </w:rPr>
        <w:t xml:space="preserve"> </w:t>
      </w:r>
      <w:r w:rsidRPr="00BC5335">
        <w:rPr>
          <w:rFonts w:ascii="Times New Roman" w:hAnsi="Times New Roman" w:cs="Times New Roman"/>
        </w:rPr>
        <w:t>“</w:t>
      </w:r>
      <w:r w:rsidRPr="005B3962">
        <w:rPr>
          <w:rFonts w:ascii="Times New Roman" w:hAnsi="Times New Roman" w:cs="Times New Roman"/>
        </w:rPr>
        <w:t>enrolled the child in school, arranged and attended his medical appointments, and enrolled him in health insurance.</w:t>
      </w:r>
      <w:r w:rsidRPr="00BC5335">
        <w:rPr>
          <w:rFonts w:ascii="Times New Roman" w:hAnsi="Times New Roman" w:cs="Times New Roman"/>
        </w:rPr>
        <w:t>”</w:t>
      </w:r>
      <w:r w:rsidRPr="005B3962">
        <w:rPr>
          <w:rFonts w:ascii="Times New Roman" w:hAnsi="Times New Roman" w:cs="Times New Roman"/>
        </w:rPr>
        <w:t xml:space="preserve"> </w:t>
      </w:r>
      <w:r w:rsidRPr="00BC5335">
        <w:rPr>
          <w:rFonts w:ascii="Times New Roman" w:hAnsi="Times New Roman" w:cs="Times New Roman"/>
        </w:rPr>
        <w:t>The Court concluded that “</w:t>
      </w:r>
      <w:r w:rsidRPr="005B3962">
        <w:rPr>
          <w:rFonts w:ascii="Times New Roman" w:hAnsi="Times New Roman" w:cs="Times New Roman"/>
        </w:rPr>
        <w:t>primary physical custody to the father was in the best interests of the child</w:t>
      </w:r>
      <w:r w:rsidRPr="00BC5335">
        <w:rPr>
          <w:rFonts w:ascii="Times New Roman" w:hAnsi="Times New Roman" w:cs="Times New Roman"/>
        </w:rPr>
        <w:t>,” it being</w:t>
      </w:r>
      <w:r w:rsidRPr="005B3962">
        <w:rPr>
          <w:rFonts w:ascii="Times New Roman" w:hAnsi="Times New Roman" w:cs="Times New Roman"/>
        </w:rPr>
        <w:t xml:space="preserve"> </w:t>
      </w:r>
      <w:r w:rsidRPr="00BC5335">
        <w:rPr>
          <w:rFonts w:ascii="Times New Roman" w:hAnsi="Times New Roman" w:cs="Times New Roman"/>
        </w:rPr>
        <w:t>“</w:t>
      </w:r>
      <w:r w:rsidRPr="005B3962">
        <w:rPr>
          <w:rFonts w:ascii="Times New Roman" w:hAnsi="Times New Roman" w:cs="Times New Roman"/>
        </w:rPr>
        <w:t>undisputed that the father has been the child's primary caretaker for the vast majority of the child</w:t>
      </w:r>
      <w:r w:rsidRPr="00BC5335">
        <w:rPr>
          <w:rFonts w:ascii="Times New Roman" w:hAnsi="Times New Roman" w:cs="Times New Roman"/>
        </w:rPr>
        <w:t>’</w:t>
      </w:r>
      <w:r w:rsidRPr="005B3962">
        <w:rPr>
          <w:rFonts w:ascii="Times New Roman" w:hAnsi="Times New Roman" w:cs="Times New Roman"/>
        </w:rPr>
        <w:t>s life</w:t>
      </w:r>
      <w:r w:rsidRPr="00BC5335">
        <w:rPr>
          <w:rFonts w:ascii="Times New Roman" w:hAnsi="Times New Roman" w:cs="Times New Roman"/>
        </w:rPr>
        <w:t>.”</w:t>
      </w:r>
    </w:p>
    <w:p w14:paraId="09A29238" w14:textId="77777777" w:rsidR="001A37A7" w:rsidRDefault="001A37A7" w:rsidP="007413B0">
      <w:pPr>
        <w:pStyle w:val="Heading2"/>
        <w:numPr>
          <w:ilvl w:val="0"/>
          <w:numId w:val="0"/>
        </w:numPr>
        <w:tabs>
          <w:tab w:val="left" w:pos="6210"/>
        </w:tabs>
        <w:spacing w:line="240" w:lineRule="auto"/>
        <w:jc w:val="both"/>
        <w:rPr>
          <w:rFonts w:ascii="Times New Roman" w:hAnsi="Times New Roman" w:cs="Times New Roman"/>
        </w:rPr>
      </w:pPr>
    </w:p>
    <w:p w14:paraId="01AF1A39" w14:textId="1A586D0B" w:rsidR="001A37A7" w:rsidRPr="00783484" w:rsidRDefault="00783484" w:rsidP="001A37A7">
      <w:pPr>
        <w:pStyle w:val="Heading2"/>
        <w:numPr>
          <w:ilvl w:val="0"/>
          <w:numId w:val="0"/>
        </w:numPr>
        <w:tabs>
          <w:tab w:val="left" w:pos="90"/>
        </w:tabs>
        <w:spacing w:line="240" w:lineRule="auto"/>
        <w:jc w:val="both"/>
        <w:rPr>
          <w:rFonts w:ascii="Times New Roman" w:hAnsi="Times New Roman" w:cs="Times New Roman"/>
          <w:b/>
          <w:bCs/>
        </w:rPr>
      </w:pPr>
      <w:r>
        <w:rPr>
          <w:rFonts w:ascii="Times New Roman" w:hAnsi="Times New Roman" w:cs="Times New Roman"/>
          <w:b/>
          <w:bCs/>
        </w:rPr>
        <w:t xml:space="preserve">Custody - </w:t>
      </w:r>
      <w:r w:rsidR="001A37A7" w:rsidRPr="00783484">
        <w:rPr>
          <w:rFonts w:ascii="Times New Roman" w:hAnsi="Times New Roman" w:cs="Times New Roman"/>
          <w:b/>
          <w:bCs/>
        </w:rPr>
        <w:t>Modification – Joint and Shared with Third Party to Sole to Father – Deterioration of Relationship, Step- and Half Sibling Bonds, Structure for Child</w:t>
      </w:r>
    </w:p>
    <w:p w14:paraId="09762C07" w14:textId="77777777" w:rsidR="00783484" w:rsidRDefault="00783484" w:rsidP="001A37A7">
      <w:pPr>
        <w:pStyle w:val="Heading2"/>
        <w:numPr>
          <w:ilvl w:val="0"/>
          <w:numId w:val="0"/>
        </w:numPr>
        <w:tabs>
          <w:tab w:val="left" w:pos="90"/>
        </w:tabs>
        <w:spacing w:line="240" w:lineRule="auto"/>
        <w:jc w:val="both"/>
        <w:rPr>
          <w:rFonts w:ascii="Times New Roman" w:hAnsi="Times New Roman" w:cs="Times New Roman"/>
        </w:rPr>
      </w:pPr>
    </w:p>
    <w:p w14:paraId="1A9C8536" w14:textId="3E53CB80" w:rsidR="001A37A7" w:rsidRDefault="00783484" w:rsidP="001A37A7">
      <w:pPr>
        <w:pStyle w:val="Heading2"/>
        <w:numPr>
          <w:ilvl w:val="0"/>
          <w:numId w:val="0"/>
        </w:numPr>
        <w:tabs>
          <w:tab w:val="left" w:pos="6210"/>
        </w:tabs>
        <w:spacing w:line="240" w:lineRule="auto"/>
        <w:jc w:val="both"/>
        <w:rPr>
          <w:rFonts w:ascii="Times New Roman" w:hAnsi="Times New Roman" w:cs="Times New Roman"/>
        </w:rPr>
      </w:pPr>
      <w:r>
        <w:rPr>
          <w:rFonts w:ascii="Times New Roman" w:hAnsi="Times New Roman" w:cs="Times New Roman"/>
        </w:rPr>
        <w:tab/>
      </w:r>
      <w:r w:rsidR="001A37A7">
        <w:rPr>
          <w:rFonts w:ascii="Times New Roman" w:hAnsi="Times New Roman" w:cs="Times New Roman"/>
        </w:rPr>
        <w:t xml:space="preserve">In </w:t>
      </w:r>
      <w:r w:rsidR="001A37A7" w:rsidRPr="00783484">
        <w:rPr>
          <w:rFonts w:ascii="Times New Roman" w:hAnsi="Times New Roman" w:cs="Times New Roman"/>
          <w:b/>
          <w:bCs/>
          <w:i/>
          <w:iCs/>
        </w:rPr>
        <w:t>Matter of Luis UU. V. Edith VV.</w:t>
      </w:r>
      <w:r w:rsidR="001A37A7">
        <w:rPr>
          <w:rFonts w:ascii="Times New Roman" w:hAnsi="Times New Roman" w:cs="Times New Roman"/>
        </w:rPr>
        <w:t xml:space="preserve">, 2025 Westlaw 2980590 (3d Dept. Oct. 23, 2025), the third party, to whom the child born in 2013 is not related but who is called his grandmother (grandmother), appealed from a July 2024 Family Court order which, following fact-finding and </w:t>
      </w:r>
      <w:r w:rsidR="001A37A7" w:rsidRPr="00E15BAF">
        <w:rPr>
          <w:rFonts w:ascii="Times New Roman" w:hAnsi="Times New Roman" w:cs="Times New Roman"/>
          <w:i/>
          <w:iCs/>
        </w:rPr>
        <w:t>Lincoln</w:t>
      </w:r>
      <w:r w:rsidR="001A37A7">
        <w:rPr>
          <w:rFonts w:ascii="Times New Roman" w:hAnsi="Times New Roman" w:cs="Times New Roman"/>
        </w:rPr>
        <w:t xml:space="preserve"> hearings upon the father’s December 2023 petition for modification of a January 2023 consent order (joint legal and shared physical custody, final decision-making to grandmother), granted him legal and physical custody, with time to the grandmother. Prior to the January 2023 Order, the grandmother had custody of the child beginning in 2019. The father was incarcerated until April 2022 and did not know he was the child’s father for much of the child’s life. The father received supervised visitation following his release from prison. The Third Department affirmed, finding that the father established the requisite change of circumstances by showing: “the shared custody arrangement *** required exceptionally close coordination between the father and the grandmother”; “medical and educational appointments would be scheduled, canceled and rescheduled without notification to the father, who could not always attend *** due to his employment”; and “the father and grandmother hardly spoke, communicating through the father’s wife usually by text message or phone.” The Appellate Division concluded that Family Court properly granted custody to the father, noting: the child’s step- and half siblings “are close in age to [him] and [he] *** has bonded” with them; and the “father’s household *** is more structured and rule based, and he, his wife and their children have experience helping the child regulate his emotions.”</w:t>
      </w:r>
    </w:p>
    <w:p w14:paraId="651809C8" w14:textId="77777777" w:rsidR="007413B0" w:rsidRDefault="007413B0" w:rsidP="007413B0">
      <w:pPr>
        <w:pStyle w:val="Heading2"/>
        <w:numPr>
          <w:ilvl w:val="0"/>
          <w:numId w:val="0"/>
        </w:numPr>
        <w:tabs>
          <w:tab w:val="left" w:pos="6210"/>
        </w:tabs>
        <w:spacing w:line="240" w:lineRule="auto"/>
        <w:jc w:val="both"/>
        <w:rPr>
          <w:rFonts w:ascii="Times New Roman" w:hAnsi="Times New Roman" w:cs="Times New Roman"/>
        </w:rPr>
      </w:pPr>
    </w:p>
    <w:p w14:paraId="6208EAE0" w14:textId="77777777" w:rsidR="001F7222" w:rsidRPr="00920DA8" w:rsidRDefault="001F7222" w:rsidP="001F7222">
      <w:pPr>
        <w:pStyle w:val="Heading2"/>
        <w:numPr>
          <w:ilvl w:val="0"/>
          <w:numId w:val="0"/>
        </w:numPr>
      </w:pPr>
      <w:r>
        <w:rPr>
          <w:rFonts w:ascii="Times New Roman" w:hAnsi="Times New Roman" w:cs="Times New Roman"/>
          <w:b/>
          <w:bCs/>
        </w:rPr>
        <w:t xml:space="preserve">Custody – </w:t>
      </w:r>
      <w:r w:rsidRPr="001F7222">
        <w:rPr>
          <w:rFonts w:ascii="Times New Roman" w:hAnsi="Times New Roman" w:cs="Times New Roman"/>
          <w:b/>
          <w:bCs/>
        </w:rPr>
        <w:t>Sole – Child’s Wishes, Domestic Violence, Primary Caretaker</w:t>
      </w:r>
    </w:p>
    <w:p w14:paraId="2B3D1C31" w14:textId="09E5DB5E" w:rsidR="001F7222" w:rsidRDefault="001F7222" w:rsidP="001F7222">
      <w:pPr>
        <w:pStyle w:val="Heading2"/>
        <w:numPr>
          <w:ilvl w:val="0"/>
          <w:numId w:val="0"/>
        </w:numPr>
        <w:tabs>
          <w:tab w:val="left" w:pos="6210"/>
        </w:tabs>
        <w:spacing w:line="240" w:lineRule="auto"/>
        <w:jc w:val="both"/>
        <w:rPr>
          <w:rFonts w:ascii="Times New Roman" w:hAnsi="Times New Roman" w:cs="Times New Roman"/>
          <w:b/>
          <w:bCs/>
        </w:rPr>
      </w:pPr>
      <w:r>
        <w:rPr>
          <w:rFonts w:ascii="Times New Roman" w:hAnsi="Times New Roman" w:cs="Times New Roman"/>
        </w:rPr>
        <w:tab/>
        <w:t xml:space="preserve">In </w:t>
      </w:r>
      <w:r w:rsidRPr="001F7222">
        <w:rPr>
          <w:rFonts w:ascii="Times New Roman" w:hAnsi="Times New Roman" w:cs="Times New Roman"/>
          <w:b/>
          <w:bCs/>
          <w:i/>
          <w:iCs/>
        </w:rPr>
        <w:t>Matter of Darryl M. v. Shaniqua D.</w:t>
      </w:r>
      <w:r>
        <w:rPr>
          <w:rFonts w:ascii="Times New Roman" w:hAnsi="Times New Roman" w:cs="Times New Roman"/>
        </w:rPr>
        <w:t>, 2</w:t>
      </w:r>
      <w:r w:rsidR="002359AD">
        <w:rPr>
          <w:rFonts w:ascii="Times New Roman" w:hAnsi="Times New Roman" w:cs="Times New Roman"/>
        </w:rPr>
        <w:t>41 NYS3d 44</w:t>
      </w:r>
      <w:r>
        <w:rPr>
          <w:rFonts w:ascii="Times New Roman" w:hAnsi="Times New Roman" w:cs="Times New Roman"/>
        </w:rPr>
        <w:t xml:space="preserve"> (1</w:t>
      </w:r>
      <w:r w:rsidRPr="00920DA8">
        <w:rPr>
          <w:rFonts w:ascii="Times New Roman" w:hAnsi="Times New Roman" w:cs="Times New Roman"/>
          <w:vertAlign w:val="superscript"/>
        </w:rPr>
        <w:t>st</w:t>
      </w:r>
      <w:r>
        <w:rPr>
          <w:rFonts w:ascii="Times New Roman" w:hAnsi="Times New Roman" w:cs="Times New Roman"/>
        </w:rPr>
        <w:t xml:space="preserve"> Dept. Oct. 14, 2025), the mother appealed from a February 2025 Family Court order which, after a hearing, granted sole legal and </w:t>
      </w:r>
      <w:r>
        <w:rPr>
          <w:rFonts w:ascii="Times New Roman" w:hAnsi="Times New Roman" w:cs="Times New Roman"/>
        </w:rPr>
        <w:lastRenderedPageBreak/>
        <w:t xml:space="preserve">physical custody to the father. The First Department affirmed, noting that: the father “was the child’s primary caretaker and provided for the child’s daily needs, as well as his medical and educational needs (citation omitted)”; and “[t]he mother, on the other hand, visited with the child only eight times since he started living with the father and maintained only sporadic </w:t>
      </w:r>
      <w:r w:rsidR="009507F4">
        <w:rPr>
          <w:rFonts w:ascii="Times New Roman" w:hAnsi="Times New Roman" w:cs="Times New Roman"/>
        </w:rPr>
        <w:t xml:space="preserve">contact </w:t>
      </w:r>
      <w:r>
        <w:rPr>
          <w:rFonts w:ascii="Times New Roman" w:hAnsi="Times New Roman" w:cs="Times New Roman"/>
        </w:rPr>
        <w:t>with him by te</w:t>
      </w:r>
      <w:r w:rsidR="009507F4">
        <w:rPr>
          <w:rFonts w:ascii="Times New Roman" w:hAnsi="Times New Roman" w:cs="Times New Roman"/>
        </w:rPr>
        <w:t>x</w:t>
      </w:r>
      <w:r>
        <w:rPr>
          <w:rFonts w:ascii="Times New Roman" w:hAnsi="Times New Roman" w:cs="Times New Roman"/>
        </w:rPr>
        <w:t xml:space="preserve">t message”; “the mother acknowledged that she neither notified the court of these changes nor petitioned the court for a revision to the visitation schedule”; “the child’s position (age unspecified), as stated by attorney for the child, that he wished to remain with the father”; and “the mother’s home is not appropriate for the child because she continues to live with her partner, who has a history of domestic violence against the child </w:t>
      </w:r>
      <w:r w:rsidR="00C07965">
        <w:rPr>
          <w:rFonts w:ascii="Times New Roman" w:hAnsi="Times New Roman" w:cs="Times New Roman"/>
        </w:rPr>
        <w:t xml:space="preserve">and </w:t>
      </w:r>
      <w:r>
        <w:rPr>
          <w:rFonts w:ascii="Times New Roman" w:hAnsi="Times New Roman" w:cs="Times New Roman"/>
        </w:rPr>
        <w:t>with whom the child wishes to have no contact.”</w:t>
      </w:r>
      <w:r>
        <w:rPr>
          <w:rFonts w:ascii="Times New Roman" w:hAnsi="Times New Roman" w:cs="Times New Roman"/>
          <w:b/>
          <w:bCs/>
        </w:rPr>
        <w:t xml:space="preserve"> </w:t>
      </w:r>
    </w:p>
    <w:p w14:paraId="5211ABB1" w14:textId="77777777" w:rsidR="001F7222" w:rsidRDefault="001F7222" w:rsidP="007413B0">
      <w:pPr>
        <w:pStyle w:val="Heading2"/>
        <w:numPr>
          <w:ilvl w:val="0"/>
          <w:numId w:val="0"/>
        </w:numPr>
        <w:tabs>
          <w:tab w:val="left" w:pos="6210"/>
        </w:tabs>
        <w:spacing w:line="240" w:lineRule="auto"/>
        <w:jc w:val="both"/>
        <w:rPr>
          <w:rFonts w:ascii="Times New Roman" w:hAnsi="Times New Roman" w:cs="Times New Roman"/>
          <w:b/>
          <w:bCs/>
        </w:rPr>
      </w:pPr>
    </w:p>
    <w:p w14:paraId="2E4C478C" w14:textId="3412D8BD" w:rsidR="007413B0" w:rsidRDefault="007413B0" w:rsidP="007413B0">
      <w:pPr>
        <w:pStyle w:val="Heading2"/>
        <w:numPr>
          <w:ilvl w:val="0"/>
          <w:numId w:val="0"/>
        </w:numPr>
        <w:tabs>
          <w:tab w:val="left" w:pos="6210"/>
        </w:tabs>
        <w:spacing w:line="240" w:lineRule="auto"/>
        <w:jc w:val="both"/>
        <w:rPr>
          <w:rFonts w:ascii="Times New Roman" w:hAnsi="Times New Roman" w:cs="Times New Roman"/>
          <w:b/>
          <w:bCs/>
        </w:rPr>
      </w:pPr>
      <w:r w:rsidRPr="007413B0">
        <w:rPr>
          <w:rFonts w:ascii="Times New Roman" w:hAnsi="Times New Roman" w:cs="Times New Roman"/>
          <w:b/>
          <w:bCs/>
        </w:rPr>
        <w:t>Custody – Relocation</w:t>
      </w:r>
      <w:r>
        <w:rPr>
          <w:rFonts w:ascii="Times New Roman" w:hAnsi="Times New Roman" w:cs="Times New Roman"/>
          <w:b/>
          <w:bCs/>
        </w:rPr>
        <w:t xml:space="preserve"> (Seneca County – Kentucky)</w:t>
      </w:r>
    </w:p>
    <w:p w14:paraId="0629F563" w14:textId="12B79708" w:rsidR="007413B0" w:rsidRDefault="007413B0" w:rsidP="007413B0">
      <w:pPr>
        <w:pStyle w:val="Heading2"/>
        <w:numPr>
          <w:ilvl w:val="0"/>
          <w:numId w:val="0"/>
        </w:numPr>
        <w:tabs>
          <w:tab w:val="left" w:pos="6210"/>
        </w:tabs>
        <w:spacing w:line="240" w:lineRule="auto"/>
        <w:jc w:val="both"/>
        <w:rPr>
          <w:rFonts w:ascii="Times New Roman" w:hAnsi="Times New Roman" w:cs="Times New Roman"/>
          <w:b/>
          <w:bCs/>
        </w:rPr>
      </w:pPr>
      <w:r>
        <w:rPr>
          <w:rFonts w:ascii="Times New Roman" w:hAnsi="Times New Roman" w:cs="Times New Roman"/>
          <w:b/>
          <w:bCs/>
        </w:rPr>
        <w:tab/>
      </w:r>
    </w:p>
    <w:p w14:paraId="5D74791E" w14:textId="39C8A6B8" w:rsidR="00D71EA0" w:rsidRDefault="007413B0" w:rsidP="002359AD">
      <w:pPr>
        <w:pStyle w:val="Heading2"/>
        <w:numPr>
          <w:ilvl w:val="0"/>
          <w:numId w:val="0"/>
        </w:numPr>
        <w:tabs>
          <w:tab w:val="left" w:pos="6210"/>
        </w:tabs>
        <w:spacing w:line="240" w:lineRule="auto"/>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In </w:t>
      </w:r>
      <w:r w:rsidRPr="007413B0">
        <w:rPr>
          <w:rFonts w:ascii="Times New Roman" w:hAnsi="Times New Roman" w:cs="Times New Roman"/>
          <w:b/>
          <w:bCs/>
          <w:i/>
          <w:iCs/>
        </w:rPr>
        <w:t xml:space="preserve">Matter of Hart v. </w:t>
      </w:r>
      <w:proofErr w:type="spellStart"/>
      <w:r w:rsidRPr="007413B0">
        <w:rPr>
          <w:rFonts w:ascii="Times New Roman" w:hAnsi="Times New Roman" w:cs="Times New Roman"/>
          <w:b/>
          <w:bCs/>
          <w:i/>
          <w:iCs/>
        </w:rPr>
        <w:t>Lonneville</w:t>
      </w:r>
      <w:proofErr w:type="spellEnd"/>
      <w:r>
        <w:rPr>
          <w:rFonts w:ascii="Times New Roman" w:hAnsi="Times New Roman" w:cs="Times New Roman"/>
        </w:rPr>
        <w:t xml:space="preserve">, </w:t>
      </w:r>
      <w:r w:rsidR="002359AD">
        <w:rPr>
          <w:rFonts w:ascii="Times New Roman" w:hAnsi="Times New Roman" w:cs="Times New Roman"/>
        </w:rPr>
        <w:t>240 NYS3d 625</w:t>
      </w:r>
      <w:r>
        <w:rPr>
          <w:rFonts w:ascii="Times New Roman" w:hAnsi="Times New Roman" w:cs="Times New Roman"/>
        </w:rPr>
        <w:t xml:space="preserve"> (4</w:t>
      </w:r>
      <w:r w:rsidRPr="00125024">
        <w:rPr>
          <w:rFonts w:ascii="Times New Roman" w:hAnsi="Times New Roman" w:cs="Times New Roman"/>
          <w:vertAlign w:val="superscript"/>
        </w:rPr>
        <w:t>th</w:t>
      </w:r>
      <w:r>
        <w:rPr>
          <w:rFonts w:ascii="Times New Roman" w:hAnsi="Times New Roman" w:cs="Times New Roman"/>
        </w:rPr>
        <w:t xml:space="preserve"> Dept. Oct. 3, 2025), the mother appealed from a January 2024 Family Court Order, which modified a prior order and </w:t>
      </w:r>
      <w:r w:rsidRPr="00C47349">
        <w:rPr>
          <w:rFonts w:ascii="Times New Roman" w:hAnsi="Times New Roman" w:cs="Times New Roman"/>
        </w:rPr>
        <w:t>granted the father sole legal custody of the subject child and permitted him to relocate from Seneca County to Kentucky. The Fourth Department affirmed, concluding that “</w:t>
      </w:r>
      <w:r w:rsidRPr="00125024">
        <w:rPr>
          <w:rFonts w:ascii="Times New Roman" w:hAnsi="Times New Roman" w:cs="Times New Roman"/>
        </w:rPr>
        <w:t xml:space="preserve">the record supports Family Court's determination that it is in the best interests of the child to allow the father to relocate the child to Kentucky. The record reflects that while living with the mother, the child resided in substandard housing for a prolonged </w:t>
      </w:r>
      <w:proofErr w:type="gramStart"/>
      <w:r w:rsidRPr="00125024">
        <w:rPr>
          <w:rFonts w:ascii="Times New Roman" w:hAnsi="Times New Roman" w:cs="Times New Roman"/>
        </w:rPr>
        <w:t>period of time</w:t>
      </w:r>
      <w:proofErr w:type="gramEnd"/>
      <w:r w:rsidRPr="00125024">
        <w:rPr>
          <w:rFonts w:ascii="Times New Roman" w:hAnsi="Times New Roman" w:cs="Times New Roman"/>
        </w:rPr>
        <w:t xml:space="preserve"> without the mother having any credible plans to remedy the situation. Indeed, the mother testified that she was residing with her boyfriend, the child, and another infant in a camper without a working toilet. Further, while living with the mother, the child did not have his own room and slept on a pull-out couch.</w:t>
      </w:r>
      <w:r w:rsidRPr="00C47349">
        <w:rPr>
          <w:rFonts w:ascii="Times New Roman" w:hAnsi="Times New Roman" w:cs="Times New Roman"/>
        </w:rPr>
        <w:t>” While noting that “</w:t>
      </w:r>
      <w:r w:rsidRPr="00125024">
        <w:rPr>
          <w:rFonts w:ascii="Times New Roman" w:hAnsi="Times New Roman" w:cs="Times New Roman"/>
        </w:rPr>
        <w:t>the mother testified that she had</w:t>
      </w:r>
      <w:r w:rsidRPr="00C47349">
        <w:rPr>
          <w:rFonts w:ascii="Times New Roman" w:hAnsi="Times New Roman" w:cs="Times New Roman"/>
        </w:rPr>
        <w:t xml:space="preserve"> </w:t>
      </w:r>
      <w:r w:rsidRPr="00125024">
        <w:rPr>
          <w:rFonts w:ascii="Times New Roman" w:hAnsi="Times New Roman" w:cs="Times New Roman"/>
        </w:rPr>
        <w:t>funds saved toward a down payment for a home and hoped to purchase a home in the near future,</w:t>
      </w:r>
      <w:r w:rsidRPr="00C47349">
        <w:rPr>
          <w:rFonts w:ascii="Times New Roman" w:hAnsi="Times New Roman" w:cs="Times New Roman"/>
        </w:rPr>
        <w:t>” the Appellate Division upheld Family Court’s finding that “</w:t>
      </w:r>
      <w:r w:rsidRPr="00125024">
        <w:rPr>
          <w:rFonts w:ascii="Times New Roman" w:hAnsi="Times New Roman" w:cs="Times New Roman"/>
        </w:rPr>
        <w:t>the mother lacked a credible plan to improve her living situation, particularly where she had no reliable vehicle, had no working toilet in the camper, and could not explain why her boyfriend did not apply for unemployment benefits when he was not working in the winter.</w:t>
      </w:r>
      <w:r w:rsidRPr="00C47349">
        <w:rPr>
          <w:rFonts w:ascii="Times New Roman" w:hAnsi="Times New Roman" w:cs="Times New Roman"/>
        </w:rPr>
        <w:t>” In contrast, the Court observed that “</w:t>
      </w:r>
      <w:r w:rsidRPr="00125024">
        <w:rPr>
          <w:rFonts w:ascii="Times New Roman" w:hAnsi="Times New Roman" w:cs="Times New Roman"/>
        </w:rPr>
        <w:t xml:space="preserve">the father had a household income nearly five times that of the mother, and he recently purchased a new home where the child could have his own room </w:t>
      </w:r>
      <w:r w:rsidRPr="00C47349">
        <w:rPr>
          <w:rFonts w:ascii="Times New Roman" w:hAnsi="Times New Roman" w:cs="Times New Roman"/>
        </w:rPr>
        <w:t>(citations omitted)” and he “</w:t>
      </w:r>
      <w:r w:rsidRPr="00125024">
        <w:rPr>
          <w:rFonts w:ascii="Times New Roman" w:hAnsi="Times New Roman" w:cs="Times New Roman"/>
        </w:rPr>
        <w:t>would also be able to enroll the child in sports and other activities after relocation to Kentucky, and the child would attend the elementary school that the father</w:t>
      </w:r>
      <w:r w:rsidRPr="00C47349">
        <w:rPr>
          <w:rFonts w:ascii="Times New Roman" w:hAnsi="Times New Roman" w:cs="Times New Roman"/>
        </w:rPr>
        <w:t>’</w:t>
      </w:r>
      <w:r w:rsidRPr="00125024">
        <w:rPr>
          <w:rFonts w:ascii="Times New Roman" w:hAnsi="Times New Roman" w:cs="Times New Roman"/>
        </w:rPr>
        <w:t>s oldest daughter</w:t>
      </w:r>
      <w:r w:rsidRPr="00C47349">
        <w:rPr>
          <w:rFonts w:ascii="Times New Roman" w:hAnsi="Times New Roman" w:cs="Times New Roman"/>
        </w:rPr>
        <w:t xml:space="preserve"> </w:t>
      </w:r>
      <w:r w:rsidRPr="00125024">
        <w:rPr>
          <w:rFonts w:ascii="Times New Roman" w:hAnsi="Times New Roman" w:cs="Times New Roman"/>
        </w:rPr>
        <w:t>—</w:t>
      </w:r>
      <w:r w:rsidRPr="00C47349">
        <w:rPr>
          <w:rFonts w:ascii="Times New Roman" w:hAnsi="Times New Roman" w:cs="Times New Roman"/>
        </w:rPr>
        <w:t xml:space="preserve"> </w:t>
      </w:r>
      <w:r w:rsidRPr="00125024">
        <w:rPr>
          <w:rFonts w:ascii="Times New Roman" w:hAnsi="Times New Roman" w:cs="Times New Roman"/>
        </w:rPr>
        <w:t>the child's step-sister</w:t>
      </w:r>
      <w:r w:rsidRPr="00C47349">
        <w:rPr>
          <w:rFonts w:ascii="Times New Roman" w:hAnsi="Times New Roman" w:cs="Times New Roman"/>
        </w:rPr>
        <w:t xml:space="preserve"> </w:t>
      </w:r>
      <w:r w:rsidRPr="00125024">
        <w:rPr>
          <w:rFonts w:ascii="Times New Roman" w:hAnsi="Times New Roman" w:cs="Times New Roman"/>
        </w:rPr>
        <w:t>—</w:t>
      </w:r>
      <w:r w:rsidRPr="00C47349">
        <w:rPr>
          <w:rFonts w:ascii="Times New Roman" w:hAnsi="Times New Roman" w:cs="Times New Roman"/>
        </w:rPr>
        <w:t xml:space="preserve"> </w:t>
      </w:r>
      <w:r w:rsidRPr="00125024">
        <w:rPr>
          <w:rFonts w:ascii="Times New Roman" w:hAnsi="Times New Roman" w:cs="Times New Roman"/>
        </w:rPr>
        <w:t>currently attends.</w:t>
      </w:r>
      <w:r w:rsidRPr="00C47349">
        <w:rPr>
          <w:rFonts w:ascii="Times New Roman" w:hAnsi="Times New Roman" w:cs="Times New Roman"/>
        </w:rPr>
        <w:t>”</w:t>
      </w:r>
    </w:p>
    <w:p w14:paraId="649E682B" w14:textId="77777777" w:rsidR="006C66A9" w:rsidRDefault="006C66A9" w:rsidP="002359AD">
      <w:pPr>
        <w:pStyle w:val="Heading2"/>
        <w:numPr>
          <w:ilvl w:val="0"/>
          <w:numId w:val="0"/>
        </w:numPr>
        <w:tabs>
          <w:tab w:val="left" w:pos="6210"/>
        </w:tabs>
        <w:spacing w:line="240" w:lineRule="auto"/>
        <w:jc w:val="both"/>
        <w:rPr>
          <w:rFonts w:ascii="Times New Roman" w:hAnsi="Times New Roman" w:cs="Times New Roman"/>
        </w:rPr>
      </w:pPr>
    </w:p>
    <w:p w14:paraId="15CD043E" w14:textId="77777777" w:rsidR="006C66A9" w:rsidRPr="003E2392" w:rsidRDefault="006C66A9" w:rsidP="003E2392">
      <w:pPr>
        <w:pStyle w:val="Heading2"/>
        <w:numPr>
          <w:ilvl w:val="0"/>
          <w:numId w:val="0"/>
        </w:numPr>
        <w:jc w:val="both"/>
        <w:rPr>
          <w:rFonts w:ascii="Times New Roman" w:hAnsi="Times New Roman" w:cs="Times New Roman"/>
          <w:b/>
          <w:bCs/>
        </w:rPr>
      </w:pPr>
      <w:r w:rsidRPr="003E2392">
        <w:rPr>
          <w:rFonts w:ascii="Times New Roman" w:hAnsi="Times New Roman" w:cs="Times New Roman"/>
          <w:b/>
          <w:bCs/>
        </w:rPr>
        <w:t xml:space="preserve">Custody - </w:t>
      </w:r>
      <w:bookmarkStart w:id="0" w:name="_Hlk212757217"/>
      <w:r w:rsidRPr="003E2392">
        <w:rPr>
          <w:rFonts w:ascii="Times New Roman" w:hAnsi="Times New Roman" w:cs="Times New Roman"/>
          <w:b/>
          <w:bCs/>
        </w:rPr>
        <w:t>Third Party (Grandmother) – Petition Dismissed – Visitation Denied</w:t>
      </w:r>
      <w:bookmarkEnd w:id="0"/>
    </w:p>
    <w:p w14:paraId="5EE2488E" w14:textId="53BBAA25" w:rsidR="006C66A9" w:rsidRDefault="006C66A9" w:rsidP="006C66A9">
      <w:pPr>
        <w:pStyle w:val="Heading2"/>
        <w:numPr>
          <w:ilvl w:val="0"/>
          <w:numId w:val="0"/>
        </w:numPr>
        <w:tabs>
          <w:tab w:val="left" w:pos="6210"/>
        </w:tabs>
        <w:spacing w:line="240" w:lineRule="auto"/>
        <w:jc w:val="both"/>
        <w:rPr>
          <w:rFonts w:ascii="Times New Roman" w:hAnsi="Times New Roman" w:cs="Times New Roman"/>
        </w:rPr>
      </w:pPr>
      <w:r>
        <w:rPr>
          <w:rFonts w:ascii="Times New Roman" w:hAnsi="Times New Roman" w:cs="Times New Roman"/>
        </w:rPr>
        <w:tab/>
        <w:t xml:space="preserve">In </w:t>
      </w:r>
      <w:r w:rsidRPr="003E2392">
        <w:rPr>
          <w:rFonts w:ascii="Times New Roman" w:hAnsi="Times New Roman" w:cs="Times New Roman"/>
          <w:b/>
          <w:bCs/>
          <w:i/>
          <w:iCs/>
        </w:rPr>
        <w:t>Matter of Alisa H. v. Ayanna B.</w:t>
      </w:r>
      <w:r>
        <w:rPr>
          <w:rFonts w:ascii="Times New Roman" w:hAnsi="Times New Roman" w:cs="Times New Roman"/>
        </w:rPr>
        <w:t>, 2025 Westlaw 3028586 (1</w:t>
      </w:r>
      <w:r w:rsidRPr="000A2AC9">
        <w:rPr>
          <w:rFonts w:ascii="Times New Roman" w:hAnsi="Times New Roman" w:cs="Times New Roman"/>
          <w:vertAlign w:val="superscript"/>
        </w:rPr>
        <w:t>st</w:t>
      </w:r>
      <w:r>
        <w:rPr>
          <w:rFonts w:ascii="Times New Roman" w:hAnsi="Times New Roman" w:cs="Times New Roman"/>
        </w:rPr>
        <w:t xml:space="preserve"> Dept. Oct. 30, 2025), the paternal grandmother appealed from a September 2024 Family Court order which, after a hearing, dismissed her petition seeking visitation with the subject 2 children. The First Department affirmed, holding that Family Court properly found the grandmother had established standing, through her testimony that “she spent significant time with the children from 2016 *** through early September 2020, when the mother took issue with an approximately one-month trip [she] took with the children to see their father in North Carolina.”</w:t>
      </w:r>
      <w:r w:rsidR="003E2392">
        <w:rPr>
          <w:rFonts w:ascii="Times New Roman" w:hAnsi="Times New Roman" w:cs="Times New Roman"/>
        </w:rPr>
        <w:t xml:space="preserve"> </w:t>
      </w:r>
      <w:r>
        <w:rPr>
          <w:rFonts w:ascii="Times New Roman" w:hAnsi="Times New Roman" w:cs="Times New Roman"/>
        </w:rPr>
        <w:t xml:space="preserve">The Appellate Division noted that “[a]n acrimonious relationship between the parties, on its own, is not a proper basis to deny visitation to grandparents (citation omitted).”Noting that the grandmother “undermined [the mother’s] authority by *** removing the children to North Carolina for one month in 2020 without </w:t>
      </w:r>
      <w:r>
        <w:rPr>
          <w:rFonts w:ascii="Times New Roman" w:hAnsi="Times New Roman" w:cs="Times New Roman"/>
        </w:rPr>
        <w:lastRenderedPageBreak/>
        <w:t>the mother’s permission,” the First Department concluded that Family Court “properly balanced the possible benefits to the children of visitation with the grandmother against the circumstances of the children’s family” and found that “visitation with the grandmother was not in the children’s best interests.”</w:t>
      </w:r>
    </w:p>
    <w:p w14:paraId="5466B834" w14:textId="77777777" w:rsidR="002359AD" w:rsidRDefault="002359AD" w:rsidP="002359AD">
      <w:pPr>
        <w:pStyle w:val="Heading2"/>
        <w:numPr>
          <w:ilvl w:val="0"/>
          <w:numId w:val="0"/>
        </w:numPr>
        <w:tabs>
          <w:tab w:val="left" w:pos="6210"/>
        </w:tabs>
        <w:spacing w:line="240" w:lineRule="auto"/>
        <w:jc w:val="both"/>
        <w:rPr>
          <w:rFonts w:ascii="Times New Roman" w:hAnsi="Times New Roman" w:cs="Times New Roman"/>
          <w:b/>
          <w:bCs/>
        </w:rPr>
      </w:pPr>
    </w:p>
    <w:p w14:paraId="61DC59D4" w14:textId="70007AD0" w:rsidR="00D71EA0" w:rsidRPr="00D71EA0" w:rsidRDefault="00D71EA0" w:rsidP="00D71EA0">
      <w:pPr>
        <w:pStyle w:val="Heading2"/>
        <w:numPr>
          <w:ilvl w:val="0"/>
          <w:numId w:val="0"/>
        </w:numPr>
        <w:jc w:val="both"/>
        <w:rPr>
          <w:rFonts w:ascii="Times New Roman" w:hAnsi="Times New Roman" w:cs="Times New Roman"/>
          <w:b/>
          <w:bCs/>
        </w:rPr>
      </w:pPr>
      <w:r w:rsidRPr="00D71EA0">
        <w:rPr>
          <w:rFonts w:ascii="Times New Roman" w:hAnsi="Times New Roman" w:cs="Times New Roman"/>
          <w:b/>
          <w:bCs/>
        </w:rPr>
        <w:t>Custody – UCCJEA - Dismissed – FL Retains Continuing Exclusive Jurisdiction</w:t>
      </w:r>
    </w:p>
    <w:p w14:paraId="251ADE0E" w14:textId="719086CE" w:rsidR="00D71EA0" w:rsidRDefault="00D71EA0" w:rsidP="00D71EA0">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D71EA0">
        <w:rPr>
          <w:rFonts w:ascii="Times New Roman" w:hAnsi="Times New Roman" w:cs="Times New Roman"/>
          <w:b/>
          <w:bCs/>
          <w:i/>
          <w:iCs/>
        </w:rPr>
        <w:t>Matter of Regla F. v. Dustin F.</w:t>
      </w:r>
      <w:r>
        <w:rPr>
          <w:rFonts w:ascii="Times New Roman" w:hAnsi="Times New Roman" w:cs="Times New Roman"/>
        </w:rPr>
        <w:t>, 2025 Westlaw 3006449 (1</w:t>
      </w:r>
      <w:r w:rsidRPr="001C7054">
        <w:rPr>
          <w:rFonts w:ascii="Times New Roman" w:hAnsi="Times New Roman" w:cs="Times New Roman"/>
          <w:vertAlign w:val="superscript"/>
        </w:rPr>
        <w:t>st</w:t>
      </w:r>
      <w:r>
        <w:rPr>
          <w:rFonts w:ascii="Times New Roman" w:hAnsi="Times New Roman" w:cs="Times New Roman"/>
        </w:rPr>
        <w:t xml:space="preserve"> Dept. Oct. 28, 2025), the mother appealed from April 2025 Family Court orders which, after a hearing</w:t>
      </w:r>
      <w:r w:rsidR="009507F4">
        <w:rPr>
          <w:rFonts w:ascii="Times New Roman" w:hAnsi="Times New Roman" w:cs="Times New Roman"/>
        </w:rPr>
        <w:t>,</w:t>
      </w:r>
      <w:r>
        <w:rPr>
          <w:rFonts w:ascii="Times New Roman" w:hAnsi="Times New Roman" w:cs="Times New Roman"/>
        </w:rPr>
        <w:t xml:space="preserve"> dismissed her custody and family offense petitions upon the ground of lack of subject matter jurisdiction. The parties were divorced in Florida (FL) in 2018, pursuant to a final judgment which resolved all issues of custody and visitation and provided FL was to retain continuing and exclusive jurisdiction over custody and visitation. A December 2022 FL Order, upon the mother’s June 2022 petition, granted the mother permission to temporarily relocate to NY with the child, pending the outcome of a fact-finding hearing. By Order dated March 6, 2025, the FL Court dismissed the mother’s relocation petition, based upon her failure to appear at case management conferences on January 7 and March 4, 2025, finding that the mother’s absence therefrom was “willful, intentional and in bad faith,” noting “the mother had been repeatedly informed that her appearance was mandatory and had demonstrated a pattern of failing to appear at hearings as ordered, for which she had been previously sanctioned,” and determining that “Florida had continuing and exclusive jurisdiction over the parties and subject matter and that Florida remained the child’s home state.” The mother filed a custody petition in NY on March 4, 2025, arguing that FL should decline jurisdiction because the child had resided in NY since June 2022 and had no ongoing ties to FL, </w:t>
      </w:r>
      <w:r w:rsidRPr="00072F3C">
        <w:rPr>
          <w:rFonts w:ascii="Times New Roman" w:hAnsi="Times New Roman" w:cs="Times New Roman"/>
          <w:i/>
          <w:iCs/>
        </w:rPr>
        <w:t>see</w:t>
      </w:r>
      <w:r>
        <w:rPr>
          <w:rFonts w:ascii="Times New Roman" w:hAnsi="Times New Roman" w:cs="Times New Roman"/>
        </w:rPr>
        <w:t xml:space="preserve"> DRL 76-b. The First Department affirmed, holding that “the mother failed to show that the Florida court has determined either that it no longer has exclusive, continuing jurisdiction or that New York would be a more convenient forum (citation and internal quotation marks omitted).” The Appellate Division noted: “in response to Family Court’s inquiry, the Florida judge unequivocally stated that Florida intended to retain exclusive, continuing jurisdiction over the custody dispute”; “the father maintains a significant connection with Florida, as he has remained a resident of that state throughout the proceedings”; and “[t]hat the child has lived in NY since the mother was granted her request for temporary relocation does not alter the conclusion that the New York court lacks jurisdiction to entertain her petition.”  The Court concluded that the family offense petition was properly dismissed because “the order [the mother] was seeking would have necessarily affected the parties’ custody and parental access rights (citation omitted).”</w:t>
      </w:r>
    </w:p>
    <w:p w14:paraId="76D3EAC8" w14:textId="77777777" w:rsidR="0021394D" w:rsidRDefault="0021394D" w:rsidP="0021394D">
      <w:pPr>
        <w:pStyle w:val="Heading2"/>
        <w:numPr>
          <w:ilvl w:val="0"/>
          <w:numId w:val="0"/>
        </w:numPr>
        <w:tabs>
          <w:tab w:val="left" w:pos="6210"/>
        </w:tabs>
        <w:spacing w:line="240" w:lineRule="auto"/>
        <w:jc w:val="both"/>
        <w:rPr>
          <w:rFonts w:ascii="Times New Roman" w:hAnsi="Times New Roman" w:cs="Times New Roman"/>
        </w:rPr>
      </w:pPr>
    </w:p>
    <w:p w14:paraId="4C46AF1F" w14:textId="77777777" w:rsidR="0021394D" w:rsidRPr="0021394D" w:rsidRDefault="0021394D" w:rsidP="0021394D">
      <w:pPr>
        <w:pStyle w:val="Heading2"/>
        <w:numPr>
          <w:ilvl w:val="0"/>
          <w:numId w:val="0"/>
        </w:numPr>
        <w:jc w:val="both"/>
        <w:rPr>
          <w:rFonts w:ascii="Times New Roman" w:hAnsi="Times New Roman" w:cs="Times New Roman"/>
          <w:b/>
          <w:bCs/>
        </w:rPr>
      </w:pPr>
      <w:r w:rsidRPr="0021394D">
        <w:rPr>
          <w:rFonts w:ascii="Times New Roman" w:hAnsi="Times New Roman" w:cs="Times New Roman"/>
          <w:b/>
          <w:bCs/>
        </w:rPr>
        <w:t>Custody – UCCJEA - Home State Not NY – Dismissed</w:t>
      </w:r>
    </w:p>
    <w:p w14:paraId="4EB923C9" w14:textId="1C1FD9C6" w:rsidR="0021394D" w:rsidRDefault="0021394D" w:rsidP="0021394D">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21394D">
        <w:rPr>
          <w:rFonts w:ascii="Times New Roman" w:hAnsi="Times New Roman" w:cs="Times New Roman"/>
          <w:b/>
          <w:bCs/>
          <w:i/>
          <w:iCs/>
        </w:rPr>
        <w:t xml:space="preserve">Matter of Peter M. v. </w:t>
      </w:r>
      <w:proofErr w:type="spellStart"/>
      <w:r w:rsidRPr="0021394D">
        <w:rPr>
          <w:rFonts w:ascii="Times New Roman" w:hAnsi="Times New Roman" w:cs="Times New Roman"/>
          <w:b/>
          <w:bCs/>
          <w:i/>
          <w:iCs/>
        </w:rPr>
        <w:t>Fezeka</w:t>
      </w:r>
      <w:proofErr w:type="spellEnd"/>
      <w:r w:rsidRPr="0021394D">
        <w:rPr>
          <w:rFonts w:ascii="Times New Roman" w:hAnsi="Times New Roman" w:cs="Times New Roman"/>
          <w:b/>
          <w:bCs/>
          <w:i/>
          <w:iCs/>
        </w:rPr>
        <w:t xml:space="preserve"> GG.</w:t>
      </w:r>
      <w:r>
        <w:rPr>
          <w:rFonts w:ascii="Times New Roman" w:hAnsi="Times New Roman" w:cs="Times New Roman"/>
        </w:rPr>
        <w:t xml:space="preserve">, </w:t>
      </w:r>
      <w:r w:rsidR="002359AD">
        <w:rPr>
          <w:rFonts w:ascii="Times New Roman" w:hAnsi="Times New Roman" w:cs="Times New Roman"/>
        </w:rPr>
        <w:t xml:space="preserve">241 NYS3d 31 </w:t>
      </w:r>
      <w:r>
        <w:rPr>
          <w:rFonts w:ascii="Times New Roman" w:hAnsi="Times New Roman" w:cs="Times New Roman"/>
        </w:rPr>
        <w:t>(1</w:t>
      </w:r>
      <w:r w:rsidRPr="002E4672">
        <w:rPr>
          <w:rFonts w:ascii="Times New Roman" w:hAnsi="Times New Roman" w:cs="Times New Roman"/>
          <w:vertAlign w:val="superscript"/>
        </w:rPr>
        <w:t>st</w:t>
      </w:r>
      <w:r>
        <w:rPr>
          <w:rFonts w:ascii="Times New Roman" w:hAnsi="Times New Roman" w:cs="Times New Roman"/>
        </w:rPr>
        <w:t xml:space="preserve"> Dept. Oct. 9, 2025), </w:t>
      </w:r>
      <w:r w:rsidRPr="00BB4988">
        <w:rPr>
          <w:rFonts w:ascii="Times New Roman" w:hAnsi="Times New Roman" w:cs="Times New Roman"/>
        </w:rPr>
        <w:t xml:space="preserve">the father appealed from an August 2024 Family Court order, which granted the mother’s motion to dismiss his May 2022 petition for lack of subject matter jurisdiction. The First Department affirmed, holding that: Family </w:t>
      </w:r>
      <w:r w:rsidRPr="002E4672">
        <w:rPr>
          <w:rFonts w:ascii="Times New Roman" w:hAnsi="Times New Roman" w:cs="Times New Roman"/>
        </w:rPr>
        <w:t xml:space="preserve">Court </w:t>
      </w:r>
      <w:r w:rsidRPr="00BB4988">
        <w:rPr>
          <w:rFonts w:ascii="Times New Roman" w:hAnsi="Times New Roman" w:cs="Times New Roman"/>
        </w:rPr>
        <w:t>“</w:t>
      </w:r>
      <w:r w:rsidRPr="002E4672">
        <w:rPr>
          <w:rFonts w:ascii="Times New Roman" w:hAnsi="Times New Roman" w:cs="Times New Roman"/>
        </w:rPr>
        <w:t xml:space="preserve">properly determined that </w:t>
      </w:r>
      <w:r w:rsidRPr="00BB4988">
        <w:rPr>
          <w:rFonts w:ascii="Times New Roman" w:hAnsi="Times New Roman" w:cs="Times New Roman"/>
        </w:rPr>
        <w:t xml:space="preserve">[it] </w:t>
      </w:r>
      <w:r w:rsidRPr="002E4672">
        <w:rPr>
          <w:rFonts w:ascii="Times New Roman" w:hAnsi="Times New Roman" w:cs="Times New Roman"/>
        </w:rPr>
        <w:t xml:space="preserve">lacked subject matter jurisdiction to decide the underlying </w:t>
      </w:r>
      <w:r w:rsidRPr="00BB4988">
        <w:rPr>
          <w:rFonts w:ascii="Times New Roman" w:hAnsi="Times New Roman" w:cs="Times New Roman"/>
        </w:rPr>
        <w:t xml:space="preserve">*** </w:t>
      </w:r>
      <w:r w:rsidRPr="002E4672">
        <w:rPr>
          <w:rFonts w:ascii="Times New Roman" w:hAnsi="Times New Roman" w:cs="Times New Roman"/>
        </w:rPr>
        <w:t>petition, as New York was not the subject child's home state at the time the petition was filed</w:t>
      </w:r>
      <w:r w:rsidRPr="00BB4988">
        <w:rPr>
          <w:rFonts w:ascii="Times New Roman" w:hAnsi="Times New Roman" w:cs="Times New Roman"/>
        </w:rPr>
        <w:t xml:space="preserve">,” citing DRL </w:t>
      </w:r>
      <w:r w:rsidRPr="002E4672">
        <w:rPr>
          <w:rFonts w:ascii="Times New Roman" w:hAnsi="Times New Roman" w:cs="Times New Roman"/>
        </w:rPr>
        <w:t>§76(1</w:t>
      </w:r>
      <w:r w:rsidRPr="00BB4988">
        <w:rPr>
          <w:rFonts w:ascii="Times New Roman" w:hAnsi="Times New Roman" w:cs="Times New Roman"/>
        </w:rPr>
        <w:t>); and the father</w:t>
      </w:r>
      <w:r w:rsidRPr="002E4672">
        <w:rPr>
          <w:rFonts w:ascii="Times New Roman" w:hAnsi="Times New Roman" w:cs="Times New Roman"/>
        </w:rPr>
        <w:t xml:space="preserve"> </w:t>
      </w:r>
      <w:r w:rsidRPr="00BB4988">
        <w:rPr>
          <w:rFonts w:ascii="Times New Roman" w:hAnsi="Times New Roman" w:cs="Times New Roman"/>
        </w:rPr>
        <w:t>“</w:t>
      </w:r>
      <w:r w:rsidRPr="002E4672">
        <w:rPr>
          <w:rFonts w:ascii="Times New Roman" w:hAnsi="Times New Roman" w:cs="Times New Roman"/>
        </w:rPr>
        <w:t xml:space="preserve">failed to show that the child was living in this state for at least six consecutive months immediately before the commencement of this proceeding </w:t>
      </w:r>
      <w:r w:rsidRPr="00BB4988">
        <w:rPr>
          <w:rFonts w:ascii="Times New Roman" w:hAnsi="Times New Roman" w:cs="Times New Roman"/>
        </w:rPr>
        <w:t xml:space="preserve">[DRL </w:t>
      </w:r>
      <w:r w:rsidRPr="002E4672">
        <w:rPr>
          <w:rFonts w:ascii="Times New Roman" w:hAnsi="Times New Roman" w:cs="Times New Roman"/>
        </w:rPr>
        <w:t>§ 75-a</w:t>
      </w:r>
      <w:r w:rsidRPr="00BB4988">
        <w:rPr>
          <w:rFonts w:ascii="Times New Roman" w:hAnsi="Times New Roman" w:cs="Times New Roman"/>
        </w:rPr>
        <w:t>(7)]</w:t>
      </w:r>
      <w:r w:rsidRPr="002E4672">
        <w:rPr>
          <w:rFonts w:ascii="Times New Roman" w:hAnsi="Times New Roman" w:cs="Times New Roman"/>
        </w:rPr>
        <w:t xml:space="preserve"> or that a New York court had previously issued an order regarding the child </w:t>
      </w:r>
      <w:r w:rsidRPr="00BB4988">
        <w:rPr>
          <w:rFonts w:ascii="Times New Roman" w:hAnsi="Times New Roman" w:cs="Times New Roman"/>
        </w:rPr>
        <w:t xml:space="preserve">[DRL </w:t>
      </w:r>
      <w:r w:rsidRPr="002E4672">
        <w:rPr>
          <w:rFonts w:ascii="Times New Roman" w:hAnsi="Times New Roman" w:cs="Times New Roman"/>
        </w:rPr>
        <w:t>§76-a</w:t>
      </w:r>
      <w:r w:rsidRPr="00BB4988">
        <w:rPr>
          <w:rFonts w:ascii="Times New Roman" w:hAnsi="Times New Roman" w:cs="Times New Roman"/>
        </w:rPr>
        <w:t>(1)]</w:t>
      </w:r>
      <w:r w:rsidRPr="002E4672">
        <w:rPr>
          <w:rFonts w:ascii="Times New Roman" w:hAnsi="Times New Roman" w:cs="Times New Roman"/>
        </w:rPr>
        <w:t>.</w:t>
      </w:r>
      <w:r w:rsidRPr="00BB4988">
        <w:rPr>
          <w:rFonts w:ascii="Times New Roman" w:hAnsi="Times New Roman" w:cs="Times New Roman"/>
        </w:rPr>
        <w:t>” The Appellate Division noted that “</w:t>
      </w:r>
      <w:r w:rsidRPr="002E4672">
        <w:rPr>
          <w:rFonts w:ascii="Times New Roman" w:hAnsi="Times New Roman" w:cs="Times New Roman"/>
        </w:rPr>
        <w:t xml:space="preserve">the mother's affidavit submitted in </w:t>
      </w:r>
      <w:r w:rsidRPr="002E4672">
        <w:rPr>
          <w:rFonts w:ascii="Times New Roman" w:hAnsi="Times New Roman" w:cs="Times New Roman"/>
        </w:rPr>
        <w:lastRenderedPageBreak/>
        <w:t>support of her motion to dismiss, as well as the school reports from the child's school, showed that the child began living with the mother in South Africa in November 2020, about 18 months before the father commenced this proceeding on May 13, 2022, and that the child remained in that country until November 14, 2023</w:t>
      </w:r>
      <w:r w:rsidRPr="00BB4988">
        <w:rPr>
          <w:rFonts w:ascii="Times New Roman" w:hAnsi="Times New Roman" w:cs="Times New Roman"/>
        </w:rPr>
        <w:t>.” The Court observed that the mother and child</w:t>
      </w:r>
      <w:r w:rsidRPr="002E4672">
        <w:rPr>
          <w:rFonts w:ascii="Times New Roman" w:hAnsi="Times New Roman" w:cs="Times New Roman"/>
        </w:rPr>
        <w:t xml:space="preserve"> </w:t>
      </w:r>
      <w:r w:rsidRPr="00BB4988">
        <w:rPr>
          <w:rFonts w:ascii="Times New Roman" w:hAnsi="Times New Roman" w:cs="Times New Roman"/>
        </w:rPr>
        <w:t>“</w:t>
      </w:r>
      <w:r w:rsidRPr="002E4672">
        <w:rPr>
          <w:rFonts w:ascii="Times New Roman" w:hAnsi="Times New Roman" w:cs="Times New Roman"/>
        </w:rPr>
        <w:t>relocated to Connecticut and that they were living in that state during the underlying proceeding.</w:t>
      </w:r>
      <w:r w:rsidRPr="00BB4988">
        <w:rPr>
          <w:rFonts w:ascii="Times New Roman" w:hAnsi="Times New Roman" w:cs="Times New Roman"/>
        </w:rPr>
        <w:t>” The Appellate Division concluded that “</w:t>
      </w:r>
      <w:r w:rsidRPr="002E4672">
        <w:rPr>
          <w:rFonts w:ascii="Times New Roman" w:hAnsi="Times New Roman" w:cs="Times New Roman"/>
        </w:rPr>
        <w:t>there is no evidence that the mother wrongfully removed the child from New York State, as the father submitted no evidence, such as an affidavit of a person with knowledge, challenging the mother's averment that he gave his permission for the child to live with her in South Africa</w:t>
      </w:r>
      <w:r w:rsidRPr="00BB4988">
        <w:rPr>
          <w:rFonts w:ascii="Times New Roman" w:hAnsi="Times New Roman" w:cs="Times New Roman"/>
        </w:rPr>
        <w:t>.”</w:t>
      </w:r>
    </w:p>
    <w:p w14:paraId="4F28B469" w14:textId="77777777" w:rsidR="006C66A9" w:rsidRDefault="006C66A9" w:rsidP="0021394D">
      <w:pPr>
        <w:pStyle w:val="Heading2"/>
        <w:numPr>
          <w:ilvl w:val="0"/>
          <w:numId w:val="0"/>
        </w:numPr>
        <w:spacing w:line="240" w:lineRule="auto"/>
        <w:contextualSpacing/>
        <w:jc w:val="both"/>
        <w:rPr>
          <w:rFonts w:ascii="Times New Roman" w:hAnsi="Times New Roman" w:cs="Times New Roman"/>
        </w:rPr>
      </w:pPr>
    </w:p>
    <w:p w14:paraId="524E9580" w14:textId="77777777" w:rsidR="006C66A9" w:rsidRPr="006C66A9" w:rsidRDefault="006C66A9" w:rsidP="006C66A9">
      <w:pPr>
        <w:pStyle w:val="Heading2"/>
        <w:numPr>
          <w:ilvl w:val="0"/>
          <w:numId w:val="0"/>
        </w:numPr>
        <w:jc w:val="both"/>
        <w:rPr>
          <w:rFonts w:ascii="Times New Roman" w:hAnsi="Times New Roman" w:cs="Times New Roman"/>
          <w:b/>
          <w:bCs/>
        </w:rPr>
      </w:pPr>
      <w:r w:rsidRPr="006C66A9">
        <w:rPr>
          <w:rFonts w:ascii="Times New Roman" w:hAnsi="Times New Roman" w:cs="Times New Roman"/>
          <w:b/>
          <w:bCs/>
        </w:rPr>
        <w:t xml:space="preserve">Custody - </w:t>
      </w:r>
      <w:r w:rsidRPr="006C66A9">
        <w:rPr>
          <w:rFonts w:ascii="Times New Roman" w:hAnsi="Times New Roman" w:cs="Times New Roman"/>
          <w:b/>
          <w:bCs/>
        </w:rPr>
        <w:t>UCCJEA – Temporary Emergency Jurisdiction – Denied</w:t>
      </w:r>
    </w:p>
    <w:p w14:paraId="3260EC29" w14:textId="2BCA26CB" w:rsidR="006C66A9" w:rsidRDefault="006C66A9" w:rsidP="006C66A9">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6C66A9">
        <w:rPr>
          <w:rFonts w:ascii="Times New Roman" w:hAnsi="Times New Roman" w:cs="Times New Roman"/>
          <w:b/>
          <w:bCs/>
          <w:i/>
          <w:iCs/>
        </w:rPr>
        <w:t>Matter of John H. v. Diana I.</w:t>
      </w:r>
      <w:r>
        <w:rPr>
          <w:rFonts w:ascii="Times New Roman" w:hAnsi="Times New Roman" w:cs="Times New Roman"/>
        </w:rPr>
        <w:t>, 2025 Westlaw 3028349 (3d Dept. Oct. 30, 2025), the father appealed from an October 2024 Family order which, without a hearing, dismissed his October 2024 petition seeking to modify a Pennsylvania custody order pertaining to the subject child born in 2009, finding that there was no basis to invoke temporary emergency jurisdiction (DRL 76-c[1]). The Third Department affirmed, holding that even assuming the child was present in NY (a determination which it could not make on the record provided), “the only allegation that could have supported emergency jurisdiction concerned a situation that was resolved prior to the filing” of the father’s October 2024 petition.</w:t>
      </w:r>
    </w:p>
    <w:p w14:paraId="29D2AC55" w14:textId="77777777" w:rsidR="0021394D" w:rsidRDefault="0021394D" w:rsidP="0021394D">
      <w:pPr>
        <w:pStyle w:val="Heading2"/>
        <w:numPr>
          <w:ilvl w:val="0"/>
          <w:numId w:val="0"/>
        </w:numPr>
        <w:spacing w:line="240" w:lineRule="auto"/>
        <w:contextualSpacing/>
        <w:jc w:val="both"/>
        <w:rPr>
          <w:rFonts w:ascii="Times New Roman" w:hAnsi="Times New Roman" w:cs="Times New Roman"/>
        </w:rPr>
      </w:pPr>
    </w:p>
    <w:p w14:paraId="71CC9DA5" w14:textId="13E8DDFD" w:rsidR="0021394D" w:rsidRDefault="0021394D" w:rsidP="0021394D">
      <w:pPr>
        <w:pStyle w:val="Heading2"/>
        <w:numPr>
          <w:ilvl w:val="0"/>
          <w:numId w:val="0"/>
        </w:numPr>
        <w:spacing w:line="240" w:lineRule="auto"/>
        <w:contextualSpacing/>
        <w:jc w:val="both"/>
        <w:rPr>
          <w:rFonts w:ascii="Times New Roman" w:hAnsi="Times New Roman" w:cs="Times New Roman"/>
          <w:b/>
          <w:bCs/>
        </w:rPr>
      </w:pPr>
      <w:r w:rsidRPr="0021394D">
        <w:rPr>
          <w:rFonts w:ascii="Times New Roman" w:hAnsi="Times New Roman" w:cs="Times New Roman"/>
          <w:b/>
          <w:bCs/>
        </w:rPr>
        <w:t>Custody – Visitation – Supervised Upheld; Forensic Evaluation Not Warranted</w:t>
      </w:r>
    </w:p>
    <w:p w14:paraId="48296862" w14:textId="77777777" w:rsidR="0021394D" w:rsidRDefault="0021394D" w:rsidP="0021394D">
      <w:pPr>
        <w:pStyle w:val="Heading2"/>
        <w:numPr>
          <w:ilvl w:val="0"/>
          <w:numId w:val="0"/>
        </w:numPr>
        <w:spacing w:line="240" w:lineRule="auto"/>
        <w:contextualSpacing/>
        <w:jc w:val="both"/>
        <w:rPr>
          <w:rFonts w:ascii="Times New Roman" w:hAnsi="Times New Roman" w:cs="Times New Roman"/>
          <w:b/>
          <w:bCs/>
        </w:rPr>
      </w:pPr>
    </w:p>
    <w:p w14:paraId="5FD5AA28" w14:textId="4E486690" w:rsidR="0021394D" w:rsidRDefault="0021394D" w:rsidP="0021394D">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21394D">
        <w:rPr>
          <w:rFonts w:ascii="Times New Roman" w:hAnsi="Times New Roman" w:cs="Times New Roman"/>
          <w:b/>
          <w:bCs/>
          <w:i/>
          <w:iCs/>
        </w:rPr>
        <w:t>Matter of Christine B. v. Antonio G.</w:t>
      </w:r>
      <w:r>
        <w:rPr>
          <w:rFonts w:ascii="Times New Roman" w:hAnsi="Times New Roman" w:cs="Times New Roman"/>
        </w:rPr>
        <w:t>, 2025 Westlaw 2832063 (1</w:t>
      </w:r>
      <w:r w:rsidRPr="00DE3A95">
        <w:rPr>
          <w:rFonts w:ascii="Times New Roman" w:hAnsi="Times New Roman" w:cs="Times New Roman"/>
          <w:vertAlign w:val="superscript"/>
        </w:rPr>
        <w:t>st</w:t>
      </w:r>
      <w:r>
        <w:rPr>
          <w:rFonts w:ascii="Times New Roman" w:hAnsi="Times New Roman" w:cs="Times New Roman"/>
        </w:rPr>
        <w:t xml:space="preserve"> Dept. Oct. 7, 2025), the father appealed from a November 2024 Family Court order which, after a hearing, granted him bi-weekly supervised visitation with the subject child. The First Department affirmed, holding that Family Court “properly considered the two prior findings that the father had neglected the child by using excessive corporal punishment” and further correctly noted both “the father’s continued lack of insight into how his past conduct may have harmed his relationship with the child and caused the child emotional trauma” and his refusal </w:t>
      </w:r>
      <w:r w:rsidR="00C07965">
        <w:rPr>
          <w:rFonts w:ascii="Times New Roman" w:hAnsi="Times New Roman" w:cs="Times New Roman"/>
        </w:rPr>
        <w:t>“</w:t>
      </w:r>
      <w:r>
        <w:rPr>
          <w:rFonts w:ascii="Times New Roman" w:hAnsi="Times New Roman" w:cs="Times New Roman"/>
        </w:rPr>
        <w:t xml:space="preserve">to accept any responsibility for the child’s fear of him or even address this issue with his therapist.” As to the issue of a forensic evaluation, the Appellate Division observed that the issue “is unpreserved for appellate review because </w:t>
      </w:r>
      <w:r w:rsidR="00C07965">
        <w:rPr>
          <w:rFonts w:ascii="Times New Roman" w:hAnsi="Times New Roman" w:cs="Times New Roman"/>
        </w:rPr>
        <w:t>[</w:t>
      </w:r>
      <w:r>
        <w:rPr>
          <w:rFonts w:ascii="Times New Roman" w:hAnsi="Times New Roman" w:cs="Times New Roman"/>
        </w:rPr>
        <w:t>the father</w:t>
      </w:r>
      <w:r w:rsidR="00C07965">
        <w:rPr>
          <w:rFonts w:ascii="Times New Roman" w:hAnsi="Times New Roman" w:cs="Times New Roman"/>
        </w:rPr>
        <w:t>]</w:t>
      </w:r>
      <w:r>
        <w:rPr>
          <w:rFonts w:ascii="Times New Roman" w:hAnsi="Times New Roman" w:cs="Times New Roman"/>
        </w:rPr>
        <w:t xml:space="preserve"> never requested it at any point during the proceeding (citation omitted)” and, further, that the father “has not demonstrated that [the same] was warranted in this case.”</w:t>
      </w:r>
    </w:p>
    <w:p w14:paraId="61286B47" w14:textId="77777777" w:rsidR="008E2137" w:rsidRDefault="008E2137" w:rsidP="0021394D">
      <w:pPr>
        <w:pStyle w:val="Heading2"/>
        <w:numPr>
          <w:ilvl w:val="0"/>
          <w:numId w:val="0"/>
        </w:numPr>
        <w:spacing w:line="240" w:lineRule="auto"/>
        <w:contextualSpacing/>
        <w:jc w:val="both"/>
        <w:rPr>
          <w:rFonts w:ascii="Times New Roman" w:hAnsi="Times New Roman" w:cs="Times New Roman"/>
        </w:rPr>
      </w:pPr>
    </w:p>
    <w:p w14:paraId="0A0B6201" w14:textId="77777777" w:rsidR="001F7222" w:rsidRPr="008D4AAA" w:rsidRDefault="001F7222" w:rsidP="001F7222">
      <w:pPr>
        <w:pStyle w:val="Heading2"/>
        <w:numPr>
          <w:ilvl w:val="0"/>
          <w:numId w:val="0"/>
        </w:numPr>
        <w:jc w:val="both"/>
      </w:pPr>
      <w:r>
        <w:rPr>
          <w:rFonts w:ascii="Times New Roman" w:hAnsi="Times New Roman" w:cs="Times New Roman"/>
          <w:b/>
          <w:bCs/>
        </w:rPr>
        <w:t xml:space="preserve">Disclosure - </w:t>
      </w:r>
      <w:r w:rsidRPr="001F7222">
        <w:rPr>
          <w:rFonts w:ascii="Times New Roman" w:hAnsi="Times New Roman" w:cs="Times New Roman"/>
          <w:b/>
          <w:bCs/>
        </w:rPr>
        <w:t>Deposition Time Limit – 22 NYCRR 202.20-b – Sanctions for Frivolous Behavior</w:t>
      </w:r>
    </w:p>
    <w:p w14:paraId="4E274B74" w14:textId="57469DD8" w:rsidR="001F7222" w:rsidRDefault="001F7222" w:rsidP="001F7222">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In </w:t>
      </w:r>
      <w:r w:rsidRPr="001F7222">
        <w:rPr>
          <w:rFonts w:ascii="Times New Roman" w:hAnsi="Times New Roman" w:cs="Times New Roman"/>
          <w:b/>
          <w:bCs/>
          <w:i/>
          <w:iCs/>
        </w:rPr>
        <w:t>Matter of Gomez v. Thomas</w:t>
      </w:r>
      <w:r>
        <w:rPr>
          <w:rFonts w:ascii="Times New Roman" w:hAnsi="Times New Roman" w:cs="Times New Roman"/>
        </w:rPr>
        <w:t xml:space="preserve">, </w:t>
      </w:r>
      <w:r w:rsidR="002359AD">
        <w:rPr>
          <w:rFonts w:ascii="Times New Roman" w:hAnsi="Times New Roman" w:cs="Times New Roman"/>
        </w:rPr>
        <w:t xml:space="preserve">241 NYS3d 34 </w:t>
      </w:r>
      <w:r>
        <w:rPr>
          <w:rFonts w:ascii="Times New Roman" w:hAnsi="Times New Roman" w:cs="Times New Roman"/>
        </w:rPr>
        <w:t>(1</w:t>
      </w:r>
      <w:r w:rsidRPr="008D4AAA">
        <w:rPr>
          <w:rFonts w:ascii="Times New Roman" w:hAnsi="Times New Roman" w:cs="Times New Roman"/>
          <w:vertAlign w:val="superscript"/>
        </w:rPr>
        <w:t>st</w:t>
      </w:r>
      <w:r>
        <w:rPr>
          <w:rFonts w:ascii="Times New Roman" w:hAnsi="Times New Roman" w:cs="Times New Roman"/>
        </w:rPr>
        <w:t xml:space="preserve"> Dept. Oct. 14, 2025), the plaintiff appealed from an October 2024 Supreme Court order, which granted defendant’s motion for an order directing plaintiff to pay the reasonable attorney’s fees to defendant’s attorney, for a deposition that was cancelled because of plaintiff’s counsel’s refusal to allow for the remaining 3 hours and 40 minutes allowed by 22 NYCRR 202.20-b (7-hour limit on depositions). The First Department affirmed, holding that “Plaintiff’s counsel’s disagreement on 22 NYCRR 202.20-b, which sets a seven-hour limit on depositions, was the parties’ reason for refusing to go forward with the scheduled deposition.” The Appellate Division disagreed with the plaintiff’s contention that the rule “does not exclude time spent on breaks, including time taken for consultation between </w:t>
      </w:r>
      <w:r>
        <w:rPr>
          <w:rFonts w:ascii="Times New Roman" w:hAnsi="Times New Roman" w:cs="Times New Roman"/>
        </w:rPr>
        <w:lastRenderedPageBreak/>
        <w:t>client and counsel, or technical issues,” holding that “excluding breaks from the seven-hour limit would incentivize unprofessional behavior that rules like 22 NYCRR 202.20-b are meant to prevent.” The Court reasoned that “under plaintiff’s reasoning, any party could thwart depositions by, for example taking repeated breaks or conversely, taking no breaks from its seven-hour limitation.” The First Department concluded: “A practical and reasonable reading of 22 NYCRR 202.20-b is to exclude breaks from its seven-hour limitation. Thus, counsel’s refusal to proceed with the deposition was frivolous.”</w:t>
      </w:r>
    </w:p>
    <w:p w14:paraId="769BDAA8" w14:textId="77777777" w:rsidR="001F7222" w:rsidRDefault="001F7222" w:rsidP="001F7222">
      <w:pPr>
        <w:pStyle w:val="Heading2"/>
        <w:numPr>
          <w:ilvl w:val="0"/>
          <w:numId w:val="0"/>
        </w:numPr>
        <w:spacing w:line="240" w:lineRule="auto"/>
        <w:jc w:val="both"/>
        <w:rPr>
          <w:rFonts w:ascii="Times New Roman" w:hAnsi="Times New Roman" w:cs="Times New Roman"/>
        </w:rPr>
      </w:pPr>
    </w:p>
    <w:p w14:paraId="79A409CF" w14:textId="77777777" w:rsidR="001F7222" w:rsidRDefault="001F7222" w:rsidP="001F7222">
      <w:pPr>
        <w:pStyle w:val="Heading2"/>
        <w:numPr>
          <w:ilvl w:val="0"/>
          <w:numId w:val="0"/>
        </w:numPr>
        <w:spacing w:line="240" w:lineRule="auto"/>
        <w:jc w:val="both"/>
        <w:rPr>
          <w:rFonts w:ascii="Times New Roman" w:hAnsi="Times New Roman" w:cs="Times New Roman"/>
          <w:b/>
          <w:bCs/>
        </w:rPr>
      </w:pPr>
      <w:r w:rsidRPr="001F7222">
        <w:rPr>
          <w:rFonts w:ascii="Times New Roman" w:hAnsi="Times New Roman" w:cs="Times New Roman"/>
          <w:b/>
          <w:bCs/>
        </w:rPr>
        <w:t>Disclosure - Extension of Time to Serve Demand – Granted; Opponents’ Renewal Motion – Denied</w:t>
      </w:r>
    </w:p>
    <w:p w14:paraId="61209631" w14:textId="77777777" w:rsidR="001F7222" w:rsidRPr="001F7222" w:rsidRDefault="001F7222" w:rsidP="001F7222">
      <w:pPr>
        <w:pStyle w:val="Heading2"/>
        <w:numPr>
          <w:ilvl w:val="0"/>
          <w:numId w:val="0"/>
        </w:numPr>
        <w:spacing w:line="240" w:lineRule="auto"/>
        <w:jc w:val="both"/>
        <w:rPr>
          <w:b/>
          <w:bCs/>
        </w:rPr>
      </w:pPr>
    </w:p>
    <w:p w14:paraId="75E475B8" w14:textId="32C1CE65" w:rsidR="001F7222" w:rsidRDefault="001F7222" w:rsidP="001F7222">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In </w:t>
      </w:r>
      <w:r w:rsidRPr="001F7222">
        <w:rPr>
          <w:rFonts w:ascii="Times New Roman" w:hAnsi="Times New Roman" w:cs="Times New Roman"/>
          <w:b/>
          <w:bCs/>
          <w:i/>
          <w:iCs/>
        </w:rPr>
        <w:t>Molner v. Molner</w:t>
      </w:r>
      <w:r>
        <w:rPr>
          <w:rFonts w:ascii="Times New Roman" w:hAnsi="Times New Roman" w:cs="Times New Roman"/>
        </w:rPr>
        <w:t xml:space="preserve">, </w:t>
      </w:r>
      <w:r w:rsidR="002359AD">
        <w:rPr>
          <w:rFonts w:ascii="Times New Roman" w:hAnsi="Times New Roman" w:cs="Times New Roman"/>
        </w:rPr>
        <w:t xml:space="preserve"> 241 NYS3d 45 </w:t>
      </w:r>
      <w:r>
        <w:rPr>
          <w:rFonts w:ascii="Times New Roman" w:hAnsi="Times New Roman" w:cs="Times New Roman"/>
        </w:rPr>
        <w:t>(1</w:t>
      </w:r>
      <w:r w:rsidRPr="002836F6">
        <w:rPr>
          <w:rFonts w:ascii="Times New Roman" w:hAnsi="Times New Roman" w:cs="Times New Roman"/>
          <w:vertAlign w:val="superscript"/>
        </w:rPr>
        <w:t>st</w:t>
      </w:r>
      <w:r>
        <w:rPr>
          <w:rFonts w:ascii="Times New Roman" w:hAnsi="Times New Roman" w:cs="Times New Roman"/>
        </w:rPr>
        <w:t xml:space="preserve"> Dept. Oct. 14, 2025), the husband appealed from a February 2025 Supreme Court order</w:t>
      </w:r>
      <w:r w:rsidR="009507F4">
        <w:rPr>
          <w:rFonts w:ascii="Times New Roman" w:hAnsi="Times New Roman" w:cs="Times New Roman"/>
        </w:rPr>
        <w:t>,</w:t>
      </w:r>
      <w:r>
        <w:rPr>
          <w:rFonts w:ascii="Times New Roman" w:hAnsi="Times New Roman" w:cs="Times New Roman"/>
        </w:rPr>
        <w:t xml:space="preserve"> which denied his motion for leave to renew his opposition to the wife’s motion for an extension of time to serve a disclosure demand, which had been granted in July 2024 following a missed discovery deadline, crediting her attorney’s representation “that he was retained after the court set the discovery deadline and did not become aware of the deadline until it passed.” The First Department affirmed, holding that Supreme Court “considered the husband’s argument, reviewed the emails [offered by the husband to show that the attorney was aware of the deadline], and providently adhered to its prior ruling granting the extension because it found that the emails failed to demonstrate that the attorney’s prior representations were false.”</w:t>
      </w:r>
    </w:p>
    <w:p w14:paraId="39D368F7" w14:textId="77777777" w:rsidR="001F7222" w:rsidRDefault="001F7222" w:rsidP="001F7222">
      <w:pPr>
        <w:pStyle w:val="Heading2"/>
        <w:numPr>
          <w:ilvl w:val="0"/>
          <w:numId w:val="0"/>
        </w:numPr>
        <w:spacing w:line="240" w:lineRule="auto"/>
        <w:jc w:val="both"/>
        <w:rPr>
          <w:rFonts w:ascii="Times New Roman" w:hAnsi="Times New Roman" w:cs="Times New Roman"/>
          <w:b/>
          <w:bCs/>
        </w:rPr>
      </w:pPr>
    </w:p>
    <w:p w14:paraId="567CBA16" w14:textId="45E06FA1" w:rsidR="008E2137" w:rsidRPr="008E2137" w:rsidRDefault="008E2137" w:rsidP="008E2137">
      <w:pPr>
        <w:pStyle w:val="Heading2"/>
        <w:numPr>
          <w:ilvl w:val="0"/>
          <w:numId w:val="0"/>
        </w:numPr>
        <w:rPr>
          <w:b/>
          <w:bCs/>
        </w:rPr>
      </w:pPr>
      <w:r w:rsidRPr="008E2137">
        <w:rPr>
          <w:rFonts w:ascii="Times New Roman" w:hAnsi="Times New Roman" w:cs="Times New Roman"/>
          <w:b/>
          <w:bCs/>
        </w:rPr>
        <w:t>Equitable Distribution -</w:t>
      </w:r>
      <w:r w:rsidR="001F7222">
        <w:rPr>
          <w:rFonts w:ascii="Times New Roman" w:hAnsi="Times New Roman" w:cs="Times New Roman"/>
          <w:b/>
          <w:bCs/>
        </w:rPr>
        <w:t xml:space="preserve"> </w:t>
      </w:r>
      <w:r w:rsidRPr="008E2137">
        <w:rPr>
          <w:rFonts w:ascii="Times New Roman" w:hAnsi="Times New Roman" w:cs="Times New Roman"/>
          <w:b/>
          <w:bCs/>
        </w:rPr>
        <w:t>Modification Not Permitted</w:t>
      </w:r>
    </w:p>
    <w:p w14:paraId="6723FFEC" w14:textId="09FBCA6B" w:rsidR="008E2137" w:rsidRDefault="008E2137" w:rsidP="008E2137">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8E2137">
        <w:rPr>
          <w:rFonts w:ascii="Times New Roman" w:hAnsi="Times New Roman" w:cs="Times New Roman"/>
          <w:b/>
          <w:bCs/>
          <w:i/>
          <w:iCs/>
        </w:rPr>
        <w:t>Manuella v. Manuella</w:t>
      </w:r>
      <w:r>
        <w:rPr>
          <w:rFonts w:ascii="Times New Roman" w:hAnsi="Times New Roman" w:cs="Times New Roman"/>
        </w:rPr>
        <w:t xml:space="preserve">, 2025 Westlaw 2845481 (2d Dept. Oct. 8, 2025), the parties </w:t>
      </w:r>
      <w:r w:rsidRPr="00C805A8">
        <w:rPr>
          <w:rFonts w:ascii="Times New Roman" w:hAnsi="Times New Roman" w:cs="Times New Roman"/>
        </w:rPr>
        <w:t>were married in 1979, separated in 1992, and following the husband’s commencement of an action for divorce in April 2019, were divorced in July 2020. The former husband (husband) appealed from a January 2023 Supreme Court order, which denied his motion to modify a February 2020 order, to seek, among other things, an award of 100% of the net proceeds of the sale of the marital residence. The Second Department affirmed on this issue, noting that the husband “</w:t>
      </w:r>
      <w:r w:rsidRPr="0027097A">
        <w:rPr>
          <w:rFonts w:ascii="Times New Roman" w:hAnsi="Times New Roman" w:cs="Times New Roman"/>
        </w:rPr>
        <w:t>in effect, contends that a change of circumstances existed warranting a modification of the provision in the February 2020 order directing that the net proceeds of the sale of the marital residence be divided equally between the parties</w:t>
      </w:r>
      <w:r w:rsidRPr="00C805A8">
        <w:rPr>
          <w:rFonts w:ascii="Times New Roman" w:hAnsi="Times New Roman" w:cs="Times New Roman"/>
        </w:rPr>
        <w:t>.” Specifically, the husband testified that following the inquest resulting in the February 2020 order, “</w:t>
      </w:r>
      <w:r w:rsidRPr="0027097A">
        <w:rPr>
          <w:rFonts w:ascii="Times New Roman" w:hAnsi="Times New Roman" w:cs="Times New Roman"/>
        </w:rPr>
        <w:t>he learned of the mortgages and liens on the marital residence for the first time and that satisfaction thereof reduced the amount of his anticipated share of the net proceeds of the sale of the marital residence.</w:t>
      </w:r>
      <w:r w:rsidRPr="00C805A8">
        <w:rPr>
          <w:rFonts w:ascii="Times New Roman" w:hAnsi="Times New Roman" w:cs="Times New Roman"/>
        </w:rPr>
        <w:t>” The Appellate Division noted that “</w:t>
      </w:r>
      <w:r w:rsidRPr="0027097A">
        <w:rPr>
          <w:rFonts w:ascii="Times New Roman" w:hAnsi="Times New Roman" w:cs="Times New Roman"/>
        </w:rPr>
        <w:t>[a]n equitable distribution award cannot be modified . . . based upon a change of circumstances</w:t>
      </w:r>
      <w:r w:rsidRPr="00C805A8">
        <w:rPr>
          <w:rFonts w:ascii="Times New Roman" w:hAnsi="Times New Roman" w:cs="Times New Roman"/>
        </w:rPr>
        <w:t xml:space="preserve"> (citations omitted</w:t>
      </w:r>
      <w:r>
        <w:rPr>
          <w:rFonts w:ascii="Times New Roman" w:hAnsi="Times New Roman" w:cs="Times New Roman"/>
        </w:rPr>
        <w:t>)</w:t>
      </w:r>
      <w:r w:rsidRPr="00C805A8">
        <w:rPr>
          <w:rFonts w:ascii="Times New Roman" w:hAnsi="Times New Roman" w:cs="Times New Roman"/>
        </w:rPr>
        <w:t>” and “</w:t>
      </w:r>
      <w:r w:rsidRPr="0027097A">
        <w:rPr>
          <w:rFonts w:ascii="Times New Roman" w:hAnsi="Times New Roman" w:cs="Times New Roman"/>
        </w:rPr>
        <w:t xml:space="preserve">even assuming that the </w:t>
      </w:r>
      <w:r w:rsidRPr="00C805A8">
        <w:rPr>
          <w:rFonts w:ascii="Times New Roman" w:hAnsi="Times New Roman" w:cs="Times New Roman"/>
        </w:rPr>
        <w:t xml:space="preserve">[husband] </w:t>
      </w:r>
      <w:r w:rsidRPr="0027097A">
        <w:rPr>
          <w:rFonts w:ascii="Times New Roman" w:hAnsi="Times New Roman" w:cs="Times New Roman"/>
        </w:rPr>
        <w:t xml:space="preserve">established a change of circumstances, the Supreme Court properly denied </w:t>
      </w:r>
      <w:r w:rsidRPr="00C805A8">
        <w:rPr>
          <w:rFonts w:ascii="Times New Roman" w:hAnsi="Times New Roman" w:cs="Times New Roman"/>
        </w:rPr>
        <w:t xml:space="preserve">*** </w:t>
      </w:r>
      <w:r w:rsidRPr="0027097A">
        <w:rPr>
          <w:rFonts w:ascii="Times New Roman" w:hAnsi="Times New Roman" w:cs="Times New Roman"/>
        </w:rPr>
        <w:t xml:space="preserve">his motion </w:t>
      </w:r>
      <w:r w:rsidRPr="00C805A8">
        <w:rPr>
          <w:rFonts w:ascii="Times New Roman" w:hAnsi="Times New Roman" w:cs="Times New Roman"/>
        </w:rPr>
        <w:t>****</w:t>
      </w:r>
      <w:r w:rsidRPr="0027097A">
        <w:rPr>
          <w:rFonts w:ascii="Times New Roman" w:hAnsi="Times New Roman" w:cs="Times New Roman"/>
        </w:rPr>
        <w:t>, in effect, to modify the February 2020 order so as to award him 100% of the net proceeds of the sale of the marital residence.</w:t>
      </w:r>
      <w:r w:rsidRPr="00C805A8">
        <w:rPr>
          <w:rFonts w:ascii="Times New Roman" w:hAnsi="Times New Roman" w:cs="Times New Roman"/>
        </w:rPr>
        <w:t>”</w:t>
      </w:r>
    </w:p>
    <w:p w14:paraId="023AF432" w14:textId="77777777" w:rsidR="0021394D" w:rsidRDefault="0021394D" w:rsidP="0021394D">
      <w:pPr>
        <w:pStyle w:val="Heading2"/>
        <w:numPr>
          <w:ilvl w:val="0"/>
          <w:numId w:val="0"/>
        </w:numPr>
        <w:spacing w:line="240" w:lineRule="auto"/>
        <w:contextualSpacing/>
        <w:jc w:val="both"/>
        <w:rPr>
          <w:rFonts w:ascii="Times New Roman" w:hAnsi="Times New Roman" w:cs="Times New Roman"/>
        </w:rPr>
      </w:pPr>
    </w:p>
    <w:p w14:paraId="08D4D469" w14:textId="0D751AFB" w:rsidR="008E2137" w:rsidRPr="008E2137" w:rsidRDefault="0021394D" w:rsidP="008E2137">
      <w:pPr>
        <w:pStyle w:val="Heading2"/>
        <w:numPr>
          <w:ilvl w:val="0"/>
          <w:numId w:val="0"/>
        </w:numPr>
        <w:rPr>
          <w:b/>
          <w:bCs/>
        </w:rPr>
      </w:pPr>
      <w:r w:rsidRPr="008E2137">
        <w:rPr>
          <w:rFonts w:ascii="Times New Roman" w:hAnsi="Times New Roman" w:cs="Times New Roman"/>
          <w:b/>
          <w:bCs/>
        </w:rPr>
        <w:t>Evidence –</w:t>
      </w:r>
      <w:r w:rsidR="008E2137" w:rsidRPr="008E2137">
        <w:rPr>
          <w:rFonts w:ascii="Times New Roman" w:hAnsi="Times New Roman" w:cs="Times New Roman"/>
          <w:b/>
          <w:bCs/>
        </w:rPr>
        <w:t xml:space="preserve"> Custody – Chart Prepared by a Party</w:t>
      </w:r>
    </w:p>
    <w:p w14:paraId="40B38E55" w14:textId="67E56CF3" w:rsidR="0021394D" w:rsidRDefault="008E2137" w:rsidP="008E2137">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8E2137">
        <w:rPr>
          <w:rFonts w:ascii="Times New Roman" w:hAnsi="Times New Roman" w:cs="Times New Roman"/>
          <w:b/>
          <w:bCs/>
          <w:i/>
          <w:iCs/>
        </w:rPr>
        <w:t>Matter of Abraham v. Banaszek</w:t>
      </w:r>
      <w:r>
        <w:rPr>
          <w:rFonts w:ascii="Times New Roman" w:hAnsi="Times New Roman" w:cs="Times New Roman"/>
        </w:rPr>
        <w:t>, 2025 Westlaw 2845882 (2d Dept. Oct. 8, 2025), the father appealed from a July 2022 Family Court order which, among other things, awarded the mother sole legal and physical custody of the parties’ child born in 2017. The Second Department affirmed, holding: “</w:t>
      </w:r>
      <w:r w:rsidRPr="00E72890">
        <w:rPr>
          <w:rFonts w:ascii="Times New Roman" w:hAnsi="Times New Roman" w:cs="Times New Roman"/>
        </w:rPr>
        <w:t xml:space="preserve">Although the Family Court improvidently exercised its discretion in admitting </w:t>
      </w:r>
      <w:r w:rsidRPr="00E72890">
        <w:rPr>
          <w:rFonts w:ascii="Times New Roman" w:hAnsi="Times New Roman" w:cs="Times New Roman"/>
        </w:rPr>
        <w:lastRenderedPageBreak/>
        <w:t>into evidence a chart prepared by the mother which documented the father's missed parental access, admission of the chart was harmless, as there is a sound and substantial basis in the record for the court's determination without consideration of the chart</w:t>
      </w:r>
      <w:r>
        <w:rPr>
          <w:rFonts w:ascii="Times New Roman" w:hAnsi="Times New Roman" w:cs="Times New Roman"/>
        </w:rPr>
        <w:t xml:space="preserve"> (citation omitted).”</w:t>
      </w:r>
    </w:p>
    <w:p w14:paraId="1CCFCC94" w14:textId="77777777" w:rsidR="00DA4C53" w:rsidRDefault="00DA4C53" w:rsidP="008E2137">
      <w:pPr>
        <w:pStyle w:val="Heading2"/>
        <w:numPr>
          <w:ilvl w:val="0"/>
          <w:numId w:val="0"/>
        </w:numPr>
        <w:spacing w:line="240" w:lineRule="auto"/>
        <w:contextualSpacing/>
        <w:jc w:val="both"/>
        <w:rPr>
          <w:rFonts w:ascii="Times New Roman" w:hAnsi="Times New Roman" w:cs="Times New Roman"/>
        </w:rPr>
      </w:pPr>
    </w:p>
    <w:p w14:paraId="367F867C" w14:textId="3FB3AE12" w:rsidR="00DA4C53" w:rsidRPr="00DA4C53" w:rsidRDefault="00DA4C53" w:rsidP="00DA4C53">
      <w:pPr>
        <w:pStyle w:val="Heading2"/>
        <w:numPr>
          <w:ilvl w:val="0"/>
          <w:numId w:val="0"/>
        </w:numPr>
        <w:rPr>
          <w:b/>
          <w:bCs/>
        </w:rPr>
      </w:pPr>
      <w:r w:rsidRPr="00DA4C53">
        <w:rPr>
          <w:rFonts w:ascii="Times New Roman" w:hAnsi="Times New Roman" w:cs="Times New Roman"/>
          <w:b/>
          <w:bCs/>
        </w:rPr>
        <w:t>Evidence –</w:t>
      </w:r>
      <w:r w:rsidR="00792DC9">
        <w:rPr>
          <w:rFonts w:ascii="Times New Roman" w:hAnsi="Times New Roman" w:cs="Times New Roman"/>
          <w:b/>
          <w:bCs/>
        </w:rPr>
        <w:t xml:space="preserve"> </w:t>
      </w:r>
      <w:r w:rsidRPr="00DA4C53">
        <w:rPr>
          <w:rFonts w:ascii="Times New Roman" w:hAnsi="Times New Roman" w:cs="Times New Roman"/>
          <w:b/>
          <w:bCs/>
        </w:rPr>
        <w:t>Judicial Notice – Prior Orders and Proceedings</w:t>
      </w:r>
    </w:p>
    <w:p w14:paraId="63EED278" w14:textId="5557231B" w:rsidR="00DA4C53" w:rsidRDefault="00DA4C53" w:rsidP="00DA4C53">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DA4C53">
        <w:rPr>
          <w:rFonts w:ascii="Times New Roman" w:hAnsi="Times New Roman" w:cs="Times New Roman"/>
          <w:b/>
          <w:bCs/>
          <w:i/>
          <w:iCs/>
        </w:rPr>
        <w:t>Matter of Carlo A. v. Pamela B</w:t>
      </w:r>
      <w:r w:rsidRPr="009507F4">
        <w:rPr>
          <w:rFonts w:ascii="Times New Roman" w:hAnsi="Times New Roman" w:cs="Times New Roman"/>
        </w:rPr>
        <w:t>.</w:t>
      </w:r>
      <w:r>
        <w:rPr>
          <w:rFonts w:ascii="Times New Roman" w:hAnsi="Times New Roman" w:cs="Times New Roman"/>
        </w:rPr>
        <w:t>, 2025 Westlaw 2933539 (3d Dept. Oct. 16, 2025), the mother appealed from a September 2023 Family Court order, which, following a hearing upon the father’s January 2023 application to modify a September 2014 consent order (joint legal, primary to mother, alternate weekends and 2 weekday overnights to father), continued joint legal custody (final decision-making to father if disagreement), granted primary physical custody of the parties’ child born in 2011 to the father, with alternate weekends, one weekday overnight, and alternate weeks in the summer, to the mother. The father alleged that “the mother subjected the child to domestic violence, has stayed in abusive relationships, has abused the child, has been the subject of a neglect proceeding, has an unstable housing history and has prevented him from having contact with the child.” The Third Department affirmed, noting that on appeal, “the mother has advanced only one argument, namely, that Family Court erred in taking judicial notice of a prior neglect proceeding that involved the mother and the resultant order of [ACOD], and further asserts that the court mischaracterized the order as a finding of neglect.” The Appellate Division observed: “This issue, however, is unpreserved in the absence of a timely and appropriate objection (citations omitted).” The Court concluded that “[</w:t>
      </w:r>
      <w:proofErr w:type="spellStart"/>
      <w:r>
        <w:rPr>
          <w:rFonts w:ascii="Times New Roman" w:hAnsi="Times New Roman" w:cs="Times New Roman"/>
        </w:rPr>
        <w:t>i</w:t>
      </w:r>
      <w:proofErr w:type="spellEnd"/>
      <w:r>
        <w:rPr>
          <w:rFonts w:ascii="Times New Roman" w:hAnsi="Times New Roman" w:cs="Times New Roman"/>
        </w:rPr>
        <w:t>]t is well settled that a court may take judicial notice of its own prior proceedings and orders and is vested with broad discretion in determining the parameters for proof to be accepted at the hearing (internal quotation marks and citations omitted).”</w:t>
      </w:r>
    </w:p>
    <w:p w14:paraId="33453756" w14:textId="77777777" w:rsidR="008E2137" w:rsidRDefault="008E2137" w:rsidP="008E2137">
      <w:pPr>
        <w:pStyle w:val="Heading2"/>
        <w:numPr>
          <w:ilvl w:val="0"/>
          <w:numId w:val="0"/>
        </w:numPr>
        <w:spacing w:line="240" w:lineRule="auto"/>
        <w:contextualSpacing/>
        <w:jc w:val="both"/>
        <w:rPr>
          <w:rFonts w:ascii="Times New Roman" w:hAnsi="Times New Roman" w:cs="Times New Roman"/>
        </w:rPr>
      </w:pPr>
    </w:p>
    <w:p w14:paraId="63D45116" w14:textId="7A417631" w:rsidR="008E2137" w:rsidRPr="008E2137" w:rsidRDefault="008E2137" w:rsidP="008E2137">
      <w:pPr>
        <w:pStyle w:val="Heading2"/>
        <w:numPr>
          <w:ilvl w:val="0"/>
          <w:numId w:val="0"/>
        </w:numPr>
        <w:jc w:val="both"/>
        <w:rPr>
          <w:b/>
          <w:bCs/>
        </w:rPr>
      </w:pPr>
      <w:r w:rsidRPr="008E2137">
        <w:rPr>
          <w:rFonts w:ascii="Times New Roman" w:hAnsi="Times New Roman" w:cs="Times New Roman"/>
          <w:b/>
          <w:bCs/>
        </w:rPr>
        <w:t>Family Offense - Disorderly Contact – Found; No Final O/P Issued; Proceeding Dismissed</w:t>
      </w:r>
    </w:p>
    <w:p w14:paraId="262934CF" w14:textId="5184A9BC" w:rsidR="008E2137" w:rsidRDefault="008E2137" w:rsidP="008E2137">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8E2137">
        <w:rPr>
          <w:rFonts w:ascii="Times New Roman" w:hAnsi="Times New Roman" w:cs="Times New Roman"/>
          <w:b/>
          <w:bCs/>
          <w:i/>
          <w:iCs/>
        </w:rPr>
        <w:t>Matter of D.W. v. D.W. et al</w:t>
      </w:r>
      <w:r w:rsidRPr="00792DC9">
        <w:rPr>
          <w:rFonts w:ascii="Times New Roman" w:hAnsi="Times New Roman" w:cs="Times New Roman"/>
        </w:rPr>
        <w:t>.</w:t>
      </w:r>
      <w:r>
        <w:rPr>
          <w:rFonts w:ascii="Times New Roman" w:hAnsi="Times New Roman" w:cs="Times New Roman"/>
        </w:rPr>
        <w:t xml:space="preserve">, </w:t>
      </w:r>
      <w:r w:rsidR="00792DC9">
        <w:rPr>
          <w:rFonts w:ascii="Times New Roman" w:hAnsi="Times New Roman" w:cs="Times New Roman"/>
        </w:rPr>
        <w:t xml:space="preserve">240 NYS3d 390 </w:t>
      </w:r>
      <w:r>
        <w:rPr>
          <w:rFonts w:ascii="Times New Roman" w:hAnsi="Times New Roman" w:cs="Times New Roman"/>
        </w:rPr>
        <w:t>(1</w:t>
      </w:r>
      <w:r w:rsidRPr="000C192B">
        <w:rPr>
          <w:rFonts w:ascii="Times New Roman" w:hAnsi="Times New Roman" w:cs="Times New Roman"/>
          <w:vertAlign w:val="superscript"/>
        </w:rPr>
        <w:t>st</w:t>
      </w:r>
      <w:r>
        <w:rPr>
          <w:rFonts w:ascii="Times New Roman" w:hAnsi="Times New Roman" w:cs="Times New Roman"/>
        </w:rPr>
        <w:t xml:space="preserve"> Dept. Oct. 7, 2025), petitioner appealed from a February 2025 Family Court order, which dismissed her family offense petitions against respondents. The First Department affirmed, stating: “Although Family Court found that respondents’ actions constituted the family offense of disorderly conduct (Penal Law §240.20), the court did not abuse its discretion in finding that an order</w:t>
      </w:r>
      <w:r w:rsidR="00C07965">
        <w:rPr>
          <w:rFonts w:ascii="Times New Roman" w:hAnsi="Times New Roman" w:cs="Times New Roman"/>
        </w:rPr>
        <w:t xml:space="preserve"> of</w:t>
      </w:r>
      <w:r>
        <w:rPr>
          <w:rFonts w:ascii="Times New Roman" w:hAnsi="Times New Roman" w:cs="Times New Roman"/>
        </w:rPr>
        <w:t xml:space="preserve"> protection was not warranted under the circumstances.” The Appellate Division found that “petitioner never made any specific claims that she feared continued violence from respondents” and “respondents never violated the temporary order of protection in the two-and-a-half years the underlying proceeding was pending.” The Court rejected petitioner’s request for substituted judgment upon appeal, finding “it cannot be said that [Family Court’s] determination could not be reached under any fair interpretation of the evidence (internal quotation marks and citation omitted).” The First Department concluded that “Family Court did not terminate proceedings prematurely as there is no dispute that respondents testified in support of their direct case before the court dismissed the petitions.”</w:t>
      </w:r>
    </w:p>
    <w:p w14:paraId="509A6668" w14:textId="77777777" w:rsidR="008E2137" w:rsidRDefault="008E2137" w:rsidP="008E2137">
      <w:pPr>
        <w:pStyle w:val="Heading2"/>
        <w:numPr>
          <w:ilvl w:val="0"/>
          <w:numId w:val="0"/>
        </w:numPr>
        <w:spacing w:line="240" w:lineRule="auto"/>
        <w:contextualSpacing/>
        <w:jc w:val="both"/>
        <w:rPr>
          <w:rFonts w:ascii="Times New Roman" w:hAnsi="Times New Roman" w:cs="Times New Roman"/>
        </w:rPr>
      </w:pPr>
    </w:p>
    <w:p w14:paraId="51A1CF6E" w14:textId="4D765D21" w:rsidR="008E2137" w:rsidRPr="00444E1C" w:rsidRDefault="008E2137" w:rsidP="008E2137">
      <w:pPr>
        <w:pStyle w:val="Heading2"/>
        <w:numPr>
          <w:ilvl w:val="0"/>
          <w:numId w:val="0"/>
        </w:numPr>
        <w:spacing w:line="240" w:lineRule="auto"/>
        <w:contextualSpacing/>
        <w:jc w:val="both"/>
        <w:rPr>
          <w:rFonts w:ascii="Times New Roman" w:hAnsi="Times New Roman" w:cs="Times New Roman"/>
          <w:b/>
          <w:bCs/>
        </w:rPr>
      </w:pPr>
      <w:r w:rsidRPr="00444E1C">
        <w:rPr>
          <w:rFonts w:ascii="Times New Roman" w:hAnsi="Times New Roman" w:cs="Times New Roman"/>
          <w:b/>
          <w:bCs/>
        </w:rPr>
        <w:t>Family Offense - Disorderly Conduct, Harassment 2d,</w:t>
      </w:r>
      <w:r w:rsidR="003E2392">
        <w:rPr>
          <w:rFonts w:ascii="Times New Roman" w:hAnsi="Times New Roman" w:cs="Times New Roman"/>
          <w:b/>
          <w:bCs/>
        </w:rPr>
        <w:t xml:space="preserve"> </w:t>
      </w:r>
      <w:proofErr w:type="gramStart"/>
      <w:r w:rsidRPr="00444E1C">
        <w:rPr>
          <w:rFonts w:ascii="Times New Roman" w:hAnsi="Times New Roman" w:cs="Times New Roman"/>
          <w:b/>
          <w:bCs/>
        </w:rPr>
        <w:t>Menacing</w:t>
      </w:r>
      <w:proofErr w:type="gramEnd"/>
      <w:r w:rsidRPr="00444E1C">
        <w:rPr>
          <w:rFonts w:ascii="Times New Roman" w:hAnsi="Times New Roman" w:cs="Times New Roman"/>
          <w:b/>
          <w:bCs/>
        </w:rPr>
        <w:t xml:space="preserve"> 3d – Not Found; Vague Allegations in Petition Excluded</w:t>
      </w:r>
    </w:p>
    <w:p w14:paraId="7DBCCC67" w14:textId="77777777" w:rsidR="008E2137" w:rsidRPr="007A7946" w:rsidRDefault="008E2137" w:rsidP="008E2137">
      <w:pPr>
        <w:pStyle w:val="Heading2"/>
        <w:numPr>
          <w:ilvl w:val="0"/>
          <w:numId w:val="0"/>
        </w:numPr>
        <w:spacing w:line="240" w:lineRule="auto"/>
        <w:contextualSpacing/>
        <w:jc w:val="both"/>
      </w:pPr>
    </w:p>
    <w:p w14:paraId="260BCDC0" w14:textId="18E1EE5B" w:rsidR="00D71EA0" w:rsidRDefault="008E2137" w:rsidP="008E2137">
      <w:pPr>
        <w:pStyle w:val="Heading2"/>
        <w:numPr>
          <w:ilvl w:val="0"/>
          <w:numId w:val="0"/>
        </w:numPr>
        <w:spacing w:line="240" w:lineRule="auto"/>
        <w:contextualSpacing/>
        <w:jc w:val="both"/>
        <w:rPr>
          <w:rFonts w:ascii="Times New Roman" w:hAnsi="Times New Roman" w:cs="Times New Roman"/>
          <w:b/>
          <w:bCs/>
        </w:rPr>
      </w:pPr>
      <w:r>
        <w:rPr>
          <w:rFonts w:ascii="Times New Roman" w:hAnsi="Times New Roman" w:cs="Times New Roman"/>
        </w:rPr>
        <w:tab/>
        <w:t xml:space="preserve">In </w:t>
      </w:r>
      <w:r w:rsidRPr="00444E1C">
        <w:rPr>
          <w:rFonts w:ascii="Times New Roman" w:hAnsi="Times New Roman" w:cs="Times New Roman"/>
          <w:b/>
          <w:bCs/>
          <w:i/>
          <w:iCs/>
        </w:rPr>
        <w:t>Matter of D.K. v. D.L.</w:t>
      </w:r>
      <w:r>
        <w:rPr>
          <w:rFonts w:ascii="Times New Roman" w:hAnsi="Times New Roman" w:cs="Times New Roman"/>
        </w:rPr>
        <w:t>, 2025 Westlaw 2832085 (1</w:t>
      </w:r>
      <w:r w:rsidRPr="007A7946">
        <w:rPr>
          <w:rFonts w:ascii="Times New Roman" w:hAnsi="Times New Roman" w:cs="Times New Roman"/>
          <w:vertAlign w:val="superscript"/>
        </w:rPr>
        <w:t>st</w:t>
      </w:r>
      <w:r>
        <w:rPr>
          <w:rFonts w:ascii="Times New Roman" w:hAnsi="Times New Roman" w:cs="Times New Roman"/>
        </w:rPr>
        <w:t xml:space="preserve"> Dept. Oct. 7, 2025), petitioner appealed from an October 2023 Family Court order which, after a hearing, </w:t>
      </w:r>
      <w:r w:rsidRPr="002A2E91">
        <w:rPr>
          <w:rFonts w:ascii="Times New Roman" w:hAnsi="Times New Roman" w:cs="Times New Roman"/>
        </w:rPr>
        <w:t xml:space="preserve">dismissed her petition due to insufficient evidence of disorderly conduct, harassment 2d and menacing 3d. The First </w:t>
      </w:r>
      <w:r w:rsidRPr="002A2E91">
        <w:rPr>
          <w:rFonts w:ascii="Times New Roman" w:hAnsi="Times New Roman" w:cs="Times New Roman"/>
        </w:rPr>
        <w:lastRenderedPageBreak/>
        <w:t xml:space="preserve">Department affirmed, holding that as to </w:t>
      </w:r>
      <w:r w:rsidRPr="007A7946">
        <w:rPr>
          <w:rFonts w:ascii="Times New Roman" w:hAnsi="Times New Roman" w:cs="Times New Roman"/>
        </w:rPr>
        <w:t>disorderly conduct</w:t>
      </w:r>
      <w:r w:rsidRPr="002A2E91">
        <w:rPr>
          <w:rFonts w:ascii="Times New Roman" w:hAnsi="Times New Roman" w:cs="Times New Roman"/>
        </w:rPr>
        <w:t>, “</w:t>
      </w:r>
      <w:r w:rsidRPr="007A7946">
        <w:rPr>
          <w:rFonts w:ascii="Times New Roman" w:hAnsi="Times New Roman" w:cs="Times New Roman"/>
        </w:rPr>
        <w:t>none of the alleged acts occurred in public, were intended to cause a public inconvenience, annoyance or alarm, or recklessly created such a risk</w:t>
      </w:r>
      <w:r w:rsidRPr="002A2E91">
        <w:rPr>
          <w:rFonts w:ascii="Times New Roman" w:hAnsi="Times New Roman" w:cs="Times New Roman"/>
        </w:rPr>
        <w:t>” and petitioner present</w:t>
      </w:r>
      <w:r w:rsidR="00C07965">
        <w:rPr>
          <w:rFonts w:ascii="Times New Roman" w:hAnsi="Times New Roman" w:cs="Times New Roman"/>
        </w:rPr>
        <w:t>ed</w:t>
      </w:r>
      <w:r w:rsidRPr="002A2E91">
        <w:rPr>
          <w:rFonts w:ascii="Times New Roman" w:hAnsi="Times New Roman" w:cs="Times New Roman"/>
        </w:rPr>
        <w:t xml:space="preserve"> no evidence “</w:t>
      </w:r>
      <w:r w:rsidRPr="007A7946">
        <w:rPr>
          <w:rFonts w:ascii="Times New Roman" w:hAnsi="Times New Roman" w:cs="Times New Roman"/>
        </w:rPr>
        <w:t>as to how respondent intended to cause or recklessly created a risk of causing, public inconvenience, annoyance, or alarm given that the altercation occurred in the parties</w:t>
      </w:r>
      <w:r w:rsidRPr="002A2E91">
        <w:rPr>
          <w:rFonts w:ascii="Times New Roman" w:hAnsi="Times New Roman" w:cs="Times New Roman"/>
        </w:rPr>
        <w:t>’</w:t>
      </w:r>
      <w:r w:rsidRPr="007A7946">
        <w:rPr>
          <w:rFonts w:ascii="Times New Roman" w:hAnsi="Times New Roman" w:cs="Times New Roman"/>
        </w:rPr>
        <w:t xml:space="preserve"> private residence</w:t>
      </w:r>
      <w:r w:rsidRPr="002A2E91">
        <w:rPr>
          <w:rFonts w:ascii="Times New Roman" w:hAnsi="Times New Roman" w:cs="Times New Roman"/>
        </w:rPr>
        <w:t xml:space="preserve">.” Regarding </w:t>
      </w:r>
      <w:r w:rsidRPr="007A7946">
        <w:rPr>
          <w:rFonts w:ascii="Times New Roman" w:hAnsi="Times New Roman" w:cs="Times New Roman"/>
        </w:rPr>
        <w:t>harassment in the second degree,</w:t>
      </w:r>
      <w:r w:rsidRPr="002A2E91">
        <w:rPr>
          <w:rFonts w:ascii="Times New Roman" w:hAnsi="Times New Roman" w:cs="Times New Roman"/>
        </w:rPr>
        <w:t xml:space="preserve"> the Appellate Division held that</w:t>
      </w:r>
      <w:r w:rsidRPr="007A7946">
        <w:rPr>
          <w:rFonts w:ascii="Times New Roman" w:hAnsi="Times New Roman" w:cs="Times New Roman"/>
        </w:rPr>
        <w:t xml:space="preserve"> </w:t>
      </w:r>
      <w:r w:rsidRPr="002A2E91">
        <w:rPr>
          <w:rFonts w:ascii="Times New Roman" w:hAnsi="Times New Roman" w:cs="Times New Roman"/>
        </w:rPr>
        <w:t>“</w:t>
      </w:r>
      <w:r w:rsidRPr="007A7946">
        <w:rPr>
          <w:rFonts w:ascii="Times New Roman" w:hAnsi="Times New Roman" w:cs="Times New Roman"/>
        </w:rPr>
        <w:t xml:space="preserve">petitioner failed to adduce evidence that would support a finding that respondent engaged in a course of conduct or repeatedly committed acts which alarmed or seriously annoyed </w:t>
      </w:r>
      <w:r w:rsidRPr="002A2E91">
        <w:rPr>
          <w:rFonts w:ascii="Times New Roman" w:hAnsi="Times New Roman" w:cs="Times New Roman"/>
        </w:rPr>
        <w:t>[her]</w:t>
      </w:r>
      <w:r w:rsidRPr="007A7946">
        <w:rPr>
          <w:rFonts w:ascii="Times New Roman" w:hAnsi="Times New Roman" w:cs="Times New Roman"/>
        </w:rPr>
        <w:t>, and which served no legitimate purpose</w:t>
      </w:r>
      <w:r w:rsidRPr="002A2E91">
        <w:rPr>
          <w:rFonts w:ascii="Times New Roman" w:hAnsi="Times New Roman" w:cs="Times New Roman"/>
        </w:rPr>
        <w:t>,” noting that: her “</w:t>
      </w:r>
      <w:r w:rsidRPr="007A7946">
        <w:rPr>
          <w:rFonts w:ascii="Times New Roman" w:hAnsi="Times New Roman" w:cs="Times New Roman"/>
        </w:rPr>
        <w:t>testimony that respondent cursed at him and demanded that he talk to her did not establish conduct that served no legitimate purpose</w:t>
      </w:r>
      <w:r w:rsidRPr="002A2E91">
        <w:rPr>
          <w:rFonts w:ascii="Times New Roman" w:hAnsi="Times New Roman" w:cs="Times New Roman"/>
        </w:rPr>
        <w:t>”; and “[u]</w:t>
      </w:r>
      <w:r w:rsidRPr="007A7946">
        <w:rPr>
          <w:rFonts w:ascii="Times New Roman" w:hAnsi="Times New Roman" w:cs="Times New Roman"/>
        </w:rPr>
        <w:t>se of foul or unpleasant language does not rise to the level of harassment</w:t>
      </w:r>
      <w:r w:rsidRPr="002A2E91">
        <w:rPr>
          <w:rFonts w:ascii="Times New Roman" w:hAnsi="Times New Roman" w:cs="Times New Roman"/>
        </w:rPr>
        <w:t xml:space="preserve"> (citation omitted).”</w:t>
      </w:r>
      <w:r w:rsidRPr="007A7946">
        <w:rPr>
          <w:rFonts w:ascii="Times New Roman" w:hAnsi="Times New Roman" w:cs="Times New Roman"/>
        </w:rPr>
        <w:t xml:space="preserve"> As</w:t>
      </w:r>
      <w:r w:rsidRPr="002A2E91">
        <w:rPr>
          <w:rFonts w:ascii="Times New Roman" w:hAnsi="Times New Roman" w:cs="Times New Roman"/>
        </w:rPr>
        <w:t xml:space="preserve"> to</w:t>
      </w:r>
      <w:r w:rsidRPr="007A7946">
        <w:rPr>
          <w:rFonts w:ascii="Times New Roman" w:hAnsi="Times New Roman" w:cs="Times New Roman"/>
        </w:rPr>
        <w:t xml:space="preserve"> menacing </w:t>
      </w:r>
      <w:r w:rsidRPr="002A2E91">
        <w:rPr>
          <w:rFonts w:ascii="Times New Roman" w:hAnsi="Times New Roman" w:cs="Times New Roman"/>
        </w:rPr>
        <w:t>3d, the Court observed that “</w:t>
      </w:r>
      <w:r w:rsidRPr="007A7946">
        <w:rPr>
          <w:rFonts w:ascii="Times New Roman" w:hAnsi="Times New Roman" w:cs="Times New Roman"/>
        </w:rPr>
        <w:t>nothing in the petition or testimony supports the claim that respondent</w:t>
      </w:r>
      <w:r w:rsidRPr="002A2E91">
        <w:rPr>
          <w:rFonts w:ascii="Times New Roman" w:hAnsi="Times New Roman" w:cs="Times New Roman"/>
        </w:rPr>
        <w:t>’</w:t>
      </w:r>
      <w:r w:rsidRPr="007A7946">
        <w:rPr>
          <w:rFonts w:ascii="Times New Roman" w:hAnsi="Times New Roman" w:cs="Times New Roman"/>
        </w:rPr>
        <w:t xml:space="preserve">s conduct put petitioner in fear of death, imminent serious injury, or physical injury </w:t>
      </w:r>
      <w:r w:rsidRPr="002A2E91">
        <w:rPr>
          <w:rFonts w:ascii="Times New Roman" w:hAnsi="Times New Roman" w:cs="Times New Roman"/>
        </w:rPr>
        <w:t>(citation omitted).” The First Department concluded that Family Court properly excluded from consideration “</w:t>
      </w:r>
      <w:r w:rsidRPr="007A7946">
        <w:rPr>
          <w:rFonts w:ascii="Times New Roman" w:hAnsi="Times New Roman" w:cs="Times New Roman"/>
        </w:rPr>
        <w:t xml:space="preserve">certain allegations in the family offense petition </w:t>
      </w:r>
      <w:r w:rsidRPr="002A2E91">
        <w:rPr>
          <w:rFonts w:ascii="Times New Roman" w:hAnsi="Times New Roman" w:cs="Times New Roman"/>
        </w:rPr>
        <w:t xml:space="preserve">[which] </w:t>
      </w:r>
      <w:r w:rsidRPr="007A7946">
        <w:rPr>
          <w:rFonts w:ascii="Times New Roman" w:hAnsi="Times New Roman" w:cs="Times New Roman"/>
        </w:rPr>
        <w:t>were too vague to have put respondent on notice of the incidents to which petitioner testified at trial.</w:t>
      </w:r>
      <w:r w:rsidRPr="002A2E91">
        <w:rPr>
          <w:rFonts w:ascii="Times New Roman" w:hAnsi="Times New Roman" w:cs="Times New Roman"/>
        </w:rPr>
        <w:t>”</w:t>
      </w:r>
    </w:p>
    <w:p w14:paraId="37400C0A" w14:textId="77777777" w:rsidR="00D71EA0" w:rsidRPr="0021394D" w:rsidRDefault="00D71EA0" w:rsidP="008E2137">
      <w:pPr>
        <w:pStyle w:val="Heading2"/>
        <w:numPr>
          <w:ilvl w:val="0"/>
          <w:numId w:val="0"/>
        </w:numPr>
        <w:spacing w:line="240" w:lineRule="auto"/>
        <w:contextualSpacing/>
        <w:jc w:val="both"/>
        <w:rPr>
          <w:rFonts w:ascii="Times New Roman" w:hAnsi="Times New Roman" w:cs="Times New Roman"/>
          <w:b/>
          <w:bCs/>
        </w:rPr>
      </w:pPr>
    </w:p>
    <w:p w14:paraId="628E77A7" w14:textId="0909062B" w:rsidR="003E2392" w:rsidRDefault="003E2392" w:rsidP="00C07965">
      <w:pPr>
        <w:pStyle w:val="Heading2"/>
        <w:numPr>
          <w:ilvl w:val="0"/>
          <w:numId w:val="0"/>
        </w:numPr>
        <w:spacing w:line="240" w:lineRule="auto"/>
        <w:jc w:val="both"/>
        <w:rPr>
          <w:rFonts w:ascii="Times New Roman" w:hAnsi="Times New Roman" w:cs="Times New Roman"/>
          <w:b/>
          <w:bCs/>
        </w:rPr>
      </w:pPr>
      <w:r>
        <w:rPr>
          <w:rFonts w:ascii="Times New Roman" w:hAnsi="Times New Roman" w:cs="Times New Roman"/>
          <w:b/>
          <w:bCs/>
        </w:rPr>
        <w:t xml:space="preserve">Family Offense </w:t>
      </w:r>
      <w:r w:rsidR="00C07965">
        <w:rPr>
          <w:rFonts w:ascii="Times New Roman" w:hAnsi="Times New Roman" w:cs="Times New Roman"/>
          <w:b/>
          <w:bCs/>
        </w:rPr>
        <w:t>–</w:t>
      </w:r>
      <w:r w:rsidRPr="003E2392">
        <w:rPr>
          <w:rFonts w:ascii="Times New Roman" w:hAnsi="Times New Roman" w:cs="Times New Roman"/>
          <w:b/>
          <w:bCs/>
        </w:rPr>
        <w:t xml:space="preserve"> </w:t>
      </w:r>
      <w:r w:rsidRPr="003E2392">
        <w:rPr>
          <w:rFonts w:ascii="Times New Roman" w:hAnsi="Times New Roman" w:cs="Times New Roman"/>
          <w:b/>
          <w:bCs/>
        </w:rPr>
        <w:t>Harassment 2d, Aggravated Harassment 2d [PL 240.30(2)] – Not Found; Aggravated Harassment 2d [PL 240.30(1)(b)] – Found</w:t>
      </w:r>
    </w:p>
    <w:p w14:paraId="1EE7877C" w14:textId="77777777" w:rsidR="00C07965" w:rsidRPr="00EE1C3C" w:rsidRDefault="00C07965" w:rsidP="00C07965">
      <w:pPr>
        <w:pStyle w:val="Heading2"/>
        <w:numPr>
          <w:ilvl w:val="0"/>
          <w:numId w:val="0"/>
        </w:numPr>
        <w:spacing w:line="240" w:lineRule="auto"/>
        <w:jc w:val="both"/>
      </w:pPr>
    </w:p>
    <w:p w14:paraId="2BF8BF37" w14:textId="6A792940" w:rsidR="003E2392" w:rsidRDefault="003E2392" w:rsidP="003E2392">
      <w:pPr>
        <w:pStyle w:val="Heading1"/>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In </w:t>
      </w:r>
      <w:r w:rsidRPr="003E2392">
        <w:rPr>
          <w:rFonts w:ascii="Times New Roman" w:hAnsi="Times New Roman" w:cs="Times New Roman"/>
          <w:b/>
          <w:bCs/>
          <w:i/>
          <w:iCs/>
        </w:rPr>
        <w:t>Matter of T.M.S. v. K.R.G.</w:t>
      </w:r>
      <w:r>
        <w:rPr>
          <w:rFonts w:ascii="Times New Roman" w:hAnsi="Times New Roman" w:cs="Times New Roman"/>
        </w:rPr>
        <w:t>, 2025 Westlaw 3028711 (1</w:t>
      </w:r>
      <w:r w:rsidRPr="00EE1C3C">
        <w:rPr>
          <w:rFonts w:ascii="Times New Roman" w:hAnsi="Times New Roman" w:cs="Times New Roman"/>
          <w:vertAlign w:val="superscript"/>
        </w:rPr>
        <w:t>st</w:t>
      </w:r>
      <w:r>
        <w:rPr>
          <w:rFonts w:ascii="Times New Roman" w:hAnsi="Times New Roman" w:cs="Times New Roman"/>
        </w:rPr>
        <w:t xml:space="preserve"> Dept. Oct. 30, 2025), respondent appealed from a July 2024 Family Court order, which found that he had committed harassment 2d and aggravated harassment 2d [PL 240.30(2)]. The First Department modified, on the law and the facts, by vacating the foregoing findings and making its own determination that respondent committed harassment 2d [PL 240.30(1)(b)]. Regarding harassment 2d, the Appellate Division found, among other things, that while “</w:t>
      </w:r>
      <w:r w:rsidRPr="00E84E67">
        <w:rPr>
          <w:rFonts w:ascii="Times New Roman" w:hAnsi="Times New Roman" w:cs="Times New Roman"/>
        </w:rPr>
        <w:t>petitioner testified that respondent had threatened to contact Administration for Children's Services (ACS) to commence an investigation against her, posted a video on the Internet in 2021 threatening to kill her husband, and sent her about five text messages and left her a voicemail on September 6, 2023, she failed to testify what false allegations respondent made against her, the content of the text messages or the voicemail he purportedly sent her, or that she ever told him to stop contacting her before filing the underlying family offense petition against him</w:t>
      </w:r>
      <w:r>
        <w:rPr>
          <w:rFonts w:ascii="Times New Roman" w:hAnsi="Times New Roman" w:cs="Times New Roman"/>
        </w:rPr>
        <w:t>” and therefore “</w:t>
      </w:r>
      <w:r w:rsidRPr="00E84E67">
        <w:rPr>
          <w:rFonts w:ascii="Times New Roman" w:hAnsi="Times New Roman" w:cs="Times New Roman"/>
        </w:rPr>
        <w:t>failed to establish her prima facie case under Penal Law §240.26(3)</w:t>
      </w:r>
      <w:r>
        <w:rPr>
          <w:rFonts w:ascii="Times New Roman" w:hAnsi="Times New Roman" w:cs="Times New Roman"/>
        </w:rPr>
        <w:t xml:space="preserve">.” The First Department concluded that </w:t>
      </w:r>
      <w:r w:rsidRPr="00816E09">
        <w:rPr>
          <w:rFonts w:ascii="Times New Roman" w:hAnsi="Times New Roman" w:cs="Times New Roman"/>
        </w:rPr>
        <w:t xml:space="preserve">Petitioner </w:t>
      </w:r>
      <w:r>
        <w:rPr>
          <w:rFonts w:ascii="Times New Roman" w:hAnsi="Times New Roman" w:cs="Times New Roman"/>
        </w:rPr>
        <w:t>“</w:t>
      </w:r>
      <w:r w:rsidRPr="00816E09">
        <w:rPr>
          <w:rFonts w:ascii="Times New Roman" w:hAnsi="Times New Roman" w:cs="Times New Roman"/>
        </w:rPr>
        <w:t>also failed to establish aggravated harassment in the second degree under Penal Law §240.30(2) because she never testified about what respondent said to her or that she told him to stop contacting her before filing the underlying family offense petition to establish that respondent's text and voicemail messages were made with intent to harass, annoy, threaten, or alarm her.</w:t>
      </w:r>
      <w:r>
        <w:rPr>
          <w:rFonts w:ascii="Times New Roman" w:hAnsi="Times New Roman" w:cs="Times New Roman"/>
        </w:rPr>
        <w:t xml:space="preserve">” The Appellate Division did find </w:t>
      </w:r>
      <w:r w:rsidRPr="00816E09">
        <w:rPr>
          <w:rFonts w:ascii="Times New Roman" w:hAnsi="Times New Roman" w:cs="Times New Roman"/>
        </w:rPr>
        <w:t xml:space="preserve">that </w:t>
      </w:r>
      <w:r>
        <w:rPr>
          <w:rFonts w:ascii="Times New Roman" w:hAnsi="Times New Roman" w:cs="Times New Roman"/>
        </w:rPr>
        <w:t>“</w:t>
      </w:r>
      <w:r w:rsidRPr="00816E09">
        <w:rPr>
          <w:rFonts w:ascii="Times New Roman" w:hAnsi="Times New Roman" w:cs="Times New Roman"/>
        </w:rPr>
        <w:t>respondent's actions of posting a video to the Internet in 2021 constituted the family offense of aggravated harassment under Penal Law §240.30(1)(b)</w:t>
      </w:r>
      <w:r>
        <w:rPr>
          <w:rFonts w:ascii="Times New Roman" w:hAnsi="Times New Roman" w:cs="Times New Roman"/>
        </w:rPr>
        <w:t>,” while noting: “</w:t>
      </w:r>
      <w:r w:rsidRPr="00816E09">
        <w:rPr>
          <w:rFonts w:ascii="Times New Roman" w:hAnsi="Times New Roman" w:cs="Times New Roman"/>
        </w:rPr>
        <w:t>Petitioner's testimony, which Family Court credited, established by a preponderance of the evidence that respondent posted a video to the Internet stating that he had a gun, and that if petitioner's husband came to Delaware, respondent would shoot him</w:t>
      </w:r>
      <w:r>
        <w:rPr>
          <w:rFonts w:ascii="Times New Roman" w:hAnsi="Times New Roman" w:cs="Times New Roman"/>
        </w:rPr>
        <w:t xml:space="preserve">,” which </w:t>
      </w:r>
      <w:r w:rsidRPr="00816E09">
        <w:rPr>
          <w:rFonts w:ascii="Times New Roman" w:hAnsi="Times New Roman" w:cs="Times New Roman"/>
        </w:rPr>
        <w:t>constitutes the family offense of second-degree aggravated harassment under Penal Law § 240.30(1)(b)</w:t>
      </w:r>
      <w:r>
        <w:rPr>
          <w:rFonts w:ascii="Times New Roman" w:hAnsi="Times New Roman" w:cs="Times New Roman"/>
        </w:rPr>
        <w:t>”; and “</w:t>
      </w:r>
      <w:r w:rsidRPr="00816E09">
        <w:rPr>
          <w:rFonts w:ascii="Times New Roman" w:hAnsi="Times New Roman" w:cs="Times New Roman"/>
        </w:rPr>
        <w:t>Respondent's intent to harass, annoy or alarm petitioner may be inferred from respondent's threats to kill her husband</w:t>
      </w:r>
      <w:r>
        <w:rPr>
          <w:rFonts w:ascii="Times New Roman" w:hAnsi="Times New Roman" w:cs="Times New Roman"/>
        </w:rPr>
        <w:t>.”</w:t>
      </w:r>
    </w:p>
    <w:p w14:paraId="439CC5E4" w14:textId="77777777" w:rsidR="009A4CE7" w:rsidRDefault="009A4CE7" w:rsidP="003E2392">
      <w:pPr>
        <w:pStyle w:val="Heading1"/>
        <w:numPr>
          <w:ilvl w:val="0"/>
          <w:numId w:val="0"/>
        </w:numPr>
        <w:spacing w:line="240" w:lineRule="auto"/>
        <w:contextualSpacing/>
        <w:jc w:val="both"/>
        <w:rPr>
          <w:rFonts w:ascii="Times New Roman" w:hAnsi="Times New Roman" w:cs="Times New Roman"/>
        </w:rPr>
      </w:pPr>
    </w:p>
    <w:p w14:paraId="2DDD42CF" w14:textId="77777777" w:rsidR="003E2392" w:rsidRDefault="003E2392" w:rsidP="003E2392">
      <w:pPr>
        <w:pStyle w:val="Heading1"/>
        <w:numPr>
          <w:ilvl w:val="0"/>
          <w:numId w:val="0"/>
        </w:numPr>
        <w:spacing w:line="240" w:lineRule="auto"/>
        <w:contextualSpacing/>
        <w:jc w:val="both"/>
        <w:rPr>
          <w:rFonts w:ascii="Times New Roman" w:hAnsi="Times New Roman" w:cs="Times New Roman"/>
        </w:rPr>
      </w:pPr>
    </w:p>
    <w:p w14:paraId="1E18029E" w14:textId="77777777" w:rsidR="003E2392" w:rsidRPr="003E2392" w:rsidRDefault="003E2392" w:rsidP="003E2392">
      <w:pPr>
        <w:pStyle w:val="Heading2"/>
        <w:numPr>
          <w:ilvl w:val="0"/>
          <w:numId w:val="0"/>
        </w:numPr>
        <w:rPr>
          <w:b/>
          <w:bCs/>
        </w:rPr>
      </w:pPr>
      <w:r w:rsidRPr="003E2392">
        <w:rPr>
          <w:rFonts w:ascii="Times New Roman" w:hAnsi="Times New Roman" w:cs="Times New Roman"/>
          <w:b/>
          <w:bCs/>
        </w:rPr>
        <w:lastRenderedPageBreak/>
        <w:t xml:space="preserve">Name Change - </w:t>
      </w:r>
      <w:r w:rsidRPr="003E2392">
        <w:rPr>
          <w:rFonts w:ascii="Times New Roman" w:hAnsi="Times New Roman" w:cs="Times New Roman"/>
          <w:b/>
          <w:bCs/>
        </w:rPr>
        <w:t>Transgender – Denial of Record Sealing Reversed</w:t>
      </w:r>
    </w:p>
    <w:p w14:paraId="1169309B" w14:textId="0B7A5998" w:rsidR="005854D5" w:rsidRDefault="003E2392" w:rsidP="005854D5">
      <w:pPr>
        <w:pStyle w:val="Heading1"/>
        <w:numPr>
          <w:ilvl w:val="0"/>
          <w:numId w:val="0"/>
        </w:numPr>
        <w:spacing w:line="240" w:lineRule="auto"/>
        <w:contextualSpacing/>
        <w:jc w:val="both"/>
        <w:rPr>
          <w:rFonts w:ascii="Times New Roman" w:hAnsi="Times New Roman" w:cs="Times New Roman"/>
          <w:b/>
          <w:bCs/>
        </w:rPr>
      </w:pPr>
      <w:r>
        <w:rPr>
          <w:rFonts w:ascii="Times New Roman" w:hAnsi="Times New Roman" w:cs="Times New Roman"/>
        </w:rPr>
        <w:tab/>
        <w:t xml:space="preserve">In </w:t>
      </w:r>
      <w:r w:rsidRPr="003E2392">
        <w:rPr>
          <w:rFonts w:ascii="Times New Roman" w:hAnsi="Times New Roman" w:cs="Times New Roman"/>
          <w:b/>
          <w:bCs/>
          <w:i/>
          <w:iCs/>
        </w:rPr>
        <w:t>Matter of Timothy C.</w:t>
      </w:r>
      <w:r>
        <w:rPr>
          <w:rFonts w:ascii="Times New Roman" w:hAnsi="Times New Roman" w:cs="Times New Roman"/>
        </w:rPr>
        <w:t xml:space="preserve">, 2025 Westlaw 3028363 (3d Dept. Oct. 30, 2025), petitioner, a transgender individual, appealed from a May 2024 Supreme Court order which, in a name change proceeding she commenced in February 2024 pursuant to Civil Rights Law 60, granted her request for a name change, but denied her request to seal court records pursuant to Civil Rights Law 64-a, “because the court’s list of public interest concerns outweighed any safety concerns raised by petitioner’s application (internal quotation marks and brackets omitted).” The Third Department modified, on the law, by reversing the denial of the request to seal the court records, holding that “whether to grant or deny a sealing request under Civil Rights Law §64-a depends solely upon the potential for harm to the applicant arising from public access to a court record of the applicant’s name change proceeding (citations omitted).” The Appellate Division observed: “a court abuses its discretion by relying upon real or theoretical public interest concerns to deny a Civil Rights Law §64-a sealing request (internal quotation marks omitted).” The Court noted in conclusion petitioner’s statement that “individuals in her community are unaware that she is a transgender individual, and an open court record would reveal that status thereby exposing her to potential bullying, threats, harassment and discrimination.” To the same effect are </w:t>
      </w:r>
      <w:r w:rsidRPr="003E2392">
        <w:rPr>
          <w:rFonts w:ascii="Times New Roman" w:hAnsi="Times New Roman" w:cs="Times New Roman"/>
          <w:b/>
          <w:bCs/>
          <w:i/>
          <w:iCs/>
        </w:rPr>
        <w:t>Matter of Christopher C.</w:t>
      </w:r>
      <w:r>
        <w:rPr>
          <w:rFonts w:ascii="Times New Roman" w:hAnsi="Times New Roman" w:cs="Times New Roman"/>
        </w:rPr>
        <w:t xml:space="preserve">, 2025 Westlaw 3028367 (3d Dept. Oct. 30, 2025) and </w:t>
      </w:r>
      <w:r w:rsidRPr="003E2392">
        <w:rPr>
          <w:rFonts w:ascii="Times New Roman" w:hAnsi="Times New Roman" w:cs="Times New Roman"/>
          <w:b/>
          <w:bCs/>
          <w:i/>
          <w:iCs/>
        </w:rPr>
        <w:t>Matter of Kieran B.</w:t>
      </w:r>
      <w:r>
        <w:rPr>
          <w:rFonts w:ascii="Times New Roman" w:hAnsi="Times New Roman" w:cs="Times New Roman"/>
        </w:rPr>
        <w:t>, 2025 Westlaw 3028374 (3d Dept. Oct. 30, 2025).</w:t>
      </w:r>
    </w:p>
    <w:p w14:paraId="76B56ACF" w14:textId="77777777" w:rsidR="005854D5" w:rsidRDefault="005854D5" w:rsidP="005854D5">
      <w:pPr>
        <w:pStyle w:val="Heading1"/>
        <w:numPr>
          <w:ilvl w:val="0"/>
          <w:numId w:val="0"/>
        </w:numPr>
        <w:spacing w:line="240" w:lineRule="auto"/>
        <w:contextualSpacing/>
        <w:jc w:val="both"/>
        <w:rPr>
          <w:rFonts w:ascii="Times New Roman" w:hAnsi="Times New Roman" w:cs="Times New Roman"/>
          <w:b/>
          <w:bCs/>
        </w:rPr>
      </w:pPr>
    </w:p>
    <w:p w14:paraId="2779645A" w14:textId="77777777" w:rsidR="005854D5" w:rsidRPr="00D86E43" w:rsidRDefault="005854D5" w:rsidP="005854D5">
      <w:pPr>
        <w:pStyle w:val="Heading2"/>
        <w:numPr>
          <w:ilvl w:val="0"/>
          <w:numId w:val="0"/>
        </w:numPr>
      </w:pPr>
      <w:r>
        <w:rPr>
          <w:rFonts w:ascii="Times New Roman" w:hAnsi="Times New Roman" w:cs="Times New Roman"/>
          <w:b/>
          <w:bCs/>
        </w:rPr>
        <w:t xml:space="preserve">Pendente Lite </w:t>
      </w:r>
      <w:r w:rsidRPr="005854D5">
        <w:rPr>
          <w:rFonts w:ascii="Times New Roman" w:hAnsi="Times New Roman" w:cs="Times New Roman"/>
          <w:b/>
          <w:bCs/>
        </w:rPr>
        <w:t xml:space="preserve">- </w:t>
      </w:r>
      <w:r w:rsidRPr="005854D5">
        <w:rPr>
          <w:rFonts w:ascii="Times New Roman" w:hAnsi="Times New Roman" w:cs="Times New Roman"/>
          <w:b/>
          <w:bCs/>
        </w:rPr>
        <w:t xml:space="preserve">Denial of Temporary Maintenance </w:t>
      </w:r>
      <w:proofErr w:type="gramStart"/>
      <w:r w:rsidRPr="005854D5">
        <w:rPr>
          <w:rFonts w:ascii="Times New Roman" w:hAnsi="Times New Roman" w:cs="Times New Roman"/>
          <w:b/>
          <w:bCs/>
        </w:rPr>
        <w:t>Upheld;</w:t>
      </w:r>
      <w:proofErr w:type="gramEnd"/>
      <w:r w:rsidRPr="005854D5">
        <w:rPr>
          <w:rFonts w:ascii="Times New Roman" w:hAnsi="Times New Roman" w:cs="Times New Roman"/>
          <w:b/>
          <w:bCs/>
        </w:rPr>
        <w:t xml:space="preserve"> Imputed Income</w:t>
      </w:r>
    </w:p>
    <w:p w14:paraId="3D6A8214" w14:textId="770B8930" w:rsidR="005854D5" w:rsidRDefault="005854D5" w:rsidP="005854D5">
      <w:pPr>
        <w:pStyle w:val="Heading1"/>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5854D5">
        <w:rPr>
          <w:rFonts w:ascii="Times New Roman" w:hAnsi="Times New Roman" w:cs="Times New Roman"/>
          <w:b/>
          <w:bCs/>
          <w:i/>
          <w:iCs/>
        </w:rPr>
        <w:t>Rahal v. Taormina</w:t>
      </w:r>
      <w:r>
        <w:rPr>
          <w:rFonts w:ascii="Times New Roman" w:hAnsi="Times New Roman" w:cs="Times New Roman"/>
        </w:rPr>
        <w:t>, 2025 Westlaw 3028722 (1</w:t>
      </w:r>
      <w:r w:rsidRPr="00D86E43">
        <w:rPr>
          <w:rFonts w:ascii="Times New Roman" w:hAnsi="Times New Roman" w:cs="Times New Roman"/>
          <w:vertAlign w:val="superscript"/>
        </w:rPr>
        <w:t>st</w:t>
      </w:r>
      <w:r>
        <w:rPr>
          <w:rFonts w:ascii="Times New Roman" w:hAnsi="Times New Roman" w:cs="Times New Roman"/>
        </w:rPr>
        <w:t xml:space="preserve"> Dept. Oct. 30, 2025), the husband appealed from a November 2024 Supreme Court order which denied his request for temporary maintenance. The First Department affirmed, finding no exigent circumstances sufficient to depart from the “speedy trial rule,” and observing that the husband “filed his motion for temporary spousal support one year after the divorce action was commenced, which underscores the absence of exigency.” The Appellate Division held that Supreme Court properly imputed income of $300,000 to the husband and $1 million to the wife “based on their past income and demonstrating earning potential,” namely, that: the husband’s average annual income was nearly $400,000 in the final 5 years of the marriage; the husband has an MBA and over a decade worth of experience in the financial industry; and the husband “was undisputedly supporting himself and, by his own statements, [the wife] during the last several years of their marriage.” The Court observed that although the husband “is presently earning no income from his start-up venture, he fails to explain why he is unable to supplement his present income or seek alternative employment.” The First Department concluded that Supreme Court “correctly applied the formula set forth in [DRL 236(B)(5-a)] in determining that the presumptive *** award of $0 was neither unjust nor inappropriate (citation omitted).”</w:t>
      </w:r>
    </w:p>
    <w:p w14:paraId="09F2AF22" w14:textId="77777777" w:rsidR="005854D5" w:rsidRPr="005854D5" w:rsidRDefault="005854D5" w:rsidP="005854D5">
      <w:pPr>
        <w:pStyle w:val="Heading1"/>
        <w:numPr>
          <w:ilvl w:val="0"/>
          <w:numId w:val="0"/>
        </w:numPr>
        <w:spacing w:line="240" w:lineRule="auto"/>
        <w:contextualSpacing/>
        <w:jc w:val="both"/>
        <w:rPr>
          <w:rFonts w:ascii="Times New Roman" w:hAnsi="Times New Roman" w:cs="Times New Roman"/>
          <w:b/>
          <w:bCs/>
        </w:rPr>
      </w:pPr>
    </w:p>
    <w:p w14:paraId="26086FBF" w14:textId="00CC7128" w:rsidR="003B59AD" w:rsidRPr="007555CE" w:rsidRDefault="003B59AD" w:rsidP="007555CE">
      <w:pPr>
        <w:pStyle w:val="Heading1"/>
        <w:numPr>
          <w:ilvl w:val="0"/>
          <w:numId w:val="0"/>
        </w:numPr>
        <w:ind w:left="720" w:hanging="720"/>
        <w:rPr>
          <w:b/>
          <w:bCs/>
          <w:u w:val="single"/>
        </w:rPr>
      </w:pPr>
      <w:r w:rsidRPr="007555CE">
        <w:rPr>
          <w:rFonts w:ascii="Times New Roman" w:hAnsi="Times New Roman" w:cs="Times New Roman"/>
          <w:b/>
          <w:bCs/>
          <w:u w:val="single"/>
        </w:rPr>
        <w:t>LEGISLATIVE AND COURT RULE ITEMS</w:t>
      </w:r>
    </w:p>
    <w:p w14:paraId="782CEC95" w14:textId="5516DDEC" w:rsidR="00BF67C7" w:rsidRDefault="00D02143" w:rsidP="00D02143">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r>
      <w:r w:rsidR="00FC3718" w:rsidRPr="00FC3718">
        <w:rPr>
          <w:rFonts w:ascii="Times New Roman" w:hAnsi="Times New Roman" w:cs="Times New Roman"/>
        </w:rPr>
        <w:t>As of the afternoon of</w:t>
      </w:r>
      <w:r w:rsidR="00653A61">
        <w:rPr>
          <w:rFonts w:ascii="Times New Roman" w:hAnsi="Times New Roman" w:cs="Times New Roman"/>
        </w:rPr>
        <w:t xml:space="preserve"> </w:t>
      </w:r>
      <w:r w:rsidR="00817AF0">
        <w:rPr>
          <w:rFonts w:ascii="Times New Roman" w:hAnsi="Times New Roman" w:cs="Times New Roman"/>
        </w:rPr>
        <w:t xml:space="preserve">October </w:t>
      </w:r>
      <w:r w:rsidR="00792DC9">
        <w:rPr>
          <w:rFonts w:ascii="Times New Roman" w:hAnsi="Times New Roman" w:cs="Times New Roman"/>
        </w:rPr>
        <w:t>31</w:t>
      </w:r>
      <w:r w:rsidR="00FC3718" w:rsidRPr="00FC3718">
        <w:rPr>
          <w:rFonts w:ascii="Times New Roman" w:hAnsi="Times New Roman" w:cs="Times New Roman"/>
        </w:rPr>
        <w:t xml:space="preserve">, 2025, </w:t>
      </w:r>
      <w:r w:rsidR="0019396E">
        <w:rPr>
          <w:rFonts w:ascii="Times New Roman" w:hAnsi="Times New Roman" w:cs="Times New Roman"/>
        </w:rPr>
        <w:t xml:space="preserve">save for the items covered in the September 2025 </w:t>
      </w:r>
      <w:r w:rsidR="003109BB">
        <w:rPr>
          <w:rFonts w:ascii="Times New Roman" w:hAnsi="Times New Roman" w:cs="Times New Roman"/>
          <w:i/>
          <w:iCs/>
        </w:rPr>
        <w:t>Update</w:t>
      </w:r>
      <w:r w:rsidR="0019396E">
        <w:rPr>
          <w:rFonts w:ascii="Times New Roman" w:hAnsi="Times New Roman" w:cs="Times New Roman"/>
        </w:rPr>
        <w:t xml:space="preserve">, </w:t>
      </w:r>
      <w:r w:rsidR="00FC3718" w:rsidRPr="00FC3718">
        <w:rPr>
          <w:rFonts w:ascii="Times New Roman" w:hAnsi="Times New Roman" w:cs="Times New Roman"/>
        </w:rPr>
        <w:t xml:space="preserve">no </w:t>
      </w:r>
      <w:r>
        <w:rPr>
          <w:rFonts w:ascii="Times New Roman" w:hAnsi="Times New Roman" w:cs="Times New Roman"/>
        </w:rPr>
        <w:t xml:space="preserve">other </w:t>
      </w:r>
      <w:r w:rsidR="00FC3718" w:rsidRPr="00FC3718">
        <w:rPr>
          <w:rFonts w:ascii="Times New Roman" w:hAnsi="Times New Roman" w:cs="Times New Roman"/>
        </w:rPr>
        <w:t xml:space="preserve">passed legislation detailed in the July 2025 </w:t>
      </w:r>
      <w:r w:rsidR="003109BB">
        <w:rPr>
          <w:rFonts w:ascii="Times New Roman" w:hAnsi="Times New Roman" w:cs="Times New Roman"/>
          <w:i/>
          <w:iCs/>
        </w:rPr>
        <w:t>Update</w:t>
      </w:r>
      <w:r w:rsidR="00FC3718" w:rsidRPr="00FC3718">
        <w:rPr>
          <w:rFonts w:ascii="Times New Roman" w:hAnsi="Times New Roman" w:cs="Times New Roman"/>
        </w:rPr>
        <w:t xml:space="preserve"> has been </w:t>
      </w:r>
      <w:r w:rsidR="00A13080">
        <w:rPr>
          <w:rFonts w:ascii="Times New Roman" w:hAnsi="Times New Roman" w:cs="Times New Roman"/>
        </w:rPr>
        <w:t>enacted</w:t>
      </w:r>
      <w:r w:rsidR="00D71EA0">
        <w:rPr>
          <w:rFonts w:ascii="Times New Roman" w:hAnsi="Times New Roman" w:cs="Times New Roman"/>
        </w:rPr>
        <w:t>. Three of the previously mentioned Court Rule amendments have been enacted and there is a new proposal regarding ADR, all as set forth below.</w:t>
      </w:r>
    </w:p>
    <w:p w14:paraId="5B34E38E" w14:textId="77777777" w:rsidR="00FA02DA" w:rsidRDefault="00FA02DA" w:rsidP="00D02143">
      <w:pPr>
        <w:pStyle w:val="Heading2"/>
        <w:numPr>
          <w:ilvl w:val="0"/>
          <w:numId w:val="0"/>
        </w:numPr>
        <w:spacing w:line="240" w:lineRule="auto"/>
        <w:contextualSpacing/>
        <w:jc w:val="both"/>
        <w:rPr>
          <w:rFonts w:ascii="Times New Roman" w:hAnsi="Times New Roman" w:cs="Times New Roman"/>
        </w:rPr>
      </w:pPr>
    </w:p>
    <w:p w14:paraId="0A015235" w14:textId="690AF4F1" w:rsidR="00FA02DA" w:rsidRDefault="00FA02DA" w:rsidP="00C97783">
      <w:pPr>
        <w:pStyle w:val="Heading2"/>
        <w:numPr>
          <w:ilvl w:val="0"/>
          <w:numId w:val="0"/>
        </w:numPr>
        <w:spacing w:line="240" w:lineRule="auto"/>
        <w:contextualSpacing/>
        <w:jc w:val="both"/>
        <w:rPr>
          <w:rFonts w:ascii="Times New Roman" w:hAnsi="Times New Roman" w:cs="Times New Roman"/>
          <w:b/>
          <w:bCs/>
        </w:rPr>
      </w:pPr>
      <w:r w:rsidRPr="00C97783">
        <w:rPr>
          <w:rFonts w:ascii="Times New Roman" w:hAnsi="Times New Roman" w:cs="Times New Roman"/>
          <w:b/>
          <w:bCs/>
        </w:rPr>
        <w:lastRenderedPageBreak/>
        <w:t>Alternative Dispute Resolution</w:t>
      </w:r>
    </w:p>
    <w:p w14:paraId="61690228" w14:textId="77777777" w:rsidR="00C97783" w:rsidRPr="00C97783" w:rsidRDefault="00C97783" w:rsidP="00C97783">
      <w:pPr>
        <w:pStyle w:val="Heading2"/>
        <w:numPr>
          <w:ilvl w:val="0"/>
          <w:numId w:val="0"/>
        </w:numPr>
        <w:spacing w:line="240" w:lineRule="auto"/>
        <w:contextualSpacing/>
        <w:jc w:val="both"/>
        <w:rPr>
          <w:rFonts w:ascii="Times New Roman" w:hAnsi="Times New Roman" w:cs="Times New Roman"/>
          <w:b/>
          <w:bCs/>
        </w:rPr>
      </w:pPr>
    </w:p>
    <w:p w14:paraId="07205041" w14:textId="026D3B1B" w:rsidR="00FA02DA" w:rsidRDefault="00FA02DA" w:rsidP="00D02143">
      <w:pPr>
        <w:pStyle w:val="Heading2"/>
        <w:numPr>
          <w:ilvl w:val="0"/>
          <w:numId w:val="0"/>
        </w:numPr>
        <w:spacing w:line="240" w:lineRule="auto"/>
        <w:contextualSpacing/>
        <w:jc w:val="both"/>
        <w:rPr>
          <w:rFonts w:ascii="Times New Roman" w:hAnsi="Times New Roman" w:cs="Times New Roman"/>
          <w:b/>
          <w:bCs/>
          <w:u w:val="single"/>
        </w:rPr>
      </w:pPr>
      <w:r>
        <w:rPr>
          <w:rFonts w:ascii="Times New Roman" w:hAnsi="Times New Roman" w:cs="Times New Roman"/>
        </w:rPr>
        <w:tab/>
        <w:t xml:space="preserve">22 NYCRR </w:t>
      </w:r>
      <w:r w:rsidRPr="00A370B4">
        <w:rPr>
          <w:rFonts w:ascii="Times New Roman" w:hAnsi="Times New Roman" w:cs="Times New Roman"/>
        </w:rPr>
        <w:t>§§</w:t>
      </w:r>
      <w:r>
        <w:rPr>
          <w:rFonts w:ascii="Times New Roman" w:hAnsi="Times New Roman" w:cs="Times New Roman"/>
        </w:rPr>
        <w:t xml:space="preserve">160.1(f), 160.2(a) and 160.5 </w:t>
      </w:r>
      <w:r w:rsidRPr="00F16BBC">
        <w:rPr>
          <w:rFonts w:ascii="Times New Roman" w:hAnsi="Times New Roman" w:cs="Times New Roman"/>
          <w:b/>
          <w:bCs/>
          <w:u w:val="single"/>
        </w:rPr>
        <w:t>would be amended</w:t>
      </w:r>
      <w:r>
        <w:rPr>
          <w:rFonts w:ascii="Times New Roman" w:hAnsi="Times New Roman" w:cs="Times New Roman"/>
        </w:rPr>
        <w:t xml:space="preserve"> to change the phrase “Statewide ADR Office” to “Division of ADR” and </w:t>
      </w:r>
      <w:r w:rsidRPr="00A370B4">
        <w:rPr>
          <w:rFonts w:ascii="Times New Roman" w:hAnsi="Times New Roman" w:cs="Times New Roman"/>
        </w:rPr>
        <w:t>§</w:t>
      </w:r>
      <w:r>
        <w:rPr>
          <w:rFonts w:ascii="Times New Roman" w:hAnsi="Times New Roman" w:cs="Times New Roman"/>
        </w:rPr>
        <w:t xml:space="preserve">160.3(a) </w:t>
      </w:r>
      <w:r w:rsidRPr="00FA02DA">
        <w:rPr>
          <w:rFonts w:ascii="Times New Roman" w:hAnsi="Times New Roman" w:cs="Times New Roman"/>
          <w:b/>
          <w:bCs/>
          <w:u w:val="single"/>
        </w:rPr>
        <w:t>would be amended</w:t>
      </w:r>
      <w:r>
        <w:rPr>
          <w:rFonts w:ascii="Times New Roman" w:hAnsi="Times New Roman" w:cs="Times New Roman"/>
        </w:rPr>
        <w:t xml:space="preserve"> to clarify the scope of confidentiality among ADR processes. Presently, </w:t>
      </w:r>
      <w:r w:rsidR="00CB3C17" w:rsidRPr="00A370B4">
        <w:rPr>
          <w:rFonts w:ascii="Times New Roman" w:hAnsi="Times New Roman" w:cs="Times New Roman"/>
        </w:rPr>
        <w:t>§</w:t>
      </w:r>
      <w:r>
        <w:rPr>
          <w:rFonts w:ascii="Times New Roman" w:hAnsi="Times New Roman" w:cs="Times New Roman"/>
        </w:rPr>
        <w:t xml:space="preserve">160.3(a) provides that confidentiality applies to “an ADR process.” The phrase “ADR process” would be deleted and replaced by </w:t>
      </w:r>
      <w:r w:rsidR="00CB3C17">
        <w:rPr>
          <w:rFonts w:ascii="Times New Roman" w:hAnsi="Times New Roman" w:cs="Times New Roman"/>
        </w:rPr>
        <w:t>“</w:t>
      </w:r>
      <w:r>
        <w:rPr>
          <w:rFonts w:ascii="Times New Roman" w:hAnsi="Times New Roman" w:cs="Times New Roman"/>
        </w:rPr>
        <w:t xml:space="preserve">mediation or neutral evaluation.” (Memorandum of David </w:t>
      </w:r>
      <w:proofErr w:type="spellStart"/>
      <w:r>
        <w:rPr>
          <w:rFonts w:ascii="Times New Roman" w:hAnsi="Times New Roman" w:cs="Times New Roman"/>
        </w:rPr>
        <w:t>Nocenti</w:t>
      </w:r>
      <w:proofErr w:type="spellEnd"/>
      <w:r>
        <w:rPr>
          <w:rFonts w:ascii="Times New Roman" w:hAnsi="Times New Roman" w:cs="Times New Roman"/>
        </w:rPr>
        <w:t>, Esq., Counsel, NYS Unified Court System</w:t>
      </w:r>
      <w:r w:rsidR="00CB3C17">
        <w:rPr>
          <w:rFonts w:ascii="Times New Roman" w:hAnsi="Times New Roman" w:cs="Times New Roman"/>
        </w:rPr>
        <w:t>,</w:t>
      </w:r>
      <w:r>
        <w:rPr>
          <w:rFonts w:ascii="Times New Roman" w:hAnsi="Times New Roman" w:cs="Times New Roman"/>
        </w:rPr>
        <w:t xml:space="preserve"> dated September 29, </w:t>
      </w:r>
      <w:proofErr w:type="gramStart"/>
      <w:r>
        <w:rPr>
          <w:rFonts w:ascii="Times New Roman" w:hAnsi="Times New Roman" w:cs="Times New Roman"/>
        </w:rPr>
        <w:t>2025</w:t>
      </w:r>
      <w:proofErr w:type="gramEnd"/>
      <w:r>
        <w:rPr>
          <w:rFonts w:ascii="Times New Roman" w:hAnsi="Times New Roman" w:cs="Times New Roman"/>
        </w:rPr>
        <w:t xml:space="preserve"> at 1). For the complete text and proposed amendments, see</w:t>
      </w:r>
      <w:r w:rsidR="00CB3C17">
        <w:rPr>
          <w:rFonts w:ascii="Times New Roman" w:hAnsi="Times New Roman" w:cs="Times New Roman"/>
        </w:rPr>
        <w:t xml:space="preserve"> </w:t>
      </w:r>
      <w:hyperlink r:id="rId7" w:history="1">
        <w:r w:rsidR="00CB3C17" w:rsidRPr="00CB3C17">
          <w:rPr>
            <w:rStyle w:val="Hyperlink"/>
            <w:rFonts w:ascii="Times New Roman" w:hAnsi="Times New Roman" w:cs="Times New Roman"/>
          </w:rPr>
          <w:t>requestforpubliccomment-adrconfidentiality-092925.pdf</w:t>
        </w:r>
      </w:hyperlink>
      <w:r w:rsidR="00CB3C17">
        <w:rPr>
          <w:rFonts w:ascii="Times New Roman" w:hAnsi="Times New Roman" w:cs="Times New Roman"/>
        </w:rPr>
        <w:t xml:space="preserve"> which can be accessed via the page </w:t>
      </w:r>
      <w:hyperlink r:id="rId8" w:history="1">
        <w:r w:rsidR="00CB3C17" w:rsidRPr="00CB3C17">
          <w:rPr>
            <w:rStyle w:val="Hyperlink"/>
            <w:rFonts w:ascii="Times New Roman" w:hAnsi="Times New Roman" w:cs="Times New Roman"/>
          </w:rPr>
          <w:t>Rules - Requests for Public Comment | NYCOURTS.GOV</w:t>
        </w:r>
      </w:hyperlink>
      <w:r>
        <w:rPr>
          <w:rFonts w:ascii="Times New Roman" w:hAnsi="Times New Roman" w:cs="Times New Roman"/>
        </w:rPr>
        <w:t xml:space="preserve"> </w:t>
      </w:r>
      <w:r w:rsidRPr="00F16BBC">
        <w:rPr>
          <w:rFonts w:ascii="Times New Roman" w:hAnsi="Times New Roman" w:cs="Times New Roman"/>
          <w:b/>
          <w:bCs/>
          <w:u w:val="single"/>
        </w:rPr>
        <w:t xml:space="preserve">Public Comment is requested by </w:t>
      </w:r>
      <w:r w:rsidR="00CB3C17">
        <w:rPr>
          <w:rFonts w:ascii="Times New Roman" w:hAnsi="Times New Roman" w:cs="Times New Roman"/>
          <w:b/>
          <w:bCs/>
          <w:u w:val="single"/>
        </w:rPr>
        <w:t>November 21, 2025.</w:t>
      </w:r>
    </w:p>
    <w:p w14:paraId="41F39DA4" w14:textId="77777777" w:rsidR="00DA4C53" w:rsidRDefault="00DA4C53" w:rsidP="00D02143">
      <w:pPr>
        <w:pStyle w:val="Heading2"/>
        <w:numPr>
          <w:ilvl w:val="0"/>
          <w:numId w:val="0"/>
        </w:numPr>
        <w:spacing w:line="240" w:lineRule="auto"/>
        <w:contextualSpacing/>
        <w:jc w:val="both"/>
        <w:rPr>
          <w:rFonts w:ascii="Times New Roman" w:hAnsi="Times New Roman" w:cs="Times New Roman"/>
          <w:b/>
          <w:bCs/>
          <w:u w:val="single"/>
        </w:rPr>
      </w:pPr>
    </w:p>
    <w:p w14:paraId="30AA99AF" w14:textId="77777777" w:rsidR="00DA4C53" w:rsidRPr="00F16BBC" w:rsidRDefault="00DA4C53" w:rsidP="00DA4C53">
      <w:pPr>
        <w:pStyle w:val="Heading2"/>
        <w:numPr>
          <w:ilvl w:val="0"/>
          <w:numId w:val="0"/>
        </w:numPr>
        <w:rPr>
          <w:b/>
          <w:bCs/>
        </w:rPr>
      </w:pPr>
      <w:r>
        <w:rPr>
          <w:rFonts w:ascii="Times New Roman" w:hAnsi="Times New Roman" w:cs="Times New Roman"/>
          <w:b/>
          <w:bCs/>
        </w:rPr>
        <w:t>Fee Arbitration</w:t>
      </w:r>
    </w:p>
    <w:p w14:paraId="4B7A5F66" w14:textId="1BD688F2" w:rsidR="00DA4C53" w:rsidRDefault="00DA4C53" w:rsidP="00DA4C53">
      <w:pPr>
        <w:pStyle w:val="Heading2"/>
        <w:numPr>
          <w:ilvl w:val="0"/>
          <w:numId w:val="0"/>
        </w:numPr>
        <w:spacing w:line="240" w:lineRule="auto"/>
        <w:contextualSpacing/>
        <w:jc w:val="both"/>
      </w:pPr>
      <w:r>
        <w:rPr>
          <w:rFonts w:ascii="Times New Roman" w:hAnsi="Times New Roman" w:cs="Times New Roman"/>
          <w:b/>
          <w:bCs/>
        </w:rPr>
        <w:tab/>
      </w:r>
      <w:r>
        <w:rPr>
          <w:rFonts w:ascii="Times New Roman" w:hAnsi="Times New Roman" w:cs="Times New Roman"/>
        </w:rPr>
        <w:t xml:space="preserve">22 NYCRR </w:t>
      </w:r>
      <w:r w:rsidRPr="00A370B4">
        <w:rPr>
          <w:rFonts w:ascii="Times New Roman" w:hAnsi="Times New Roman" w:cs="Times New Roman"/>
        </w:rPr>
        <w:t>§</w:t>
      </w:r>
      <w:r>
        <w:rPr>
          <w:rFonts w:ascii="Times New Roman" w:hAnsi="Times New Roman" w:cs="Times New Roman"/>
        </w:rPr>
        <w:t xml:space="preserve">137.1(b)(6) </w:t>
      </w:r>
      <w:r>
        <w:rPr>
          <w:rFonts w:ascii="Times New Roman" w:hAnsi="Times New Roman" w:cs="Times New Roman"/>
          <w:b/>
          <w:bCs/>
          <w:u w:val="single"/>
        </w:rPr>
        <w:t xml:space="preserve">is </w:t>
      </w:r>
      <w:r w:rsidRPr="00F16BBC">
        <w:rPr>
          <w:rFonts w:ascii="Times New Roman" w:hAnsi="Times New Roman" w:cs="Times New Roman"/>
          <w:b/>
          <w:bCs/>
          <w:u w:val="single"/>
        </w:rPr>
        <w:t>amended</w:t>
      </w:r>
      <w:r>
        <w:rPr>
          <w:rFonts w:ascii="Times New Roman" w:hAnsi="Times New Roman" w:cs="Times New Roman"/>
          <w:b/>
          <w:bCs/>
          <w:u w:val="single"/>
        </w:rPr>
        <w:t>, effective November 10, 2025</w:t>
      </w:r>
      <w:r>
        <w:rPr>
          <w:rFonts w:ascii="Times New Roman" w:hAnsi="Times New Roman" w:cs="Times New Roman"/>
        </w:rPr>
        <w:t xml:space="preserve"> “to permit the filing of attorney fee dispute claims where an attorney has not received payment for more than 12 months, even if the attorney has not rendered legal services to the client for more than two years.” Section 11(j) of the Standards and Guidelines for the Attorney-Fee Dispute Resolution Program would be amended “to permit court attorney referees to mediate fee disputes as part of their salaried duties.” (Memorandum of David </w:t>
      </w:r>
      <w:proofErr w:type="spellStart"/>
      <w:r>
        <w:rPr>
          <w:rFonts w:ascii="Times New Roman" w:hAnsi="Times New Roman" w:cs="Times New Roman"/>
        </w:rPr>
        <w:t>Nocenti</w:t>
      </w:r>
      <w:proofErr w:type="spellEnd"/>
      <w:r>
        <w:rPr>
          <w:rFonts w:ascii="Times New Roman" w:hAnsi="Times New Roman" w:cs="Times New Roman"/>
        </w:rPr>
        <w:t xml:space="preserve">, Esq., Counsel, NYS Unified Court System dated June 11, </w:t>
      </w:r>
      <w:proofErr w:type="gramStart"/>
      <w:r>
        <w:rPr>
          <w:rFonts w:ascii="Times New Roman" w:hAnsi="Times New Roman" w:cs="Times New Roman"/>
        </w:rPr>
        <w:t>2025</w:t>
      </w:r>
      <w:proofErr w:type="gramEnd"/>
      <w:r>
        <w:rPr>
          <w:rFonts w:ascii="Times New Roman" w:hAnsi="Times New Roman" w:cs="Times New Roman"/>
        </w:rPr>
        <w:t xml:space="preserve"> at 1). AO/277/25, signed September 30, 2025. </w:t>
      </w:r>
      <w:hyperlink r:id="rId9" w:history="1">
        <w:r w:rsidRPr="00116F26">
          <w:rPr>
            <w:rStyle w:val="Hyperlink"/>
            <w:rFonts w:ascii="Times New Roman" w:hAnsi="Times New Roman" w:cs="Times New Roman"/>
          </w:rPr>
          <w:t>AdministrativeOrder-CAJ-277-2025-AttorneyClientFeeDisputes-093025.pdf</w:t>
        </w:r>
      </w:hyperlink>
    </w:p>
    <w:p w14:paraId="697C1BEE" w14:textId="77777777" w:rsidR="00DA4C53" w:rsidRDefault="00DA4C53" w:rsidP="00DA4C53">
      <w:pPr>
        <w:pStyle w:val="Heading2"/>
        <w:numPr>
          <w:ilvl w:val="0"/>
          <w:numId w:val="0"/>
        </w:numPr>
        <w:spacing w:line="240" w:lineRule="auto"/>
        <w:contextualSpacing/>
        <w:jc w:val="both"/>
      </w:pPr>
    </w:p>
    <w:p w14:paraId="7FE22107" w14:textId="77777777" w:rsidR="00DA4C53" w:rsidRPr="00F16BBC" w:rsidRDefault="00DA4C53" w:rsidP="00DA4C53">
      <w:pPr>
        <w:pStyle w:val="Heading2"/>
        <w:numPr>
          <w:ilvl w:val="0"/>
          <w:numId w:val="0"/>
        </w:numPr>
        <w:rPr>
          <w:b/>
          <w:bCs/>
        </w:rPr>
      </w:pPr>
      <w:bookmarkStart w:id="1" w:name="_Hlk201066236"/>
      <w:r>
        <w:rPr>
          <w:rFonts w:ascii="Times New Roman" w:hAnsi="Times New Roman" w:cs="Times New Roman"/>
          <w:b/>
          <w:bCs/>
        </w:rPr>
        <w:t>“Poor Person” Term in Court Rules</w:t>
      </w:r>
      <w:bookmarkEnd w:id="1"/>
    </w:p>
    <w:p w14:paraId="4A6AD7B5" w14:textId="211A076D" w:rsidR="00DA4C53" w:rsidRDefault="00DA4C53" w:rsidP="00DA4C53">
      <w:pPr>
        <w:pStyle w:val="Heading2"/>
        <w:numPr>
          <w:ilvl w:val="0"/>
          <w:numId w:val="0"/>
        </w:numPr>
        <w:spacing w:line="240" w:lineRule="auto"/>
        <w:contextualSpacing/>
        <w:jc w:val="both"/>
        <w:rPr>
          <w:rFonts w:ascii="Times New Roman" w:hAnsi="Times New Roman" w:cs="Times New Roman"/>
          <w:b/>
          <w:bCs/>
          <w:u w:val="single"/>
        </w:rPr>
      </w:pPr>
      <w:r>
        <w:rPr>
          <w:rFonts w:ascii="Times New Roman" w:hAnsi="Times New Roman" w:cs="Times New Roman"/>
          <w:b/>
          <w:bCs/>
        </w:rPr>
        <w:tab/>
      </w:r>
      <w:r>
        <w:rPr>
          <w:rFonts w:ascii="Times New Roman" w:hAnsi="Times New Roman" w:cs="Times New Roman"/>
        </w:rPr>
        <w:t xml:space="preserve">Several sections of 22 NYCRR Parts 140, 202 and 205, and Appendices A-1, A-2 and A-3 to 22 NYCRR </w:t>
      </w:r>
      <w:r w:rsidRPr="00A370B4">
        <w:rPr>
          <w:rFonts w:ascii="Times New Roman" w:hAnsi="Times New Roman" w:cs="Times New Roman"/>
        </w:rPr>
        <w:t>§</w:t>
      </w:r>
      <w:r>
        <w:rPr>
          <w:rFonts w:ascii="Times New Roman" w:hAnsi="Times New Roman" w:cs="Times New Roman"/>
        </w:rPr>
        <w:t xml:space="preserve">140.6 </w:t>
      </w:r>
      <w:r>
        <w:rPr>
          <w:rFonts w:ascii="Times New Roman" w:hAnsi="Times New Roman" w:cs="Times New Roman"/>
          <w:b/>
          <w:bCs/>
          <w:u w:val="single"/>
        </w:rPr>
        <w:t xml:space="preserve">are </w:t>
      </w:r>
      <w:r w:rsidRPr="004A05C2">
        <w:rPr>
          <w:rFonts w:ascii="Times New Roman" w:hAnsi="Times New Roman" w:cs="Times New Roman"/>
          <w:b/>
          <w:bCs/>
          <w:u w:val="single"/>
        </w:rPr>
        <w:t>amended</w:t>
      </w:r>
      <w:r>
        <w:rPr>
          <w:rFonts w:ascii="Times New Roman" w:hAnsi="Times New Roman" w:cs="Times New Roman"/>
          <w:b/>
          <w:bCs/>
          <w:u w:val="single"/>
        </w:rPr>
        <w:t>, effective November 10, 2025,</w:t>
      </w:r>
      <w:r>
        <w:rPr>
          <w:rFonts w:ascii="Times New Roman" w:hAnsi="Times New Roman" w:cs="Times New Roman"/>
        </w:rPr>
        <w:t xml:space="preserve"> to eliminate the use of “poor person” therefrom, to conform with recent amendments to CPLR Article 11, effective December 13, 2024, which eliminated the same term therein. (</w:t>
      </w:r>
      <w:r w:rsidRPr="008153F7">
        <w:rPr>
          <w:rFonts w:ascii="Times New Roman" w:hAnsi="Times New Roman" w:cs="Times New Roman"/>
          <w:i/>
          <w:iCs/>
        </w:rPr>
        <w:t>See</w:t>
      </w:r>
      <w:r>
        <w:rPr>
          <w:rFonts w:ascii="Times New Roman" w:hAnsi="Times New Roman" w:cs="Times New Roman"/>
        </w:rPr>
        <w:t xml:space="preserve"> Laws of 2024, Ch. 589, enacting A.10351/S.09452 and Memorandum of David </w:t>
      </w:r>
      <w:proofErr w:type="spellStart"/>
      <w:r>
        <w:rPr>
          <w:rFonts w:ascii="Times New Roman" w:hAnsi="Times New Roman" w:cs="Times New Roman"/>
        </w:rPr>
        <w:t>Nocenti</w:t>
      </w:r>
      <w:proofErr w:type="spellEnd"/>
      <w:r>
        <w:rPr>
          <w:rFonts w:ascii="Times New Roman" w:hAnsi="Times New Roman" w:cs="Times New Roman"/>
        </w:rPr>
        <w:t xml:space="preserve">, Esq., Counsel, NYS Unified Court System dated May 6, 2025 at 1, found at </w:t>
      </w:r>
      <w:hyperlink r:id="rId10" w:history="1">
        <w:r w:rsidRPr="00C223A2">
          <w:rPr>
            <w:rStyle w:val="Hyperlink"/>
            <w:rFonts w:ascii="Times New Roman" w:hAnsi="Times New Roman" w:cs="Times New Roman"/>
          </w:rPr>
          <w:t>RequestForPublicComment-PoorPersonFinancialRelief-050625.pdf</w:t>
        </w:r>
      </w:hyperlink>
      <w:r>
        <w:rPr>
          <w:rFonts w:ascii="Times New Roman" w:hAnsi="Times New Roman" w:cs="Times New Roman"/>
        </w:rPr>
        <w:t xml:space="preserve">). AO/278/25, signed September 30, 2025. </w:t>
      </w:r>
      <w:hyperlink r:id="rId11" w:history="1">
        <w:r w:rsidRPr="00C223A2">
          <w:rPr>
            <w:rStyle w:val="Hyperlink"/>
            <w:rFonts w:ascii="Times New Roman" w:hAnsi="Times New Roman" w:cs="Times New Roman"/>
          </w:rPr>
          <w:t>AdministrativeOrder-CAJ-278-2025-CostAndFeeWaivers-093025.pdf</w:t>
        </w:r>
      </w:hyperlink>
    </w:p>
    <w:p w14:paraId="133BCB28" w14:textId="77777777" w:rsidR="00D71EA0" w:rsidRDefault="00D71EA0" w:rsidP="00D02143">
      <w:pPr>
        <w:pStyle w:val="Heading2"/>
        <w:numPr>
          <w:ilvl w:val="0"/>
          <w:numId w:val="0"/>
        </w:numPr>
        <w:spacing w:line="240" w:lineRule="auto"/>
        <w:contextualSpacing/>
        <w:jc w:val="both"/>
        <w:rPr>
          <w:rFonts w:ascii="Times New Roman" w:hAnsi="Times New Roman" w:cs="Times New Roman"/>
          <w:b/>
          <w:bCs/>
          <w:u w:val="single"/>
        </w:rPr>
      </w:pPr>
    </w:p>
    <w:p w14:paraId="1EE44F16" w14:textId="1273F568" w:rsidR="00C97783" w:rsidRDefault="00C97783" w:rsidP="00C97783">
      <w:pPr>
        <w:pStyle w:val="Heading2"/>
        <w:numPr>
          <w:ilvl w:val="0"/>
          <w:numId w:val="0"/>
        </w:numPr>
        <w:spacing w:line="240" w:lineRule="auto"/>
        <w:jc w:val="both"/>
        <w:rPr>
          <w:rFonts w:ascii="Times New Roman" w:hAnsi="Times New Roman" w:cs="Times New Roman"/>
          <w:b/>
          <w:bCs/>
        </w:rPr>
      </w:pPr>
      <w:bookmarkStart w:id="2" w:name="_Hlk211508216"/>
      <w:r>
        <w:rPr>
          <w:rFonts w:ascii="Times New Roman" w:hAnsi="Times New Roman" w:cs="Times New Roman"/>
          <w:b/>
          <w:bCs/>
        </w:rPr>
        <w:t>Statement of Net Worth, Statement of Proposed Disposition and Assigned Counsel in Matrimonial Actions</w:t>
      </w:r>
      <w:bookmarkEnd w:id="2"/>
    </w:p>
    <w:p w14:paraId="654411DC" w14:textId="77777777" w:rsidR="00C97783" w:rsidRPr="00FB2257" w:rsidRDefault="00C97783" w:rsidP="00C97783">
      <w:pPr>
        <w:pStyle w:val="Heading2"/>
        <w:numPr>
          <w:ilvl w:val="0"/>
          <w:numId w:val="0"/>
        </w:numPr>
        <w:spacing w:line="240" w:lineRule="auto"/>
        <w:jc w:val="both"/>
        <w:rPr>
          <w:b/>
          <w:bCs/>
        </w:rPr>
      </w:pPr>
    </w:p>
    <w:p w14:paraId="2A1AF9A4" w14:textId="32EDC255" w:rsidR="00C97783" w:rsidRPr="00C97783" w:rsidRDefault="00C97783" w:rsidP="00C97783">
      <w:pPr>
        <w:pStyle w:val="Heading2"/>
        <w:numPr>
          <w:ilvl w:val="0"/>
          <w:numId w:val="0"/>
        </w:numPr>
        <w:spacing w:line="240" w:lineRule="auto"/>
        <w:contextualSpacing/>
        <w:jc w:val="both"/>
      </w:pPr>
      <w:r>
        <w:rPr>
          <w:rFonts w:ascii="Times New Roman" w:hAnsi="Times New Roman" w:cs="Times New Roman"/>
        </w:rPr>
        <w:tab/>
        <w:t xml:space="preserve">22 NYCRR 202.16(b) and 202.16(h) </w:t>
      </w:r>
      <w:r w:rsidRPr="00FB2257">
        <w:rPr>
          <w:rFonts w:ascii="Times New Roman" w:hAnsi="Times New Roman" w:cs="Times New Roman"/>
          <w:b/>
          <w:bCs/>
          <w:u w:val="single"/>
        </w:rPr>
        <w:t>are amended</w:t>
      </w:r>
      <w:r>
        <w:rPr>
          <w:rFonts w:ascii="Times New Roman" w:hAnsi="Times New Roman" w:cs="Times New Roman"/>
        </w:rPr>
        <w:t xml:space="preserve">, and new 22 NYCRR 202.16(p) </w:t>
      </w:r>
      <w:r w:rsidRPr="00FB2257">
        <w:rPr>
          <w:rFonts w:ascii="Times New Roman" w:hAnsi="Times New Roman" w:cs="Times New Roman"/>
          <w:b/>
          <w:bCs/>
          <w:u w:val="single"/>
        </w:rPr>
        <w:t>is added</w:t>
      </w:r>
      <w:r>
        <w:rPr>
          <w:rFonts w:ascii="Times New Roman" w:hAnsi="Times New Roman" w:cs="Times New Roman"/>
        </w:rPr>
        <w:t xml:space="preserve">, </w:t>
      </w:r>
      <w:r w:rsidRPr="009507F4">
        <w:rPr>
          <w:rFonts w:ascii="Times New Roman" w:hAnsi="Times New Roman" w:cs="Times New Roman"/>
          <w:b/>
          <w:bCs/>
          <w:u w:val="single"/>
        </w:rPr>
        <w:t>effective December 1, 2025</w:t>
      </w:r>
      <w:r>
        <w:rPr>
          <w:rFonts w:ascii="Times New Roman" w:hAnsi="Times New Roman" w:cs="Times New Roman"/>
        </w:rPr>
        <w:t xml:space="preserve">, to prescribe a new form of statement of net worth, </w:t>
      </w:r>
      <w:r w:rsidR="00C07965">
        <w:rPr>
          <w:rFonts w:ascii="Times New Roman" w:hAnsi="Times New Roman" w:cs="Times New Roman"/>
        </w:rPr>
        <w:t xml:space="preserve">and to </w:t>
      </w:r>
      <w:r>
        <w:rPr>
          <w:rFonts w:ascii="Times New Roman" w:hAnsi="Times New Roman" w:cs="Times New Roman"/>
        </w:rPr>
        <w:t xml:space="preserve">substantially alter the rules pertaining to Statements of Proposed Disposition and replace that form with statements of facts, agreed facts, resolved issues, unresolved issues, and a spreadsheet, subject to certain exceptions for self-represented parties. As to counsel fees, new 202.16(p) is designed to cover the same ground as provided by the recently enacted Family Court rule set forth in 22 NYCRR 205.19. </w:t>
      </w:r>
      <w:bookmarkStart w:id="3" w:name="_Hlk212624684"/>
      <w:r w:rsidR="009507F4">
        <w:rPr>
          <w:rFonts w:ascii="Times New Roman" w:hAnsi="Times New Roman" w:cs="Times New Roman"/>
        </w:rPr>
        <w:t>AO/283/25, signed October 8, 2025.</w:t>
      </w:r>
      <w:bookmarkEnd w:id="3"/>
      <w:r w:rsidR="005E2B5F">
        <w:rPr>
          <w:rFonts w:ascii="Times New Roman" w:hAnsi="Times New Roman" w:cs="Times New Roman"/>
        </w:rPr>
        <w:t xml:space="preserve"> </w:t>
      </w:r>
      <w:hyperlink r:id="rId12" w:history="1">
        <w:r w:rsidR="005E2B5F" w:rsidRPr="005E2B5F">
          <w:rPr>
            <w:rStyle w:val="Hyperlink"/>
            <w:rFonts w:ascii="Times New Roman" w:hAnsi="Times New Roman" w:cs="Times New Roman"/>
          </w:rPr>
          <w:t>AdministrativeOrder-CAJ-283-2025-ContestedMatrimonialActions-100825.pdf</w:t>
        </w:r>
      </w:hyperlink>
    </w:p>
    <w:sectPr w:rsidR="00C97783" w:rsidRPr="00C97783" w:rsidSect="00817AF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29DE2" w14:textId="77777777" w:rsidR="002C5EF0" w:rsidRDefault="002C5EF0" w:rsidP="0013568D">
      <w:pPr>
        <w:spacing w:after="0" w:line="240" w:lineRule="auto"/>
      </w:pPr>
      <w:r>
        <w:separator/>
      </w:r>
    </w:p>
  </w:endnote>
  <w:endnote w:type="continuationSeparator" w:id="0">
    <w:p w14:paraId="7D9F287F" w14:textId="77777777" w:rsidR="002C5EF0" w:rsidRDefault="002C5EF0" w:rsidP="00135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533471"/>
      <w:docPartObj>
        <w:docPartGallery w:val="Page Numbers (Bottom of Page)"/>
        <w:docPartUnique/>
      </w:docPartObj>
    </w:sdtPr>
    <w:sdtEndPr/>
    <w:sdtContent>
      <w:sdt>
        <w:sdtPr>
          <w:rPr>
            <w:b/>
            <w:bCs/>
            <w:i/>
            <w:iCs/>
          </w:rPr>
          <w:id w:val="-1769616900"/>
          <w:docPartObj>
            <w:docPartGallery w:val="Page Numbers (Top of Page)"/>
            <w:docPartUnique/>
          </w:docPartObj>
        </w:sdtPr>
        <w:sdtEndPr>
          <w:rPr>
            <w:b w:val="0"/>
            <w:bCs w:val="0"/>
            <w:i w:val="0"/>
            <w:iCs w:val="0"/>
          </w:rPr>
        </w:sdtEndPr>
        <w:sdtContent>
          <w:p w14:paraId="550BA402" w14:textId="378BBBC3" w:rsidR="0013568D" w:rsidRDefault="003109BB">
            <w:pPr>
              <w:pStyle w:val="Footer"/>
              <w:jc w:val="right"/>
            </w:pPr>
            <w:r>
              <w:rPr>
                <w:b/>
                <w:bCs/>
                <w:i/>
                <w:iCs/>
              </w:rPr>
              <w:t>NYSBA Family Law Section Update</w:t>
            </w:r>
            <w:r w:rsidR="00601F22">
              <w:rPr>
                <w:b/>
                <w:bCs/>
                <w:i/>
                <w:iCs/>
              </w:rPr>
              <w:t>,</w:t>
            </w:r>
            <w:r w:rsidR="00013D0E" w:rsidRPr="00351E36">
              <w:rPr>
                <w:b/>
                <w:bCs/>
                <w:i/>
                <w:iCs/>
              </w:rPr>
              <w:t xml:space="preserve"> </w:t>
            </w:r>
            <w:r w:rsidR="00ED72AA">
              <w:rPr>
                <w:b/>
                <w:bCs/>
                <w:i/>
                <w:iCs/>
              </w:rPr>
              <w:t>November</w:t>
            </w:r>
            <w:r w:rsidR="00F464B7">
              <w:rPr>
                <w:b/>
                <w:bCs/>
                <w:i/>
                <w:iCs/>
              </w:rPr>
              <w:t xml:space="preserve"> </w:t>
            </w:r>
            <w:r w:rsidR="00013D0E" w:rsidRPr="00351E36">
              <w:rPr>
                <w:b/>
                <w:bCs/>
                <w:i/>
                <w:iCs/>
              </w:rPr>
              <w:t>2025</w:t>
            </w:r>
            <w:r w:rsidR="00434674">
              <w:t xml:space="preserve">         </w:t>
            </w:r>
            <w:r w:rsidR="0013568D">
              <w:t xml:space="preserve">Page </w:t>
            </w:r>
            <w:r w:rsidR="0013568D">
              <w:rPr>
                <w:b/>
                <w:bCs/>
                <w:sz w:val="24"/>
                <w:szCs w:val="24"/>
              </w:rPr>
              <w:fldChar w:fldCharType="begin"/>
            </w:r>
            <w:r w:rsidR="0013568D">
              <w:rPr>
                <w:b/>
                <w:bCs/>
              </w:rPr>
              <w:instrText xml:space="preserve"> PAGE </w:instrText>
            </w:r>
            <w:r w:rsidR="0013568D">
              <w:rPr>
                <w:b/>
                <w:bCs/>
                <w:sz w:val="24"/>
                <w:szCs w:val="24"/>
              </w:rPr>
              <w:fldChar w:fldCharType="separate"/>
            </w:r>
            <w:r w:rsidR="0013568D">
              <w:rPr>
                <w:b/>
                <w:bCs/>
                <w:noProof/>
              </w:rPr>
              <w:t>2</w:t>
            </w:r>
            <w:r w:rsidR="0013568D">
              <w:rPr>
                <w:b/>
                <w:bCs/>
                <w:sz w:val="24"/>
                <w:szCs w:val="24"/>
              </w:rPr>
              <w:fldChar w:fldCharType="end"/>
            </w:r>
            <w:r w:rsidR="0013568D">
              <w:t xml:space="preserve"> of </w:t>
            </w:r>
            <w:r w:rsidR="0013568D">
              <w:rPr>
                <w:b/>
                <w:bCs/>
                <w:sz w:val="24"/>
                <w:szCs w:val="24"/>
              </w:rPr>
              <w:fldChar w:fldCharType="begin"/>
            </w:r>
            <w:r w:rsidR="0013568D">
              <w:rPr>
                <w:b/>
                <w:bCs/>
              </w:rPr>
              <w:instrText xml:space="preserve"> NUMPAGES  </w:instrText>
            </w:r>
            <w:r w:rsidR="0013568D">
              <w:rPr>
                <w:b/>
                <w:bCs/>
                <w:sz w:val="24"/>
                <w:szCs w:val="24"/>
              </w:rPr>
              <w:fldChar w:fldCharType="separate"/>
            </w:r>
            <w:r w:rsidR="0013568D">
              <w:rPr>
                <w:b/>
                <w:bCs/>
                <w:noProof/>
              </w:rPr>
              <w:t>2</w:t>
            </w:r>
            <w:r w:rsidR="0013568D">
              <w:rPr>
                <w:b/>
                <w:bCs/>
                <w:sz w:val="24"/>
                <w:szCs w:val="24"/>
              </w:rPr>
              <w:fldChar w:fldCharType="end"/>
            </w:r>
          </w:p>
        </w:sdtContent>
      </w:sdt>
    </w:sdtContent>
  </w:sdt>
  <w:p w14:paraId="1E4FB95E" w14:textId="77777777" w:rsidR="0013568D" w:rsidRDefault="00135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59D7C" w14:textId="77777777" w:rsidR="002C5EF0" w:rsidRDefault="002C5EF0" w:rsidP="0013568D">
      <w:pPr>
        <w:spacing w:after="0" w:line="240" w:lineRule="auto"/>
      </w:pPr>
      <w:r>
        <w:separator/>
      </w:r>
    </w:p>
  </w:footnote>
  <w:footnote w:type="continuationSeparator" w:id="0">
    <w:p w14:paraId="0383B718" w14:textId="77777777" w:rsidR="002C5EF0" w:rsidRDefault="002C5EF0" w:rsidP="001356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16cid:durableId="782381646">
    <w:abstractNumId w:val="0"/>
  </w:num>
  <w:num w:numId="2" w16cid:durableId="1201943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16cid:durableId="188220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 w16cid:durableId="1385525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 w16cid:durableId="10170784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 w16cid:durableId="17510036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 w16cid:durableId="2006346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46"/>
    <w:rsid w:val="00000250"/>
    <w:rsid w:val="0000028D"/>
    <w:rsid w:val="00002466"/>
    <w:rsid w:val="00002FED"/>
    <w:rsid w:val="00013D0E"/>
    <w:rsid w:val="000254B3"/>
    <w:rsid w:val="00026D0C"/>
    <w:rsid w:val="00030C5E"/>
    <w:rsid w:val="00030E7B"/>
    <w:rsid w:val="000322B8"/>
    <w:rsid w:val="00032EA3"/>
    <w:rsid w:val="00033C3A"/>
    <w:rsid w:val="000401CE"/>
    <w:rsid w:val="000404FD"/>
    <w:rsid w:val="00041C00"/>
    <w:rsid w:val="00047D19"/>
    <w:rsid w:val="00047F89"/>
    <w:rsid w:val="00051512"/>
    <w:rsid w:val="00051F5B"/>
    <w:rsid w:val="00052C0D"/>
    <w:rsid w:val="00053286"/>
    <w:rsid w:val="000532D9"/>
    <w:rsid w:val="000540AA"/>
    <w:rsid w:val="000551E0"/>
    <w:rsid w:val="0005543C"/>
    <w:rsid w:val="000567CA"/>
    <w:rsid w:val="00060F94"/>
    <w:rsid w:val="0006218A"/>
    <w:rsid w:val="000625A6"/>
    <w:rsid w:val="00062CD7"/>
    <w:rsid w:val="000654AE"/>
    <w:rsid w:val="00066217"/>
    <w:rsid w:val="00066226"/>
    <w:rsid w:val="000662E8"/>
    <w:rsid w:val="00066D9F"/>
    <w:rsid w:val="0006780C"/>
    <w:rsid w:val="000700E4"/>
    <w:rsid w:val="00071082"/>
    <w:rsid w:val="00071B05"/>
    <w:rsid w:val="00073930"/>
    <w:rsid w:val="0007559B"/>
    <w:rsid w:val="00076A51"/>
    <w:rsid w:val="00076AAD"/>
    <w:rsid w:val="0008087F"/>
    <w:rsid w:val="000827AF"/>
    <w:rsid w:val="00083375"/>
    <w:rsid w:val="00084F76"/>
    <w:rsid w:val="00085BF5"/>
    <w:rsid w:val="00086653"/>
    <w:rsid w:val="000905EB"/>
    <w:rsid w:val="0009096F"/>
    <w:rsid w:val="00091F6C"/>
    <w:rsid w:val="00093E1C"/>
    <w:rsid w:val="00096BC4"/>
    <w:rsid w:val="00097CD9"/>
    <w:rsid w:val="000A116B"/>
    <w:rsid w:val="000A6E42"/>
    <w:rsid w:val="000B032A"/>
    <w:rsid w:val="000B21E3"/>
    <w:rsid w:val="000B536B"/>
    <w:rsid w:val="000B5F96"/>
    <w:rsid w:val="000B64E3"/>
    <w:rsid w:val="000C5DFF"/>
    <w:rsid w:val="000C785E"/>
    <w:rsid w:val="000D0CED"/>
    <w:rsid w:val="000D0EE5"/>
    <w:rsid w:val="000D110E"/>
    <w:rsid w:val="000D1406"/>
    <w:rsid w:val="000D2940"/>
    <w:rsid w:val="000D4808"/>
    <w:rsid w:val="000D69D6"/>
    <w:rsid w:val="000D6BCA"/>
    <w:rsid w:val="000D7ADC"/>
    <w:rsid w:val="000E242F"/>
    <w:rsid w:val="000F050B"/>
    <w:rsid w:val="000F1214"/>
    <w:rsid w:val="000F2339"/>
    <w:rsid w:val="000F286B"/>
    <w:rsid w:val="000F3158"/>
    <w:rsid w:val="000F3A58"/>
    <w:rsid w:val="000F47EE"/>
    <w:rsid w:val="0010284B"/>
    <w:rsid w:val="00105BF2"/>
    <w:rsid w:val="00105D6C"/>
    <w:rsid w:val="00107716"/>
    <w:rsid w:val="00110B69"/>
    <w:rsid w:val="00111B35"/>
    <w:rsid w:val="0011428F"/>
    <w:rsid w:val="00116A8B"/>
    <w:rsid w:val="001248D2"/>
    <w:rsid w:val="001258E1"/>
    <w:rsid w:val="001261EF"/>
    <w:rsid w:val="001270FF"/>
    <w:rsid w:val="0013228F"/>
    <w:rsid w:val="001334B5"/>
    <w:rsid w:val="00133775"/>
    <w:rsid w:val="00135004"/>
    <w:rsid w:val="0013568D"/>
    <w:rsid w:val="001372A1"/>
    <w:rsid w:val="00137E75"/>
    <w:rsid w:val="0014019F"/>
    <w:rsid w:val="001423A0"/>
    <w:rsid w:val="00142D95"/>
    <w:rsid w:val="00144E14"/>
    <w:rsid w:val="00147B98"/>
    <w:rsid w:val="001611AD"/>
    <w:rsid w:val="001626DE"/>
    <w:rsid w:val="00162DC8"/>
    <w:rsid w:val="00164586"/>
    <w:rsid w:val="0016480B"/>
    <w:rsid w:val="00166C26"/>
    <w:rsid w:val="001710F3"/>
    <w:rsid w:val="00171E6E"/>
    <w:rsid w:val="001758DF"/>
    <w:rsid w:val="00176799"/>
    <w:rsid w:val="00177866"/>
    <w:rsid w:val="0018302A"/>
    <w:rsid w:val="00186704"/>
    <w:rsid w:val="001903F1"/>
    <w:rsid w:val="00191BDF"/>
    <w:rsid w:val="00191C80"/>
    <w:rsid w:val="001927B1"/>
    <w:rsid w:val="00192EA0"/>
    <w:rsid w:val="0019396E"/>
    <w:rsid w:val="00195367"/>
    <w:rsid w:val="00196B70"/>
    <w:rsid w:val="00197828"/>
    <w:rsid w:val="00197BE1"/>
    <w:rsid w:val="001A37A7"/>
    <w:rsid w:val="001A41F3"/>
    <w:rsid w:val="001A59EF"/>
    <w:rsid w:val="001A729B"/>
    <w:rsid w:val="001B09C1"/>
    <w:rsid w:val="001B1566"/>
    <w:rsid w:val="001B19AC"/>
    <w:rsid w:val="001B1BD5"/>
    <w:rsid w:val="001B28C0"/>
    <w:rsid w:val="001B5D93"/>
    <w:rsid w:val="001B66E4"/>
    <w:rsid w:val="001B67A5"/>
    <w:rsid w:val="001C238D"/>
    <w:rsid w:val="001D2A73"/>
    <w:rsid w:val="001D32E2"/>
    <w:rsid w:val="001D3CE2"/>
    <w:rsid w:val="001D4E49"/>
    <w:rsid w:val="001D5634"/>
    <w:rsid w:val="001D5F96"/>
    <w:rsid w:val="001D7603"/>
    <w:rsid w:val="001E1071"/>
    <w:rsid w:val="001E5734"/>
    <w:rsid w:val="001E60EC"/>
    <w:rsid w:val="001E6ACC"/>
    <w:rsid w:val="001E6C91"/>
    <w:rsid w:val="001E7DE2"/>
    <w:rsid w:val="001F1D15"/>
    <w:rsid w:val="001F1EAC"/>
    <w:rsid w:val="001F3A03"/>
    <w:rsid w:val="001F4407"/>
    <w:rsid w:val="001F4CBA"/>
    <w:rsid w:val="001F7222"/>
    <w:rsid w:val="00200A25"/>
    <w:rsid w:val="00200D26"/>
    <w:rsid w:val="00202830"/>
    <w:rsid w:val="00202B4F"/>
    <w:rsid w:val="0020543B"/>
    <w:rsid w:val="0020544D"/>
    <w:rsid w:val="00205554"/>
    <w:rsid w:val="00211262"/>
    <w:rsid w:val="00211575"/>
    <w:rsid w:val="00212037"/>
    <w:rsid w:val="0021394D"/>
    <w:rsid w:val="002140D9"/>
    <w:rsid w:val="00214CA3"/>
    <w:rsid w:val="0021690E"/>
    <w:rsid w:val="002178BA"/>
    <w:rsid w:val="00222428"/>
    <w:rsid w:val="002300D3"/>
    <w:rsid w:val="00231ABD"/>
    <w:rsid w:val="002359AD"/>
    <w:rsid w:val="002366B4"/>
    <w:rsid w:val="00236893"/>
    <w:rsid w:val="00240B7B"/>
    <w:rsid w:val="002416A0"/>
    <w:rsid w:val="002418FB"/>
    <w:rsid w:val="002442F7"/>
    <w:rsid w:val="00245175"/>
    <w:rsid w:val="002476E7"/>
    <w:rsid w:val="00250F9D"/>
    <w:rsid w:val="002539EE"/>
    <w:rsid w:val="00255048"/>
    <w:rsid w:val="002576B1"/>
    <w:rsid w:val="00260F81"/>
    <w:rsid w:val="00263553"/>
    <w:rsid w:val="002635EA"/>
    <w:rsid w:val="0026369F"/>
    <w:rsid w:val="002640C3"/>
    <w:rsid w:val="00264B31"/>
    <w:rsid w:val="00264D9B"/>
    <w:rsid w:val="00264DB3"/>
    <w:rsid w:val="00265850"/>
    <w:rsid w:val="0026604F"/>
    <w:rsid w:val="00266CF4"/>
    <w:rsid w:val="00274E69"/>
    <w:rsid w:val="00275787"/>
    <w:rsid w:val="0027645F"/>
    <w:rsid w:val="00277304"/>
    <w:rsid w:val="00277940"/>
    <w:rsid w:val="002803DE"/>
    <w:rsid w:val="002816E4"/>
    <w:rsid w:val="002844E5"/>
    <w:rsid w:val="00284525"/>
    <w:rsid w:val="00285163"/>
    <w:rsid w:val="0028627A"/>
    <w:rsid w:val="00286DA7"/>
    <w:rsid w:val="002875C4"/>
    <w:rsid w:val="00287C90"/>
    <w:rsid w:val="0029176C"/>
    <w:rsid w:val="00295975"/>
    <w:rsid w:val="00296312"/>
    <w:rsid w:val="00296407"/>
    <w:rsid w:val="002A00C7"/>
    <w:rsid w:val="002A0635"/>
    <w:rsid w:val="002A378A"/>
    <w:rsid w:val="002A417E"/>
    <w:rsid w:val="002B2655"/>
    <w:rsid w:val="002B3C7F"/>
    <w:rsid w:val="002C0242"/>
    <w:rsid w:val="002C0F9A"/>
    <w:rsid w:val="002C1D9B"/>
    <w:rsid w:val="002C34BB"/>
    <w:rsid w:val="002C371B"/>
    <w:rsid w:val="002C38DD"/>
    <w:rsid w:val="002C408C"/>
    <w:rsid w:val="002C4256"/>
    <w:rsid w:val="002C5EF0"/>
    <w:rsid w:val="002D194C"/>
    <w:rsid w:val="002D21B9"/>
    <w:rsid w:val="002D45D9"/>
    <w:rsid w:val="002D4C74"/>
    <w:rsid w:val="002D6348"/>
    <w:rsid w:val="002D78E1"/>
    <w:rsid w:val="002E01D4"/>
    <w:rsid w:val="002E2596"/>
    <w:rsid w:val="002E493F"/>
    <w:rsid w:val="002E5AF2"/>
    <w:rsid w:val="002F03B1"/>
    <w:rsid w:val="002F1517"/>
    <w:rsid w:val="002F23FB"/>
    <w:rsid w:val="002F473E"/>
    <w:rsid w:val="002F50D8"/>
    <w:rsid w:val="002F7615"/>
    <w:rsid w:val="00300416"/>
    <w:rsid w:val="00300748"/>
    <w:rsid w:val="00302F0A"/>
    <w:rsid w:val="0030321A"/>
    <w:rsid w:val="00303952"/>
    <w:rsid w:val="00304190"/>
    <w:rsid w:val="003109BB"/>
    <w:rsid w:val="003136B7"/>
    <w:rsid w:val="003155EB"/>
    <w:rsid w:val="00316AE4"/>
    <w:rsid w:val="00316B46"/>
    <w:rsid w:val="003208C8"/>
    <w:rsid w:val="00321869"/>
    <w:rsid w:val="0032713C"/>
    <w:rsid w:val="00331173"/>
    <w:rsid w:val="00332ECF"/>
    <w:rsid w:val="00334BEE"/>
    <w:rsid w:val="003374BD"/>
    <w:rsid w:val="003415F7"/>
    <w:rsid w:val="00341AB2"/>
    <w:rsid w:val="003433C5"/>
    <w:rsid w:val="00344411"/>
    <w:rsid w:val="0035026F"/>
    <w:rsid w:val="00351E36"/>
    <w:rsid w:val="00354A11"/>
    <w:rsid w:val="0035715C"/>
    <w:rsid w:val="0035791C"/>
    <w:rsid w:val="00362AAA"/>
    <w:rsid w:val="00362C17"/>
    <w:rsid w:val="0036502B"/>
    <w:rsid w:val="00365549"/>
    <w:rsid w:val="0037175C"/>
    <w:rsid w:val="00371823"/>
    <w:rsid w:val="00374C34"/>
    <w:rsid w:val="00375AF9"/>
    <w:rsid w:val="00375E4B"/>
    <w:rsid w:val="00381CBC"/>
    <w:rsid w:val="0038342C"/>
    <w:rsid w:val="003861E9"/>
    <w:rsid w:val="00387D11"/>
    <w:rsid w:val="0039326A"/>
    <w:rsid w:val="0039379B"/>
    <w:rsid w:val="00393A13"/>
    <w:rsid w:val="0039601B"/>
    <w:rsid w:val="00397713"/>
    <w:rsid w:val="003A0196"/>
    <w:rsid w:val="003A2DE0"/>
    <w:rsid w:val="003A3A37"/>
    <w:rsid w:val="003A4E0D"/>
    <w:rsid w:val="003A521A"/>
    <w:rsid w:val="003A58AF"/>
    <w:rsid w:val="003A6591"/>
    <w:rsid w:val="003A73BE"/>
    <w:rsid w:val="003B1027"/>
    <w:rsid w:val="003B3BC9"/>
    <w:rsid w:val="003B3D44"/>
    <w:rsid w:val="003B533E"/>
    <w:rsid w:val="003B59AD"/>
    <w:rsid w:val="003B7088"/>
    <w:rsid w:val="003C0C3C"/>
    <w:rsid w:val="003C2789"/>
    <w:rsid w:val="003C531D"/>
    <w:rsid w:val="003C5858"/>
    <w:rsid w:val="003C67FC"/>
    <w:rsid w:val="003C7137"/>
    <w:rsid w:val="003D151D"/>
    <w:rsid w:val="003D2FB1"/>
    <w:rsid w:val="003D7C08"/>
    <w:rsid w:val="003E12C1"/>
    <w:rsid w:val="003E2392"/>
    <w:rsid w:val="003E5A82"/>
    <w:rsid w:val="003E5E58"/>
    <w:rsid w:val="003E618F"/>
    <w:rsid w:val="003F3EFE"/>
    <w:rsid w:val="003F4BBA"/>
    <w:rsid w:val="00401CF6"/>
    <w:rsid w:val="00402074"/>
    <w:rsid w:val="004027AB"/>
    <w:rsid w:val="00403DB6"/>
    <w:rsid w:val="004055E6"/>
    <w:rsid w:val="00405D6A"/>
    <w:rsid w:val="00406B54"/>
    <w:rsid w:val="00412122"/>
    <w:rsid w:val="00412E43"/>
    <w:rsid w:val="0041565E"/>
    <w:rsid w:val="0042070D"/>
    <w:rsid w:val="0042173F"/>
    <w:rsid w:val="00423B86"/>
    <w:rsid w:val="00424D96"/>
    <w:rsid w:val="0043007A"/>
    <w:rsid w:val="00433165"/>
    <w:rsid w:val="00434674"/>
    <w:rsid w:val="004352EE"/>
    <w:rsid w:val="00436002"/>
    <w:rsid w:val="00436C6A"/>
    <w:rsid w:val="004403EA"/>
    <w:rsid w:val="0044154F"/>
    <w:rsid w:val="00441764"/>
    <w:rsid w:val="0044182D"/>
    <w:rsid w:val="00442151"/>
    <w:rsid w:val="00442B12"/>
    <w:rsid w:val="00442E95"/>
    <w:rsid w:val="00443DF1"/>
    <w:rsid w:val="00444E1C"/>
    <w:rsid w:val="00445701"/>
    <w:rsid w:val="00445B42"/>
    <w:rsid w:val="00447881"/>
    <w:rsid w:val="00447B0B"/>
    <w:rsid w:val="00455A34"/>
    <w:rsid w:val="004567BA"/>
    <w:rsid w:val="00456862"/>
    <w:rsid w:val="00456919"/>
    <w:rsid w:val="00460089"/>
    <w:rsid w:val="00460CF1"/>
    <w:rsid w:val="004617EF"/>
    <w:rsid w:val="0046490D"/>
    <w:rsid w:val="00466410"/>
    <w:rsid w:val="00470443"/>
    <w:rsid w:val="00474065"/>
    <w:rsid w:val="004773F0"/>
    <w:rsid w:val="00480909"/>
    <w:rsid w:val="0048175B"/>
    <w:rsid w:val="004817E1"/>
    <w:rsid w:val="00485028"/>
    <w:rsid w:val="00487D28"/>
    <w:rsid w:val="00490C4F"/>
    <w:rsid w:val="0049268A"/>
    <w:rsid w:val="004937E4"/>
    <w:rsid w:val="004975B0"/>
    <w:rsid w:val="004A1A7F"/>
    <w:rsid w:val="004A26C8"/>
    <w:rsid w:val="004A40BC"/>
    <w:rsid w:val="004B1E3E"/>
    <w:rsid w:val="004B23DB"/>
    <w:rsid w:val="004B5BF7"/>
    <w:rsid w:val="004B6E26"/>
    <w:rsid w:val="004C11F7"/>
    <w:rsid w:val="004C1B2A"/>
    <w:rsid w:val="004C2690"/>
    <w:rsid w:val="004C2D8F"/>
    <w:rsid w:val="004C6309"/>
    <w:rsid w:val="004C6FEA"/>
    <w:rsid w:val="004D122F"/>
    <w:rsid w:val="004D1831"/>
    <w:rsid w:val="004D1B2F"/>
    <w:rsid w:val="004D2AAD"/>
    <w:rsid w:val="004D348C"/>
    <w:rsid w:val="004D3CD1"/>
    <w:rsid w:val="004D5479"/>
    <w:rsid w:val="004D7017"/>
    <w:rsid w:val="004E0119"/>
    <w:rsid w:val="004E02BA"/>
    <w:rsid w:val="004E0A2A"/>
    <w:rsid w:val="004E304C"/>
    <w:rsid w:val="004E3DE2"/>
    <w:rsid w:val="004E4A48"/>
    <w:rsid w:val="004E578D"/>
    <w:rsid w:val="004F183D"/>
    <w:rsid w:val="004F1E58"/>
    <w:rsid w:val="004F2B31"/>
    <w:rsid w:val="004F2D7B"/>
    <w:rsid w:val="004F34EE"/>
    <w:rsid w:val="004F71FB"/>
    <w:rsid w:val="0050045E"/>
    <w:rsid w:val="00503467"/>
    <w:rsid w:val="0050389F"/>
    <w:rsid w:val="00504AA4"/>
    <w:rsid w:val="005061E0"/>
    <w:rsid w:val="0051207C"/>
    <w:rsid w:val="005136EF"/>
    <w:rsid w:val="00514134"/>
    <w:rsid w:val="00520D3D"/>
    <w:rsid w:val="00523DA5"/>
    <w:rsid w:val="005244CF"/>
    <w:rsid w:val="005254EB"/>
    <w:rsid w:val="00525DC5"/>
    <w:rsid w:val="0052614B"/>
    <w:rsid w:val="00531535"/>
    <w:rsid w:val="00532B1B"/>
    <w:rsid w:val="00532BC6"/>
    <w:rsid w:val="005335A2"/>
    <w:rsid w:val="00534D55"/>
    <w:rsid w:val="00534ECF"/>
    <w:rsid w:val="00540676"/>
    <w:rsid w:val="005409A9"/>
    <w:rsid w:val="00540FC7"/>
    <w:rsid w:val="005428A6"/>
    <w:rsid w:val="0054330B"/>
    <w:rsid w:val="00543617"/>
    <w:rsid w:val="00543D1C"/>
    <w:rsid w:val="00545857"/>
    <w:rsid w:val="005507B6"/>
    <w:rsid w:val="005547A4"/>
    <w:rsid w:val="0055670A"/>
    <w:rsid w:val="00557CD2"/>
    <w:rsid w:val="00561B60"/>
    <w:rsid w:val="00561F6A"/>
    <w:rsid w:val="005636F9"/>
    <w:rsid w:val="00564040"/>
    <w:rsid w:val="0056461A"/>
    <w:rsid w:val="0057264C"/>
    <w:rsid w:val="00574051"/>
    <w:rsid w:val="00574618"/>
    <w:rsid w:val="005750C3"/>
    <w:rsid w:val="005764AE"/>
    <w:rsid w:val="005767B5"/>
    <w:rsid w:val="00581B3D"/>
    <w:rsid w:val="0058313B"/>
    <w:rsid w:val="005834BD"/>
    <w:rsid w:val="0058461B"/>
    <w:rsid w:val="005854D5"/>
    <w:rsid w:val="00587C83"/>
    <w:rsid w:val="00590397"/>
    <w:rsid w:val="00591B5A"/>
    <w:rsid w:val="00591FEA"/>
    <w:rsid w:val="00593428"/>
    <w:rsid w:val="005941DF"/>
    <w:rsid w:val="00596002"/>
    <w:rsid w:val="0059627F"/>
    <w:rsid w:val="0059679A"/>
    <w:rsid w:val="005A14E6"/>
    <w:rsid w:val="005A20B1"/>
    <w:rsid w:val="005A43BD"/>
    <w:rsid w:val="005A63C9"/>
    <w:rsid w:val="005B0F11"/>
    <w:rsid w:val="005B3F80"/>
    <w:rsid w:val="005B40E1"/>
    <w:rsid w:val="005B4A10"/>
    <w:rsid w:val="005B7C91"/>
    <w:rsid w:val="005C0C8C"/>
    <w:rsid w:val="005C2F2D"/>
    <w:rsid w:val="005C3139"/>
    <w:rsid w:val="005C4305"/>
    <w:rsid w:val="005C5D5A"/>
    <w:rsid w:val="005C7097"/>
    <w:rsid w:val="005C75EE"/>
    <w:rsid w:val="005D137C"/>
    <w:rsid w:val="005D1A9A"/>
    <w:rsid w:val="005D528C"/>
    <w:rsid w:val="005D7B18"/>
    <w:rsid w:val="005E2B5F"/>
    <w:rsid w:val="005E3BFD"/>
    <w:rsid w:val="005E436D"/>
    <w:rsid w:val="005F11C0"/>
    <w:rsid w:val="005F1FE4"/>
    <w:rsid w:val="005F23A3"/>
    <w:rsid w:val="005F4375"/>
    <w:rsid w:val="005F4E5A"/>
    <w:rsid w:val="005F523E"/>
    <w:rsid w:val="005F53C7"/>
    <w:rsid w:val="006001EC"/>
    <w:rsid w:val="006008DC"/>
    <w:rsid w:val="00601F22"/>
    <w:rsid w:val="00603B56"/>
    <w:rsid w:val="006041F0"/>
    <w:rsid w:val="00604BBE"/>
    <w:rsid w:val="006074D7"/>
    <w:rsid w:val="006163E7"/>
    <w:rsid w:val="006207B6"/>
    <w:rsid w:val="00620BCC"/>
    <w:rsid w:val="006244B6"/>
    <w:rsid w:val="00624BFB"/>
    <w:rsid w:val="006250E1"/>
    <w:rsid w:val="00626431"/>
    <w:rsid w:val="006268E6"/>
    <w:rsid w:val="006275BD"/>
    <w:rsid w:val="00630E8A"/>
    <w:rsid w:val="00631D12"/>
    <w:rsid w:val="00631E50"/>
    <w:rsid w:val="00632DF8"/>
    <w:rsid w:val="00633F7B"/>
    <w:rsid w:val="0063482D"/>
    <w:rsid w:val="00637907"/>
    <w:rsid w:val="0064076C"/>
    <w:rsid w:val="0064131D"/>
    <w:rsid w:val="00641967"/>
    <w:rsid w:val="006446D9"/>
    <w:rsid w:val="00646820"/>
    <w:rsid w:val="00647E41"/>
    <w:rsid w:val="006503C8"/>
    <w:rsid w:val="00652EDA"/>
    <w:rsid w:val="006534E1"/>
    <w:rsid w:val="00653A61"/>
    <w:rsid w:val="00653C6D"/>
    <w:rsid w:val="00654971"/>
    <w:rsid w:val="00654C14"/>
    <w:rsid w:val="00654EDC"/>
    <w:rsid w:val="00655DF5"/>
    <w:rsid w:val="00660DA3"/>
    <w:rsid w:val="0066211F"/>
    <w:rsid w:val="00662472"/>
    <w:rsid w:val="00662593"/>
    <w:rsid w:val="00662C8E"/>
    <w:rsid w:val="00673005"/>
    <w:rsid w:val="00674FBC"/>
    <w:rsid w:val="006768D4"/>
    <w:rsid w:val="00676DB4"/>
    <w:rsid w:val="00676E0C"/>
    <w:rsid w:val="0067755D"/>
    <w:rsid w:val="006806C2"/>
    <w:rsid w:val="00681041"/>
    <w:rsid w:val="006814A3"/>
    <w:rsid w:val="00681FF3"/>
    <w:rsid w:val="00682416"/>
    <w:rsid w:val="00682F58"/>
    <w:rsid w:val="00684C18"/>
    <w:rsid w:val="00684C68"/>
    <w:rsid w:val="00687A35"/>
    <w:rsid w:val="00690935"/>
    <w:rsid w:val="006909C0"/>
    <w:rsid w:val="00690AAF"/>
    <w:rsid w:val="00691C58"/>
    <w:rsid w:val="006930CE"/>
    <w:rsid w:val="00693AB6"/>
    <w:rsid w:val="00695392"/>
    <w:rsid w:val="00696AF5"/>
    <w:rsid w:val="006976EF"/>
    <w:rsid w:val="006976F6"/>
    <w:rsid w:val="0069775F"/>
    <w:rsid w:val="006A15AC"/>
    <w:rsid w:val="006A1E72"/>
    <w:rsid w:val="006A51E4"/>
    <w:rsid w:val="006A53A1"/>
    <w:rsid w:val="006A543B"/>
    <w:rsid w:val="006A5A7F"/>
    <w:rsid w:val="006B4BE8"/>
    <w:rsid w:val="006C00DA"/>
    <w:rsid w:val="006C5C0A"/>
    <w:rsid w:val="006C650A"/>
    <w:rsid w:val="006C66A9"/>
    <w:rsid w:val="006D0E76"/>
    <w:rsid w:val="006D181B"/>
    <w:rsid w:val="006D4A7A"/>
    <w:rsid w:val="006E43BC"/>
    <w:rsid w:val="006E457A"/>
    <w:rsid w:val="006E4AE6"/>
    <w:rsid w:val="006E5D5C"/>
    <w:rsid w:val="006E6426"/>
    <w:rsid w:val="006E64B0"/>
    <w:rsid w:val="006F28E2"/>
    <w:rsid w:val="006F2B5D"/>
    <w:rsid w:val="006F39E4"/>
    <w:rsid w:val="006F4972"/>
    <w:rsid w:val="006F6113"/>
    <w:rsid w:val="007034E4"/>
    <w:rsid w:val="00704457"/>
    <w:rsid w:val="0070449D"/>
    <w:rsid w:val="007058D9"/>
    <w:rsid w:val="00707127"/>
    <w:rsid w:val="00711785"/>
    <w:rsid w:val="00712602"/>
    <w:rsid w:val="00713918"/>
    <w:rsid w:val="007165EB"/>
    <w:rsid w:val="00722019"/>
    <w:rsid w:val="00722A55"/>
    <w:rsid w:val="007261F7"/>
    <w:rsid w:val="00726C77"/>
    <w:rsid w:val="00727088"/>
    <w:rsid w:val="007333D3"/>
    <w:rsid w:val="00734B55"/>
    <w:rsid w:val="00737D0E"/>
    <w:rsid w:val="007413B0"/>
    <w:rsid w:val="00741F62"/>
    <w:rsid w:val="00743824"/>
    <w:rsid w:val="007479BB"/>
    <w:rsid w:val="00750118"/>
    <w:rsid w:val="00750B3D"/>
    <w:rsid w:val="00752151"/>
    <w:rsid w:val="007522E2"/>
    <w:rsid w:val="0075384D"/>
    <w:rsid w:val="00753F42"/>
    <w:rsid w:val="00754F0F"/>
    <w:rsid w:val="007555CE"/>
    <w:rsid w:val="00755DD0"/>
    <w:rsid w:val="00756153"/>
    <w:rsid w:val="00756403"/>
    <w:rsid w:val="0075779E"/>
    <w:rsid w:val="0076014C"/>
    <w:rsid w:val="007604D9"/>
    <w:rsid w:val="007627B6"/>
    <w:rsid w:val="00766728"/>
    <w:rsid w:val="007701FC"/>
    <w:rsid w:val="0077038C"/>
    <w:rsid w:val="00772BC3"/>
    <w:rsid w:val="0077356F"/>
    <w:rsid w:val="007741D3"/>
    <w:rsid w:val="00774719"/>
    <w:rsid w:val="0077478E"/>
    <w:rsid w:val="007773D2"/>
    <w:rsid w:val="0078177F"/>
    <w:rsid w:val="00783484"/>
    <w:rsid w:val="00783A91"/>
    <w:rsid w:val="00783B98"/>
    <w:rsid w:val="00791A4E"/>
    <w:rsid w:val="00792C72"/>
    <w:rsid w:val="00792DC9"/>
    <w:rsid w:val="00793B25"/>
    <w:rsid w:val="0079413E"/>
    <w:rsid w:val="00795C14"/>
    <w:rsid w:val="0079600E"/>
    <w:rsid w:val="007A12A9"/>
    <w:rsid w:val="007A23A9"/>
    <w:rsid w:val="007A2D12"/>
    <w:rsid w:val="007B0927"/>
    <w:rsid w:val="007B1F53"/>
    <w:rsid w:val="007B398A"/>
    <w:rsid w:val="007B599D"/>
    <w:rsid w:val="007B7631"/>
    <w:rsid w:val="007B7D13"/>
    <w:rsid w:val="007C1BF4"/>
    <w:rsid w:val="007C3314"/>
    <w:rsid w:val="007C746B"/>
    <w:rsid w:val="007C776D"/>
    <w:rsid w:val="007C7ACA"/>
    <w:rsid w:val="007D26EF"/>
    <w:rsid w:val="007D36CB"/>
    <w:rsid w:val="007D43E5"/>
    <w:rsid w:val="007D4702"/>
    <w:rsid w:val="007D5697"/>
    <w:rsid w:val="007D64B6"/>
    <w:rsid w:val="007D66D6"/>
    <w:rsid w:val="007D6956"/>
    <w:rsid w:val="007D7789"/>
    <w:rsid w:val="007E0AFE"/>
    <w:rsid w:val="007E5221"/>
    <w:rsid w:val="007E6901"/>
    <w:rsid w:val="007E71A2"/>
    <w:rsid w:val="007E7E51"/>
    <w:rsid w:val="007E7ECB"/>
    <w:rsid w:val="007F0353"/>
    <w:rsid w:val="007F0FAA"/>
    <w:rsid w:val="007F0FE7"/>
    <w:rsid w:val="007F14BE"/>
    <w:rsid w:val="007F1901"/>
    <w:rsid w:val="007F2E6D"/>
    <w:rsid w:val="007F367F"/>
    <w:rsid w:val="007F36DF"/>
    <w:rsid w:val="007F3A6D"/>
    <w:rsid w:val="008014F1"/>
    <w:rsid w:val="00801E66"/>
    <w:rsid w:val="00802BC6"/>
    <w:rsid w:val="00805174"/>
    <w:rsid w:val="00806731"/>
    <w:rsid w:val="0080674A"/>
    <w:rsid w:val="008076B1"/>
    <w:rsid w:val="00813A43"/>
    <w:rsid w:val="00815927"/>
    <w:rsid w:val="00817ADB"/>
    <w:rsid w:val="00817AF0"/>
    <w:rsid w:val="00822735"/>
    <w:rsid w:val="00825244"/>
    <w:rsid w:val="008256BC"/>
    <w:rsid w:val="00831BF4"/>
    <w:rsid w:val="0083296D"/>
    <w:rsid w:val="00832EE4"/>
    <w:rsid w:val="0083549F"/>
    <w:rsid w:val="008368B0"/>
    <w:rsid w:val="008370E9"/>
    <w:rsid w:val="00837EF3"/>
    <w:rsid w:val="00840290"/>
    <w:rsid w:val="0084153B"/>
    <w:rsid w:val="00841F77"/>
    <w:rsid w:val="00844D77"/>
    <w:rsid w:val="00844F0E"/>
    <w:rsid w:val="00845B5C"/>
    <w:rsid w:val="00846723"/>
    <w:rsid w:val="00850E04"/>
    <w:rsid w:val="008539B2"/>
    <w:rsid w:val="00855452"/>
    <w:rsid w:val="00857BC9"/>
    <w:rsid w:val="00862943"/>
    <w:rsid w:val="00872814"/>
    <w:rsid w:val="00872AEB"/>
    <w:rsid w:val="0089226B"/>
    <w:rsid w:val="00893F63"/>
    <w:rsid w:val="00895F93"/>
    <w:rsid w:val="00897F14"/>
    <w:rsid w:val="00897F26"/>
    <w:rsid w:val="008A11BF"/>
    <w:rsid w:val="008B0051"/>
    <w:rsid w:val="008B2B87"/>
    <w:rsid w:val="008B4AF2"/>
    <w:rsid w:val="008B56BA"/>
    <w:rsid w:val="008B7085"/>
    <w:rsid w:val="008B7888"/>
    <w:rsid w:val="008C05AE"/>
    <w:rsid w:val="008C145B"/>
    <w:rsid w:val="008C186F"/>
    <w:rsid w:val="008C189C"/>
    <w:rsid w:val="008C2582"/>
    <w:rsid w:val="008C33BB"/>
    <w:rsid w:val="008C651D"/>
    <w:rsid w:val="008C715C"/>
    <w:rsid w:val="008D2AC8"/>
    <w:rsid w:val="008D3A1D"/>
    <w:rsid w:val="008D5F44"/>
    <w:rsid w:val="008D5F89"/>
    <w:rsid w:val="008E2137"/>
    <w:rsid w:val="008E2AB9"/>
    <w:rsid w:val="008E3966"/>
    <w:rsid w:val="008E3A10"/>
    <w:rsid w:val="008E4B3B"/>
    <w:rsid w:val="008F1A67"/>
    <w:rsid w:val="008F23F2"/>
    <w:rsid w:val="008F5B45"/>
    <w:rsid w:val="00900466"/>
    <w:rsid w:val="00900D3C"/>
    <w:rsid w:val="00900E49"/>
    <w:rsid w:val="0090215F"/>
    <w:rsid w:val="0090241D"/>
    <w:rsid w:val="009048AC"/>
    <w:rsid w:val="009055B2"/>
    <w:rsid w:val="00905997"/>
    <w:rsid w:val="00910EAD"/>
    <w:rsid w:val="00915579"/>
    <w:rsid w:val="00915DEF"/>
    <w:rsid w:val="00916690"/>
    <w:rsid w:val="00920713"/>
    <w:rsid w:val="00922813"/>
    <w:rsid w:val="00922AF3"/>
    <w:rsid w:val="00925C96"/>
    <w:rsid w:val="00926438"/>
    <w:rsid w:val="00926952"/>
    <w:rsid w:val="00932F6F"/>
    <w:rsid w:val="00935EA6"/>
    <w:rsid w:val="00937880"/>
    <w:rsid w:val="0094100B"/>
    <w:rsid w:val="0094307B"/>
    <w:rsid w:val="009463C2"/>
    <w:rsid w:val="00946656"/>
    <w:rsid w:val="009479C7"/>
    <w:rsid w:val="009507F4"/>
    <w:rsid w:val="00952D57"/>
    <w:rsid w:val="00953E64"/>
    <w:rsid w:val="00954676"/>
    <w:rsid w:val="00955C58"/>
    <w:rsid w:val="00956A11"/>
    <w:rsid w:val="009573A3"/>
    <w:rsid w:val="00960F1C"/>
    <w:rsid w:val="00963446"/>
    <w:rsid w:val="009636EE"/>
    <w:rsid w:val="00963AA1"/>
    <w:rsid w:val="009646B0"/>
    <w:rsid w:val="00964C56"/>
    <w:rsid w:val="009719A3"/>
    <w:rsid w:val="0097513C"/>
    <w:rsid w:val="00975A07"/>
    <w:rsid w:val="009775DF"/>
    <w:rsid w:val="00983212"/>
    <w:rsid w:val="0098400E"/>
    <w:rsid w:val="0098646D"/>
    <w:rsid w:val="00990D77"/>
    <w:rsid w:val="0099446A"/>
    <w:rsid w:val="00994F89"/>
    <w:rsid w:val="00997FA9"/>
    <w:rsid w:val="009A1615"/>
    <w:rsid w:val="009A29BF"/>
    <w:rsid w:val="009A315A"/>
    <w:rsid w:val="009A4576"/>
    <w:rsid w:val="009A4CE7"/>
    <w:rsid w:val="009A5971"/>
    <w:rsid w:val="009A5A55"/>
    <w:rsid w:val="009A5BA5"/>
    <w:rsid w:val="009A6839"/>
    <w:rsid w:val="009A6AD5"/>
    <w:rsid w:val="009A77C4"/>
    <w:rsid w:val="009A7D8C"/>
    <w:rsid w:val="009B1427"/>
    <w:rsid w:val="009B457C"/>
    <w:rsid w:val="009B63D2"/>
    <w:rsid w:val="009C25D9"/>
    <w:rsid w:val="009C2B63"/>
    <w:rsid w:val="009C2EF5"/>
    <w:rsid w:val="009D16C6"/>
    <w:rsid w:val="009E1888"/>
    <w:rsid w:val="009E28DC"/>
    <w:rsid w:val="009E304D"/>
    <w:rsid w:val="009E56A0"/>
    <w:rsid w:val="009F0FA5"/>
    <w:rsid w:val="009F1F13"/>
    <w:rsid w:val="009F3787"/>
    <w:rsid w:val="009F379D"/>
    <w:rsid w:val="009F71BA"/>
    <w:rsid w:val="009F786C"/>
    <w:rsid w:val="00A0076E"/>
    <w:rsid w:val="00A01BE5"/>
    <w:rsid w:val="00A04C4B"/>
    <w:rsid w:val="00A06B07"/>
    <w:rsid w:val="00A06DC6"/>
    <w:rsid w:val="00A06E64"/>
    <w:rsid w:val="00A0753F"/>
    <w:rsid w:val="00A07979"/>
    <w:rsid w:val="00A10259"/>
    <w:rsid w:val="00A11264"/>
    <w:rsid w:val="00A1162D"/>
    <w:rsid w:val="00A13080"/>
    <w:rsid w:val="00A13967"/>
    <w:rsid w:val="00A1542F"/>
    <w:rsid w:val="00A15BC1"/>
    <w:rsid w:val="00A16892"/>
    <w:rsid w:val="00A16C7D"/>
    <w:rsid w:val="00A20024"/>
    <w:rsid w:val="00A22355"/>
    <w:rsid w:val="00A22728"/>
    <w:rsid w:val="00A25D6D"/>
    <w:rsid w:val="00A279E6"/>
    <w:rsid w:val="00A350A3"/>
    <w:rsid w:val="00A36479"/>
    <w:rsid w:val="00A43ED8"/>
    <w:rsid w:val="00A43FC9"/>
    <w:rsid w:val="00A54CD2"/>
    <w:rsid w:val="00A55554"/>
    <w:rsid w:val="00A57CC7"/>
    <w:rsid w:val="00A61A8B"/>
    <w:rsid w:val="00A65503"/>
    <w:rsid w:val="00A669A6"/>
    <w:rsid w:val="00A6729A"/>
    <w:rsid w:val="00A7124C"/>
    <w:rsid w:val="00A73D94"/>
    <w:rsid w:val="00A746FC"/>
    <w:rsid w:val="00A75B6F"/>
    <w:rsid w:val="00A83FEB"/>
    <w:rsid w:val="00A8477A"/>
    <w:rsid w:val="00A84907"/>
    <w:rsid w:val="00A85C88"/>
    <w:rsid w:val="00A911AB"/>
    <w:rsid w:val="00A9259B"/>
    <w:rsid w:val="00A94CEF"/>
    <w:rsid w:val="00A95835"/>
    <w:rsid w:val="00A960E9"/>
    <w:rsid w:val="00AA008A"/>
    <w:rsid w:val="00AA0AD2"/>
    <w:rsid w:val="00AA33D7"/>
    <w:rsid w:val="00AA37B5"/>
    <w:rsid w:val="00AA40AC"/>
    <w:rsid w:val="00AA6304"/>
    <w:rsid w:val="00AA6D49"/>
    <w:rsid w:val="00AB0549"/>
    <w:rsid w:val="00AB0F3D"/>
    <w:rsid w:val="00AB1981"/>
    <w:rsid w:val="00AB1C59"/>
    <w:rsid w:val="00AB1F18"/>
    <w:rsid w:val="00AB2711"/>
    <w:rsid w:val="00AB2D56"/>
    <w:rsid w:val="00AB2F6E"/>
    <w:rsid w:val="00AB36FD"/>
    <w:rsid w:val="00AB425B"/>
    <w:rsid w:val="00AB43F7"/>
    <w:rsid w:val="00AB482C"/>
    <w:rsid w:val="00AB6102"/>
    <w:rsid w:val="00AC33A6"/>
    <w:rsid w:val="00AC35F3"/>
    <w:rsid w:val="00AC39FC"/>
    <w:rsid w:val="00AC66F6"/>
    <w:rsid w:val="00AD22A2"/>
    <w:rsid w:val="00AD31F0"/>
    <w:rsid w:val="00AD51E1"/>
    <w:rsid w:val="00AD57BF"/>
    <w:rsid w:val="00AD608C"/>
    <w:rsid w:val="00AD6936"/>
    <w:rsid w:val="00AD7210"/>
    <w:rsid w:val="00AE1154"/>
    <w:rsid w:val="00AE237E"/>
    <w:rsid w:val="00AE247D"/>
    <w:rsid w:val="00AE3480"/>
    <w:rsid w:val="00AE36CB"/>
    <w:rsid w:val="00AE49C5"/>
    <w:rsid w:val="00AE4D2C"/>
    <w:rsid w:val="00AE5B72"/>
    <w:rsid w:val="00AE5B98"/>
    <w:rsid w:val="00AE6954"/>
    <w:rsid w:val="00AF0A22"/>
    <w:rsid w:val="00AF0EA9"/>
    <w:rsid w:val="00AF1CBF"/>
    <w:rsid w:val="00AF39B5"/>
    <w:rsid w:val="00B01E70"/>
    <w:rsid w:val="00B028AF"/>
    <w:rsid w:val="00B044D8"/>
    <w:rsid w:val="00B048DC"/>
    <w:rsid w:val="00B143A4"/>
    <w:rsid w:val="00B171AD"/>
    <w:rsid w:val="00B202DF"/>
    <w:rsid w:val="00B216E7"/>
    <w:rsid w:val="00B22226"/>
    <w:rsid w:val="00B242AA"/>
    <w:rsid w:val="00B25785"/>
    <w:rsid w:val="00B25DA7"/>
    <w:rsid w:val="00B26FC4"/>
    <w:rsid w:val="00B27F87"/>
    <w:rsid w:val="00B3015D"/>
    <w:rsid w:val="00B30C6F"/>
    <w:rsid w:val="00B32344"/>
    <w:rsid w:val="00B32773"/>
    <w:rsid w:val="00B32B93"/>
    <w:rsid w:val="00B3400D"/>
    <w:rsid w:val="00B359FB"/>
    <w:rsid w:val="00B35C64"/>
    <w:rsid w:val="00B36613"/>
    <w:rsid w:val="00B36F1B"/>
    <w:rsid w:val="00B41978"/>
    <w:rsid w:val="00B41FD6"/>
    <w:rsid w:val="00B460B4"/>
    <w:rsid w:val="00B47334"/>
    <w:rsid w:val="00B503C8"/>
    <w:rsid w:val="00B53C1F"/>
    <w:rsid w:val="00B563D4"/>
    <w:rsid w:val="00B6127A"/>
    <w:rsid w:val="00B633FB"/>
    <w:rsid w:val="00B649AA"/>
    <w:rsid w:val="00B65207"/>
    <w:rsid w:val="00B71142"/>
    <w:rsid w:val="00B726B2"/>
    <w:rsid w:val="00B72928"/>
    <w:rsid w:val="00B778D5"/>
    <w:rsid w:val="00B8125F"/>
    <w:rsid w:val="00B819E1"/>
    <w:rsid w:val="00B85E05"/>
    <w:rsid w:val="00B860C9"/>
    <w:rsid w:val="00B92FA4"/>
    <w:rsid w:val="00B9574E"/>
    <w:rsid w:val="00B965AA"/>
    <w:rsid w:val="00B96F0B"/>
    <w:rsid w:val="00BA069E"/>
    <w:rsid w:val="00BA137B"/>
    <w:rsid w:val="00BA213F"/>
    <w:rsid w:val="00BA2243"/>
    <w:rsid w:val="00BA3CB9"/>
    <w:rsid w:val="00BA3E20"/>
    <w:rsid w:val="00BA48E7"/>
    <w:rsid w:val="00BA5315"/>
    <w:rsid w:val="00BB1342"/>
    <w:rsid w:val="00BB3EE7"/>
    <w:rsid w:val="00BB55B7"/>
    <w:rsid w:val="00BB59B3"/>
    <w:rsid w:val="00BB6287"/>
    <w:rsid w:val="00BB6C5C"/>
    <w:rsid w:val="00BC1057"/>
    <w:rsid w:val="00BC5015"/>
    <w:rsid w:val="00BC5344"/>
    <w:rsid w:val="00BC5EDB"/>
    <w:rsid w:val="00BC62DA"/>
    <w:rsid w:val="00BD238E"/>
    <w:rsid w:val="00BD3905"/>
    <w:rsid w:val="00BD5170"/>
    <w:rsid w:val="00BD6C46"/>
    <w:rsid w:val="00BD6D61"/>
    <w:rsid w:val="00BD705E"/>
    <w:rsid w:val="00BE1AFA"/>
    <w:rsid w:val="00BE2F60"/>
    <w:rsid w:val="00BE4F18"/>
    <w:rsid w:val="00BE6AF8"/>
    <w:rsid w:val="00BE6FC7"/>
    <w:rsid w:val="00BF09E0"/>
    <w:rsid w:val="00BF2187"/>
    <w:rsid w:val="00BF67C7"/>
    <w:rsid w:val="00BF76B5"/>
    <w:rsid w:val="00C016ED"/>
    <w:rsid w:val="00C035DA"/>
    <w:rsid w:val="00C07430"/>
    <w:rsid w:val="00C07965"/>
    <w:rsid w:val="00C101DE"/>
    <w:rsid w:val="00C104B5"/>
    <w:rsid w:val="00C13F4E"/>
    <w:rsid w:val="00C15B28"/>
    <w:rsid w:val="00C15DC1"/>
    <w:rsid w:val="00C20F1D"/>
    <w:rsid w:val="00C24641"/>
    <w:rsid w:val="00C252FC"/>
    <w:rsid w:val="00C26561"/>
    <w:rsid w:val="00C273B9"/>
    <w:rsid w:val="00C32E87"/>
    <w:rsid w:val="00C34549"/>
    <w:rsid w:val="00C3490A"/>
    <w:rsid w:val="00C34AB4"/>
    <w:rsid w:val="00C36CEA"/>
    <w:rsid w:val="00C371AB"/>
    <w:rsid w:val="00C44B43"/>
    <w:rsid w:val="00C4514F"/>
    <w:rsid w:val="00C458E9"/>
    <w:rsid w:val="00C46E88"/>
    <w:rsid w:val="00C46EDE"/>
    <w:rsid w:val="00C509D9"/>
    <w:rsid w:val="00C54500"/>
    <w:rsid w:val="00C54553"/>
    <w:rsid w:val="00C61700"/>
    <w:rsid w:val="00C63A86"/>
    <w:rsid w:val="00C7005B"/>
    <w:rsid w:val="00C71741"/>
    <w:rsid w:val="00C737EA"/>
    <w:rsid w:val="00C73DCD"/>
    <w:rsid w:val="00C74DCB"/>
    <w:rsid w:val="00C80888"/>
    <w:rsid w:val="00C80FD4"/>
    <w:rsid w:val="00C87F35"/>
    <w:rsid w:val="00C90C87"/>
    <w:rsid w:val="00C930B1"/>
    <w:rsid w:val="00C9332E"/>
    <w:rsid w:val="00C948F0"/>
    <w:rsid w:val="00C95B8F"/>
    <w:rsid w:val="00C96C83"/>
    <w:rsid w:val="00C97783"/>
    <w:rsid w:val="00CA063D"/>
    <w:rsid w:val="00CA096E"/>
    <w:rsid w:val="00CA4132"/>
    <w:rsid w:val="00CA642E"/>
    <w:rsid w:val="00CB322C"/>
    <w:rsid w:val="00CB3C17"/>
    <w:rsid w:val="00CB4557"/>
    <w:rsid w:val="00CB55D3"/>
    <w:rsid w:val="00CB72D6"/>
    <w:rsid w:val="00CB7B00"/>
    <w:rsid w:val="00CC10C7"/>
    <w:rsid w:val="00CC22AD"/>
    <w:rsid w:val="00CC505B"/>
    <w:rsid w:val="00CC610B"/>
    <w:rsid w:val="00CC7A31"/>
    <w:rsid w:val="00CD0335"/>
    <w:rsid w:val="00CD4136"/>
    <w:rsid w:val="00CD4183"/>
    <w:rsid w:val="00CD6FBB"/>
    <w:rsid w:val="00CE265D"/>
    <w:rsid w:val="00CF11FB"/>
    <w:rsid w:val="00CF130C"/>
    <w:rsid w:val="00CF2FD7"/>
    <w:rsid w:val="00CF36CC"/>
    <w:rsid w:val="00CF58A5"/>
    <w:rsid w:val="00CF60A4"/>
    <w:rsid w:val="00CF6FCD"/>
    <w:rsid w:val="00CF75A9"/>
    <w:rsid w:val="00D02143"/>
    <w:rsid w:val="00D053CD"/>
    <w:rsid w:val="00D06A84"/>
    <w:rsid w:val="00D06BC2"/>
    <w:rsid w:val="00D0724E"/>
    <w:rsid w:val="00D07458"/>
    <w:rsid w:val="00D12AE6"/>
    <w:rsid w:val="00D14B62"/>
    <w:rsid w:val="00D16953"/>
    <w:rsid w:val="00D16D91"/>
    <w:rsid w:val="00D17A8F"/>
    <w:rsid w:val="00D24BD7"/>
    <w:rsid w:val="00D27CD5"/>
    <w:rsid w:val="00D30B36"/>
    <w:rsid w:val="00D35092"/>
    <w:rsid w:val="00D37494"/>
    <w:rsid w:val="00D37AE2"/>
    <w:rsid w:val="00D4102B"/>
    <w:rsid w:val="00D41D92"/>
    <w:rsid w:val="00D438BB"/>
    <w:rsid w:val="00D46011"/>
    <w:rsid w:val="00D47511"/>
    <w:rsid w:val="00D51241"/>
    <w:rsid w:val="00D51270"/>
    <w:rsid w:val="00D515C3"/>
    <w:rsid w:val="00D55D67"/>
    <w:rsid w:val="00D60836"/>
    <w:rsid w:val="00D6220C"/>
    <w:rsid w:val="00D626FE"/>
    <w:rsid w:val="00D70176"/>
    <w:rsid w:val="00D705AD"/>
    <w:rsid w:val="00D70D1D"/>
    <w:rsid w:val="00D71EA0"/>
    <w:rsid w:val="00D722DA"/>
    <w:rsid w:val="00D72BD0"/>
    <w:rsid w:val="00D752DA"/>
    <w:rsid w:val="00D75752"/>
    <w:rsid w:val="00D76786"/>
    <w:rsid w:val="00D81DCC"/>
    <w:rsid w:val="00D8267B"/>
    <w:rsid w:val="00D84BCD"/>
    <w:rsid w:val="00D85549"/>
    <w:rsid w:val="00D85E38"/>
    <w:rsid w:val="00D9014D"/>
    <w:rsid w:val="00D95AF5"/>
    <w:rsid w:val="00D96AD2"/>
    <w:rsid w:val="00D96F45"/>
    <w:rsid w:val="00DA0BC5"/>
    <w:rsid w:val="00DA227A"/>
    <w:rsid w:val="00DA4C53"/>
    <w:rsid w:val="00DA5079"/>
    <w:rsid w:val="00DB107E"/>
    <w:rsid w:val="00DB359A"/>
    <w:rsid w:val="00DB4FD7"/>
    <w:rsid w:val="00DC19FE"/>
    <w:rsid w:val="00DC1FB8"/>
    <w:rsid w:val="00DC30D1"/>
    <w:rsid w:val="00DC399C"/>
    <w:rsid w:val="00DC4503"/>
    <w:rsid w:val="00DC7F59"/>
    <w:rsid w:val="00DD0029"/>
    <w:rsid w:val="00DD26D6"/>
    <w:rsid w:val="00DD3D5A"/>
    <w:rsid w:val="00DD5177"/>
    <w:rsid w:val="00DD61C0"/>
    <w:rsid w:val="00DE1882"/>
    <w:rsid w:val="00DE1A02"/>
    <w:rsid w:val="00DE2012"/>
    <w:rsid w:val="00DE20DE"/>
    <w:rsid w:val="00DE54A8"/>
    <w:rsid w:val="00DE6FC8"/>
    <w:rsid w:val="00DF0C27"/>
    <w:rsid w:val="00DF11B4"/>
    <w:rsid w:val="00E008CE"/>
    <w:rsid w:val="00E01924"/>
    <w:rsid w:val="00E01FF2"/>
    <w:rsid w:val="00E03CE3"/>
    <w:rsid w:val="00E05C85"/>
    <w:rsid w:val="00E07E59"/>
    <w:rsid w:val="00E12500"/>
    <w:rsid w:val="00E16D81"/>
    <w:rsid w:val="00E17027"/>
    <w:rsid w:val="00E200A0"/>
    <w:rsid w:val="00E21E25"/>
    <w:rsid w:val="00E25248"/>
    <w:rsid w:val="00E25C7C"/>
    <w:rsid w:val="00E2679B"/>
    <w:rsid w:val="00E30FCE"/>
    <w:rsid w:val="00E32494"/>
    <w:rsid w:val="00E3347E"/>
    <w:rsid w:val="00E352FF"/>
    <w:rsid w:val="00E402B0"/>
    <w:rsid w:val="00E40756"/>
    <w:rsid w:val="00E42353"/>
    <w:rsid w:val="00E44424"/>
    <w:rsid w:val="00E44601"/>
    <w:rsid w:val="00E46D1D"/>
    <w:rsid w:val="00E46F08"/>
    <w:rsid w:val="00E5028A"/>
    <w:rsid w:val="00E538D4"/>
    <w:rsid w:val="00E53F00"/>
    <w:rsid w:val="00E544CB"/>
    <w:rsid w:val="00E55558"/>
    <w:rsid w:val="00E56DBB"/>
    <w:rsid w:val="00E60947"/>
    <w:rsid w:val="00E63BA5"/>
    <w:rsid w:val="00E63C06"/>
    <w:rsid w:val="00E6424D"/>
    <w:rsid w:val="00E6484A"/>
    <w:rsid w:val="00E65BFC"/>
    <w:rsid w:val="00E66295"/>
    <w:rsid w:val="00E67044"/>
    <w:rsid w:val="00E70A38"/>
    <w:rsid w:val="00E72095"/>
    <w:rsid w:val="00E7287F"/>
    <w:rsid w:val="00E72959"/>
    <w:rsid w:val="00E744BC"/>
    <w:rsid w:val="00E74823"/>
    <w:rsid w:val="00E819A0"/>
    <w:rsid w:val="00E82778"/>
    <w:rsid w:val="00E83EBF"/>
    <w:rsid w:val="00E853DB"/>
    <w:rsid w:val="00E853FC"/>
    <w:rsid w:val="00E858EC"/>
    <w:rsid w:val="00E86A90"/>
    <w:rsid w:val="00E87DE9"/>
    <w:rsid w:val="00E90C8E"/>
    <w:rsid w:val="00E95D4A"/>
    <w:rsid w:val="00E97668"/>
    <w:rsid w:val="00E97969"/>
    <w:rsid w:val="00EA169D"/>
    <w:rsid w:val="00EA2EDA"/>
    <w:rsid w:val="00EA3B33"/>
    <w:rsid w:val="00EA4569"/>
    <w:rsid w:val="00EA4A8A"/>
    <w:rsid w:val="00EA522F"/>
    <w:rsid w:val="00EA6515"/>
    <w:rsid w:val="00EB06BB"/>
    <w:rsid w:val="00EB0CAB"/>
    <w:rsid w:val="00EB11C2"/>
    <w:rsid w:val="00EB1E2C"/>
    <w:rsid w:val="00EB3286"/>
    <w:rsid w:val="00EB6865"/>
    <w:rsid w:val="00EC396F"/>
    <w:rsid w:val="00ED00D8"/>
    <w:rsid w:val="00ED211A"/>
    <w:rsid w:val="00ED3B50"/>
    <w:rsid w:val="00ED40F7"/>
    <w:rsid w:val="00ED72AA"/>
    <w:rsid w:val="00EE3886"/>
    <w:rsid w:val="00EE39D1"/>
    <w:rsid w:val="00EE5711"/>
    <w:rsid w:val="00EE5E10"/>
    <w:rsid w:val="00EE5F2D"/>
    <w:rsid w:val="00EE78F1"/>
    <w:rsid w:val="00EF1281"/>
    <w:rsid w:val="00EF2DAA"/>
    <w:rsid w:val="00EF3343"/>
    <w:rsid w:val="00EF5CD4"/>
    <w:rsid w:val="00EF6197"/>
    <w:rsid w:val="00EF7175"/>
    <w:rsid w:val="00F001B5"/>
    <w:rsid w:val="00F00C69"/>
    <w:rsid w:val="00F06FF8"/>
    <w:rsid w:val="00F0766A"/>
    <w:rsid w:val="00F07D3C"/>
    <w:rsid w:val="00F114F8"/>
    <w:rsid w:val="00F11F37"/>
    <w:rsid w:val="00F1338D"/>
    <w:rsid w:val="00F21ADD"/>
    <w:rsid w:val="00F24D37"/>
    <w:rsid w:val="00F259F1"/>
    <w:rsid w:val="00F26B1B"/>
    <w:rsid w:val="00F3057C"/>
    <w:rsid w:val="00F3220C"/>
    <w:rsid w:val="00F33C54"/>
    <w:rsid w:val="00F341F9"/>
    <w:rsid w:val="00F353B6"/>
    <w:rsid w:val="00F35A8F"/>
    <w:rsid w:val="00F4164D"/>
    <w:rsid w:val="00F41677"/>
    <w:rsid w:val="00F433AB"/>
    <w:rsid w:val="00F438CF"/>
    <w:rsid w:val="00F4503E"/>
    <w:rsid w:val="00F45445"/>
    <w:rsid w:val="00F45517"/>
    <w:rsid w:val="00F4614E"/>
    <w:rsid w:val="00F464B7"/>
    <w:rsid w:val="00F46FD8"/>
    <w:rsid w:val="00F5354A"/>
    <w:rsid w:val="00F54134"/>
    <w:rsid w:val="00F55DF6"/>
    <w:rsid w:val="00F5733E"/>
    <w:rsid w:val="00F6115C"/>
    <w:rsid w:val="00F6221D"/>
    <w:rsid w:val="00F630B7"/>
    <w:rsid w:val="00F63B60"/>
    <w:rsid w:val="00F6555D"/>
    <w:rsid w:val="00F7047C"/>
    <w:rsid w:val="00F7094E"/>
    <w:rsid w:val="00F71628"/>
    <w:rsid w:val="00F71E3E"/>
    <w:rsid w:val="00F71FA3"/>
    <w:rsid w:val="00F72AB8"/>
    <w:rsid w:val="00F72E22"/>
    <w:rsid w:val="00F77769"/>
    <w:rsid w:val="00F77C7F"/>
    <w:rsid w:val="00F81C08"/>
    <w:rsid w:val="00F83E33"/>
    <w:rsid w:val="00F849EC"/>
    <w:rsid w:val="00F863C3"/>
    <w:rsid w:val="00F86565"/>
    <w:rsid w:val="00F9047F"/>
    <w:rsid w:val="00F907F3"/>
    <w:rsid w:val="00F93097"/>
    <w:rsid w:val="00F93A8C"/>
    <w:rsid w:val="00F94DC5"/>
    <w:rsid w:val="00F969AF"/>
    <w:rsid w:val="00FA02DA"/>
    <w:rsid w:val="00FA04E1"/>
    <w:rsid w:val="00FA1133"/>
    <w:rsid w:val="00FA246D"/>
    <w:rsid w:val="00FB07CF"/>
    <w:rsid w:val="00FB1733"/>
    <w:rsid w:val="00FB1DD5"/>
    <w:rsid w:val="00FB1EF5"/>
    <w:rsid w:val="00FB3FB4"/>
    <w:rsid w:val="00FB6F1F"/>
    <w:rsid w:val="00FB7F33"/>
    <w:rsid w:val="00FC07AB"/>
    <w:rsid w:val="00FC25BF"/>
    <w:rsid w:val="00FC31BD"/>
    <w:rsid w:val="00FC3718"/>
    <w:rsid w:val="00FD258E"/>
    <w:rsid w:val="00FD662D"/>
    <w:rsid w:val="00FE224B"/>
    <w:rsid w:val="00FE2D0E"/>
    <w:rsid w:val="00FE49D9"/>
    <w:rsid w:val="00FE6315"/>
    <w:rsid w:val="00FE7CD7"/>
    <w:rsid w:val="00FF15DD"/>
    <w:rsid w:val="00FF1A6B"/>
    <w:rsid w:val="00FF359A"/>
    <w:rsid w:val="00FF5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F5BF5"/>
  <w15:chartTrackingRefBased/>
  <w15:docId w15:val="{39E41515-8D4E-4FBF-BE11-8915FB9B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963446"/>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720" w:hanging="720"/>
      <w:outlineLvl w:val="0"/>
    </w:pPr>
    <w:rPr>
      <w:rFonts w:ascii="Courier New" w:eastAsia="Times New Roman" w:hAnsi="Courier New" w:cs="Courier New"/>
      <w:kern w:val="0"/>
      <w:sz w:val="24"/>
      <w:szCs w:val="24"/>
      <w14:ligatures w14:val="none"/>
    </w:rPr>
  </w:style>
  <w:style w:type="paragraph" w:styleId="Heading2">
    <w:name w:val="heading 2"/>
    <w:basedOn w:val="Normal"/>
    <w:link w:val="Heading2Char"/>
    <w:qFormat/>
    <w:rsid w:val="00963446"/>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1440" w:hanging="720"/>
      <w:outlineLvl w:val="1"/>
    </w:pPr>
    <w:rPr>
      <w:rFonts w:ascii="Courier New" w:eastAsia="Times New Roman" w:hAnsi="Courier New" w:cs="Courier New"/>
      <w:kern w:val="0"/>
      <w:sz w:val="24"/>
      <w:szCs w:val="24"/>
      <w14:ligatures w14:val="none"/>
    </w:rPr>
  </w:style>
  <w:style w:type="paragraph" w:styleId="Heading3">
    <w:name w:val="heading 3"/>
    <w:basedOn w:val="Normal"/>
    <w:next w:val="Normal"/>
    <w:link w:val="Heading3Char"/>
    <w:uiPriority w:val="9"/>
    <w:semiHidden/>
    <w:unhideWhenUsed/>
    <w:qFormat/>
    <w:rsid w:val="00AB19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3446"/>
    <w:rPr>
      <w:rFonts w:ascii="Courier New" w:eastAsia="Times New Roman" w:hAnsi="Courier New" w:cs="Courier New"/>
      <w:kern w:val="0"/>
      <w:sz w:val="24"/>
      <w:szCs w:val="24"/>
      <w14:ligatures w14:val="none"/>
    </w:rPr>
  </w:style>
  <w:style w:type="character" w:customStyle="1" w:styleId="Heading2Char">
    <w:name w:val="Heading 2 Char"/>
    <w:basedOn w:val="DefaultParagraphFont"/>
    <w:link w:val="Heading2"/>
    <w:rsid w:val="00963446"/>
    <w:rPr>
      <w:rFonts w:ascii="Courier New" w:eastAsia="Times New Roman" w:hAnsi="Courier New" w:cs="Courier New"/>
      <w:kern w:val="0"/>
      <w:sz w:val="24"/>
      <w:szCs w:val="24"/>
      <w14:ligatures w14:val="none"/>
    </w:rPr>
  </w:style>
  <w:style w:type="character" w:customStyle="1" w:styleId="Heading3Char">
    <w:name w:val="Heading 3 Char"/>
    <w:basedOn w:val="DefaultParagraphFont"/>
    <w:link w:val="Heading3"/>
    <w:uiPriority w:val="9"/>
    <w:semiHidden/>
    <w:rsid w:val="00AB1981"/>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750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750B3D"/>
    <w:rPr>
      <w:rFonts w:ascii="Courier New" w:eastAsia="Times New Roman" w:hAnsi="Courier New" w:cs="Courier New"/>
      <w:kern w:val="0"/>
      <w:sz w:val="20"/>
      <w:szCs w:val="20"/>
      <w14:ligatures w14:val="none"/>
    </w:rPr>
  </w:style>
  <w:style w:type="character" w:styleId="Hyperlink">
    <w:name w:val="Hyperlink"/>
    <w:basedOn w:val="DefaultParagraphFont"/>
    <w:uiPriority w:val="99"/>
    <w:unhideWhenUsed/>
    <w:rsid w:val="007E7ECB"/>
    <w:rPr>
      <w:color w:val="0000FF"/>
      <w:u w:val="single"/>
    </w:rPr>
  </w:style>
  <w:style w:type="character" w:styleId="UnresolvedMention">
    <w:name w:val="Unresolved Mention"/>
    <w:basedOn w:val="DefaultParagraphFont"/>
    <w:uiPriority w:val="99"/>
    <w:semiHidden/>
    <w:unhideWhenUsed/>
    <w:rsid w:val="0089226B"/>
    <w:rPr>
      <w:color w:val="605E5C"/>
      <w:shd w:val="clear" w:color="auto" w:fill="E1DFDD"/>
    </w:rPr>
  </w:style>
  <w:style w:type="paragraph" w:styleId="Header">
    <w:name w:val="header"/>
    <w:basedOn w:val="Normal"/>
    <w:link w:val="HeaderChar"/>
    <w:uiPriority w:val="99"/>
    <w:unhideWhenUsed/>
    <w:rsid w:val="00135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68D"/>
  </w:style>
  <w:style w:type="paragraph" w:styleId="Footer">
    <w:name w:val="footer"/>
    <w:basedOn w:val="Normal"/>
    <w:link w:val="FooterChar"/>
    <w:uiPriority w:val="99"/>
    <w:unhideWhenUsed/>
    <w:rsid w:val="00135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9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2.nycourts.gov/rules/comments/index.s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ycourts.gov/LegacyPDFS/rules/comments/pdf/requestforpubliccomment-adrconfidentiality-092925.pdf" TargetMode="External"/><Relationship Id="rId12" Type="http://schemas.openxmlformats.org/officeDocument/2006/relationships/hyperlink" Target="https://www.nycourts.gov/LegacyPDFS/rules/comments/orders/AdministrativeOrder-CAJ-283-2025-ContestedMatrimonialActions-10082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ycourts.gov/LegacyPDFS/rules/comments/orders/AdministrativeOrder-CAJ-278-2025-CostAndFeeWaivers-093025.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ycourts.gov/LegacyPDFS/rules/comments/pdf/RequestForPublicComment-PoorPersonFinancialRelief-050625.pdf" TargetMode="External"/><Relationship Id="rId4" Type="http://schemas.openxmlformats.org/officeDocument/2006/relationships/webSettings" Target="webSettings.xml"/><Relationship Id="rId9" Type="http://schemas.openxmlformats.org/officeDocument/2006/relationships/hyperlink" Target="https://www.nycourts.gov/LegacyPDFS/rules/comments/orders/AdministrativeOrder-CAJ-277-2025-AttorneyClientFeeDisputes-093025.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5899</Words>
  <Characters>33626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Wagner</dc:creator>
  <cp:keywords/>
  <dc:description/>
  <cp:lastModifiedBy>Bruce J Wagner</cp:lastModifiedBy>
  <cp:revision>2</cp:revision>
  <cp:lastPrinted>2025-10-31T18:23:00Z</cp:lastPrinted>
  <dcterms:created xsi:type="dcterms:W3CDTF">2025-10-31T18:26:00Z</dcterms:created>
  <dcterms:modified xsi:type="dcterms:W3CDTF">2025-10-31T18:26:00Z</dcterms:modified>
</cp:coreProperties>
</file>