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7826CDE9" w:rsidR="00963446" w:rsidRDefault="0053306F"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25657B">
        <w:rPr>
          <w:rFonts w:ascii="Stencil" w:hAnsi="Stencil" w:cs="Times New Roman"/>
          <w:b/>
        </w:rPr>
        <w:t>JANUARY 2026</w:t>
      </w:r>
    </w:p>
    <w:p w14:paraId="09CCB385" w14:textId="23D9C2FB"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42D0BD28" w14:textId="2D77C26A" w:rsidR="0025657B" w:rsidRPr="0025657B" w:rsidRDefault="00963446" w:rsidP="0025657B">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&amp; Montgomery County Family Courts</w:t>
      </w:r>
      <w:r w:rsidR="0025657B">
        <w:rPr>
          <w:rFonts w:ascii="Verdana" w:hAnsi="Verdana" w:cs="Times New Roman"/>
          <w:b/>
          <w:bCs/>
        </w:rPr>
        <w:t xml:space="preserve"> </w:t>
      </w:r>
      <w:r w:rsidR="0025657B">
        <w:rPr>
          <w:rFonts w:ascii="Times New Roman" w:hAnsi="Times New Roman" w:cs="Times New Roman"/>
          <w:b/>
          <w:bCs/>
        </w:rPr>
        <w:t xml:space="preserve">Agreements </w:t>
      </w:r>
      <w:r w:rsidR="0025657B" w:rsidRPr="0025657B">
        <w:rPr>
          <w:rFonts w:ascii="Times New Roman" w:hAnsi="Times New Roman" w:cs="Times New Roman"/>
          <w:b/>
          <w:bCs/>
        </w:rPr>
        <w:t>- Counsel Fees – “Loser Pays” Provision</w:t>
      </w:r>
    </w:p>
    <w:p w14:paraId="29444D2A" w14:textId="2E496EAD" w:rsidR="00427249" w:rsidRDefault="0025657B" w:rsidP="0025657B">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00B70EB5">
        <w:rPr>
          <w:rFonts w:ascii="Times New Roman" w:hAnsi="Times New Roman" w:cs="Times New Roman"/>
        </w:rPr>
        <w:t xml:space="preserve">In </w:t>
      </w:r>
      <w:r w:rsidRPr="0025657B">
        <w:rPr>
          <w:rFonts w:ascii="Times New Roman" w:hAnsi="Times New Roman" w:cs="Times New Roman"/>
          <w:b/>
          <w:bCs/>
          <w:i/>
          <w:iCs/>
        </w:rPr>
        <w:t>Birnbaum v. Birnbaum</w:t>
      </w:r>
      <w:r>
        <w:rPr>
          <w:rFonts w:ascii="Times New Roman" w:hAnsi="Times New Roman" w:cs="Times New Roman"/>
        </w:rPr>
        <w:t xml:space="preserve">, 2025 Westlaw 3649410 (2d Dept. Dec. 17, 2025), the parties were divorced by an October 2020 judgment incorporating a June 2020 written agreement, which provided that a party who initiates a suit or other proceeding to modify the agreement (the plaintiff party) is entitled to counsel fees if the result is a judgment substantially in that party’s favor, but if not, the opposing party is entitled to a counsel fee award. The former wife (wife) appealed from a November 2023 Supreme Court order, which granted so much of the former husband’s (husband’s) motion as sought attorneys’ fees. The Third Department affirmed, holding that the wife “initiated </w:t>
      </w:r>
      <w:proofErr w:type="spellStart"/>
      <w:r>
        <w:rPr>
          <w:rFonts w:ascii="Times New Roman" w:hAnsi="Times New Roman" w:cs="Times New Roman"/>
        </w:rPr>
        <w:t>postjudgment</w:t>
      </w:r>
      <w:proofErr w:type="spellEnd"/>
      <w:r>
        <w:rPr>
          <w:rFonts w:ascii="Times New Roman" w:hAnsi="Times New Roman" w:cs="Times New Roman"/>
        </w:rPr>
        <w:t xml:space="preserve"> motion practice *** to modify *** the agreement” and although the husband “subsequently sought to modify and enforce various provisions” thereof, “he did so in the context of defending against the [wife’s] claims and asserting counterclaims against her.” The Court determined that the wife “is the plaintiff party” as defined by the agreement. The Appellate Division concluded that Supreme Court’s May 2022 order, which denied the wife’s modification motion, was “substantially in favor of the [husband]” such that he “was entitled to an award of attorneys’ fees pursuant to the settlement agreement.”</w:t>
      </w:r>
    </w:p>
    <w:p w14:paraId="4DD34DFB" w14:textId="77777777" w:rsidR="00053972" w:rsidRDefault="00053972" w:rsidP="0025657B">
      <w:pPr>
        <w:pStyle w:val="Heading2"/>
        <w:numPr>
          <w:ilvl w:val="0"/>
          <w:numId w:val="0"/>
        </w:numPr>
        <w:spacing w:line="240" w:lineRule="auto"/>
        <w:contextualSpacing/>
        <w:jc w:val="both"/>
        <w:rPr>
          <w:rFonts w:ascii="Times New Roman" w:hAnsi="Times New Roman" w:cs="Times New Roman"/>
        </w:rPr>
      </w:pPr>
    </w:p>
    <w:p w14:paraId="23401EA2" w14:textId="77777777" w:rsidR="00053972" w:rsidRPr="00053972" w:rsidRDefault="00053972" w:rsidP="00053972">
      <w:pPr>
        <w:pStyle w:val="Heading2"/>
        <w:numPr>
          <w:ilvl w:val="0"/>
          <w:numId w:val="0"/>
        </w:numPr>
        <w:rPr>
          <w:b/>
          <w:bCs/>
        </w:rPr>
      </w:pPr>
      <w:r w:rsidRPr="00053972">
        <w:rPr>
          <w:rFonts w:ascii="Times New Roman" w:hAnsi="Times New Roman" w:cs="Times New Roman"/>
          <w:b/>
          <w:bCs/>
        </w:rPr>
        <w:t>Agreements - Mediation Clause Enforced</w:t>
      </w:r>
    </w:p>
    <w:p w14:paraId="0903D9E3" w14:textId="6DE3FE85" w:rsidR="00053972" w:rsidRDefault="00053972" w:rsidP="00053972">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053972">
        <w:rPr>
          <w:rFonts w:ascii="Times New Roman" w:hAnsi="Times New Roman" w:cs="Times New Roman"/>
          <w:b/>
          <w:bCs/>
          <w:i/>
          <w:iCs/>
        </w:rPr>
        <w:t>Rosenblatt v. Rosenblatt</w:t>
      </w:r>
      <w:r>
        <w:rPr>
          <w:rFonts w:ascii="Times New Roman" w:hAnsi="Times New Roman" w:cs="Times New Roman"/>
        </w:rPr>
        <w:t>, 2025 Westlaw 3711903 (1</w:t>
      </w:r>
      <w:r w:rsidRPr="00DF3CA1">
        <w:rPr>
          <w:rFonts w:ascii="Times New Roman" w:hAnsi="Times New Roman" w:cs="Times New Roman"/>
          <w:vertAlign w:val="superscript"/>
        </w:rPr>
        <w:t>st</w:t>
      </w:r>
      <w:r>
        <w:rPr>
          <w:rFonts w:ascii="Times New Roman" w:hAnsi="Times New Roman" w:cs="Times New Roman"/>
        </w:rPr>
        <w:t xml:space="preserve"> Dept. Dec. 23, 2025), the husband appealed from a March 2025 Supreme Court order, which granted the wife’s motion to enforce a stipulation of settlement and directed him to pay her a certain sum of money, appointed a receiver to sell the parties’ apartment, and awarded her counsel fees of $35,000. The First Department reversed, on the law, vacated the receiver appointment and counsel fee award, and stayed all proceedings upon the motion pending conclusion of mediation. The Appellate Division held that the parties’ incorporated stipulation “contained an unambiguous mediation clause requiring the parties to resolve their disputes through mediation” and Supreme Court “should have directed the parties to attend mediation and held further proceedings in abeyance pending completion of mediation.”</w:t>
      </w:r>
    </w:p>
    <w:p w14:paraId="4F6489E3" w14:textId="77777777" w:rsidR="0080647E" w:rsidRDefault="0080647E" w:rsidP="00053972">
      <w:pPr>
        <w:pStyle w:val="Heading2"/>
        <w:numPr>
          <w:ilvl w:val="0"/>
          <w:numId w:val="0"/>
        </w:numPr>
        <w:spacing w:line="240" w:lineRule="auto"/>
        <w:contextualSpacing/>
        <w:jc w:val="both"/>
        <w:rPr>
          <w:rFonts w:ascii="Times New Roman" w:hAnsi="Times New Roman" w:cs="Times New Roman"/>
        </w:rPr>
      </w:pPr>
    </w:p>
    <w:p w14:paraId="3D5FE814" w14:textId="77777777" w:rsidR="0080647E" w:rsidRPr="0080647E" w:rsidRDefault="0080647E" w:rsidP="0080647E">
      <w:pPr>
        <w:pStyle w:val="Heading2"/>
        <w:numPr>
          <w:ilvl w:val="0"/>
          <w:numId w:val="0"/>
        </w:numPr>
        <w:rPr>
          <w:b/>
          <w:bCs/>
        </w:rPr>
      </w:pPr>
      <w:r w:rsidRPr="0080647E">
        <w:rPr>
          <w:rFonts w:ascii="Times New Roman" w:hAnsi="Times New Roman" w:cs="Times New Roman"/>
          <w:b/>
          <w:bCs/>
        </w:rPr>
        <w:t>Agreements - Ratification Precludes Rescission</w:t>
      </w:r>
    </w:p>
    <w:p w14:paraId="34BD894E" w14:textId="4C55D036" w:rsidR="0080647E" w:rsidRDefault="0080647E" w:rsidP="0080647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0647E">
        <w:rPr>
          <w:rFonts w:ascii="Times New Roman" w:hAnsi="Times New Roman" w:cs="Times New Roman"/>
          <w:b/>
          <w:bCs/>
          <w:i/>
          <w:iCs/>
        </w:rPr>
        <w:t xml:space="preserve">Di Francesco v </w:t>
      </w:r>
      <w:proofErr w:type="spellStart"/>
      <w:r w:rsidRPr="0080647E">
        <w:rPr>
          <w:rFonts w:ascii="Times New Roman" w:hAnsi="Times New Roman" w:cs="Times New Roman"/>
          <w:b/>
          <w:bCs/>
          <w:i/>
          <w:iCs/>
        </w:rPr>
        <w:t>McEnroy</w:t>
      </w:r>
      <w:proofErr w:type="spellEnd"/>
      <w:r>
        <w:rPr>
          <w:rFonts w:ascii="Times New Roman" w:hAnsi="Times New Roman" w:cs="Times New Roman"/>
        </w:rPr>
        <w:t>, 2</w:t>
      </w:r>
      <w:r w:rsidR="00E44F39">
        <w:rPr>
          <w:rFonts w:ascii="Times New Roman" w:hAnsi="Times New Roman" w:cs="Times New Roman"/>
        </w:rPr>
        <w:t>44 NYS3d 100</w:t>
      </w:r>
      <w:r>
        <w:rPr>
          <w:rFonts w:ascii="Times New Roman" w:hAnsi="Times New Roman" w:cs="Times New Roman"/>
        </w:rPr>
        <w:t xml:space="preserve"> (1</w:t>
      </w:r>
      <w:r w:rsidRPr="00F92013">
        <w:rPr>
          <w:rFonts w:ascii="Times New Roman" w:hAnsi="Times New Roman" w:cs="Times New Roman"/>
          <w:vertAlign w:val="superscript"/>
        </w:rPr>
        <w:t>st</w:t>
      </w:r>
      <w:r>
        <w:rPr>
          <w:rFonts w:ascii="Times New Roman" w:hAnsi="Times New Roman" w:cs="Times New Roman"/>
        </w:rPr>
        <w:t xml:space="preserve"> Dept. Dec. 11, 2025), both parties appealed from a March 2025 Supreme Court order determining the husband’s motion to dismiss various causes of action in the wife’s complaint seeking rescission, set aside, breach of fiduciary duty and accounting (motion granted), and </w:t>
      </w:r>
      <w:r w:rsidR="00375621">
        <w:rPr>
          <w:rFonts w:ascii="Times New Roman" w:hAnsi="Times New Roman" w:cs="Times New Roman"/>
        </w:rPr>
        <w:t xml:space="preserve">for </w:t>
      </w:r>
      <w:r>
        <w:rPr>
          <w:rFonts w:ascii="Times New Roman" w:hAnsi="Times New Roman" w:cs="Times New Roman"/>
        </w:rPr>
        <w:t xml:space="preserve">judgment upon the husband’s confession of judgment (motion denied). The First Department modified, on the law, to grant the motion to dismiss the cause of action for judgment upon the confession of judgment and otherwise affirmed. The Appellate Division held “Supreme Court correctly found that [the wife] ratified the parties’ settlement agreement and therefore is estopped from challenging its validity,” while noting that she “accepted substantial benefits from the parties’ 2018 separation agreement for a number of </w:t>
      </w:r>
      <w:r>
        <w:rPr>
          <w:rFonts w:ascii="Times New Roman" w:hAnsi="Times New Roman" w:cs="Times New Roman"/>
        </w:rPr>
        <w:lastRenderedPageBreak/>
        <w:t>years, including maintenance payments for six years and a distributive award in excess of one million dollars in May 2020.” The Court concluded: “the confession of judgment was executed to secure [the husband’s] obligations with respect to the distributive award and the monthly maintenance payment before he established and funded a trust for [the wife’s] benefit”; “[t]he distributive award has already been paid, and the monthly maintenance payments continue to be made”; and should the husband “default on his maintenance payments, [the wife] would be able to recover only the unpaid maintenance, not the entirety of the confession of judgment.”</w:t>
      </w:r>
    </w:p>
    <w:p w14:paraId="793672A1" w14:textId="77777777" w:rsidR="001F4F0E" w:rsidRDefault="001F4F0E" w:rsidP="0080647E">
      <w:pPr>
        <w:pStyle w:val="Heading2"/>
        <w:numPr>
          <w:ilvl w:val="0"/>
          <w:numId w:val="0"/>
        </w:numPr>
        <w:spacing w:line="240" w:lineRule="auto"/>
        <w:contextualSpacing/>
        <w:jc w:val="both"/>
        <w:rPr>
          <w:rFonts w:ascii="Times New Roman" w:hAnsi="Times New Roman" w:cs="Times New Roman"/>
        </w:rPr>
      </w:pPr>
    </w:p>
    <w:p w14:paraId="1AA1D382" w14:textId="77777777" w:rsidR="001F4F0E" w:rsidRPr="001F4F0E" w:rsidRDefault="001F4F0E" w:rsidP="001F4F0E">
      <w:pPr>
        <w:pStyle w:val="Heading2"/>
        <w:numPr>
          <w:ilvl w:val="0"/>
          <w:numId w:val="0"/>
        </w:numPr>
        <w:jc w:val="both"/>
        <w:rPr>
          <w:rFonts w:ascii="Times New Roman" w:hAnsi="Times New Roman" w:cs="Times New Roman"/>
          <w:b/>
          <w:bCs/>
        </w:rPr>
      </w:pPr>
      <w:r w:rsidRPr="001F4F0E">
        <w:rPr>
          <w:rFonts w:ascii="Times New Roman" w:hAnsi="Times New Roman" w:cs="Times New Roman"/>
          <w:b/>
          <w:bCs/>
        </w:rPr>
        <w:t>Child Support - CSSA – Child Care Denied, Over Cap ($163,000) – Upheld</w:t>
      </w:r>
    </w:p>
    <w:p w14:paraId="65D1DF88" w14:textId="661D02C1" w:rsidR="001F4F0E" w:rsidRDefault="001F4F0E" w:rsidP="001F4F0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1F4F0E">
        <w:rPr>
          <w:rFonts w:ascii="Times New Roman" w:hAnsi="Times New Roman" w:cs="Times New Roman"/>
          <w:b/>
          <w:bCs/>
          <w:i/>
          <w:iCs/>
        </w:rPr>
        <w:t xml:space="preserve">Matter of </w:t>
      </w:r>
      <w:proofErr w:type="spellStart"/>
      <w:r w:rsidRPr="001F4F0E">
        <w:rPr>
          <w:rFonts w:ascii="Times New Roman" w:hAnsi="Times New Roman" w:cs="Times New Roman"/>
          <w:b/>
          <w:bCs/>
          <w:i/>
          <w:iCs/>
        </w:rPr>
        <w:t>Bazinian</w:t>
      </w:r>
      <w:proofErr w:type="spellEnd"/>
      <w:r w:rsidRPr="001F4F0E">
        <w:rPr>
          <w:rFonts w:ascii="Times New Roman" w:hAnsi="Times New Roman" w:cs="Times New Roman"/>
          <w:b/>
          <w:bCs/>
          <w:i/>
          <w:iCs/>
        </w:rPr>
        <w:t xml:space="preserve"> v. Greenberg</w:t>
      </w:r>
      <w:r>
        <w:rPr>
          <w:rFonts w:ascii="Times New Roman" w:hAnsi="Times New Roman" w:cs="Times New Roman"/>
        </w:rPr>
        <w:t>, 2025 Westlaw</w:t>
      </w:r>
      <w:r w:rsidR="00BB73A6">
        <w:rPr>
          <w:rFonts w:ascii="Times New Roman" w:hAnsi="Times New Roman" w:cs="Times New Roman"/>
        </w:rPr>
        <w:t xml:space="preserve"> 3724426 </w:t>
      </w:r>
      <w:r>
        <w:rPr>
          <w:rFonts w:ascii="Times New Roman" w:hAnsi="Times New Roman" w:cs="Times New Roman"/>
        </w:rPr>
        <w:t>(2d Dept. Dec. 24, 2025), the mother appealed from June and July 2024 Family Court orders denying her objections to Support Magistrate orders which, among other things, directed the father to pay child support based upon $213,000 in combined parental income ($50,000 over the $163,000 cap) and declining to award certain childcare expenses. The Second Department affirmed, holding that Family Court properly considered “t</w:t>
      </w:r>
      <w:r w:rsidRPr="00BD0011">
        <w:rPr>
          <w:rFonts w:ascii="Times New Roman" w:hAnsi="Times New Roman" w:cs="Times New Roman"/>
        </w:rPr>
        <w:t>he father's considerable income, the income disparity between the parties, and the living condition and needs of the children</w:t>
      </w:r>
      <w:r>
        <w:rPr>
          <w:rFonts w:ascii="Times New Roman" w:hAnsi="Times New Roman" w:cs="Times New Roman"/>
        </w:rPr>
        <w:t>” and “</w:t>
      </w:r>
      <w:r w:rsidRPr="00BD0011">
        <w:rPr>
          <w:rFonts w:ascii="Times New Roman" w:hAnsi="Times New Roman" w:cs="Times New Roman"/>
        </w:rPr>
        <w:t>providently exercised its discretion in calculating the parties' child support obligations based on combined parental income of an additional $50,000 in excess of the $163,000 statutory cap.</w:t>
      </w:r>
      <w:r>
        <w:rPr>
          <w:rFonts w:ascii="Times New Roman" w:hAnsi="Times New Roman" w:cs="Times New Roman"/>
        </w:rPr>
        <w:t>”  The Appellate Division concluded: “</w:t>
      </w:r>
      <w:r w:rsidRPr="00BD0011">
        <w:rPr>
          <w:rFonts w:ascii="Times New Roman" w:hAnsi="Times New Roman" w:cs="Times New Roman"/>
        </w:rPr>
        <w:t xml:space="preserve">Family Court did not improvidently exercise its discretion in declining to award ongoing childcare expenses for the two older children and for retroactive childcare expenses </w:t>
      </w:r>
      <w:r>
        <w:rPr>
          <w:rFonts w:ascii="Times New Roman" w:hAnsi="Times New Roman" w:cs="Times New Roman"/>
        </w:rPr>
        <w:t>***</w:t>
      </w:r>
      <w:r w:rsidRPr="00BD0011">
        <w:rPr>
          <w:rFonts w:ascii="Times New Roman" w:hAnsi="Times New Roman" w:cs="Times New Roman"/>
        </w:rPr>
        <w:t>, as the mother failed to provide credible evidence to support those alleged expenses</w:t>
      </w:r>
      <w:r>
        <w:rPr>
          <w:rFonts w:ascii="Times New Roman" w:hAnsi="Times New Roman" w:cs="Times New Roman"/>
        </w:rPr>
        <w:t>.”</w:t>
      </w:r>
    </w:p>
    <w:p w14:paraId="488E9083" w14:textId="77777777" w:rsidR="0080647E" w:rsidRDefault="0080647E" w:rsidP="0080647E">
      <w:pPr>
        <w:pStyle w:val="Heading2"/>
        <w:numPr>
          <w:ilvl w:val="0"/>
          <w:numId w:val="0"/>
        </w:numPr>
        <w:spacing w:line="240" w:lineRule="auto"/>
        <w:contextualSpacing/>
        <w:jc w:val="both"/>
        <w:rPr>
          <w:rFonts w:ascii="Times New Roman" w:hAnsi="Times New Roman" w:cs="Times New Roman"/>
        </w:rPr>
      </w:pPr>
    </w:p>
    <w:p w14:paraId="023B1198" w14:textId="77777777" w:rsidR="0080647E" w:rsidRPr="0080647E" w:rsidRDefault="0080647E" w:rsidP="0080647E">
      <w:pPr>
        <w:pStyle w:val="Heading2"/>
        <w:numPr>
          <w:ilvl w:val="0"/>
          <w:numId w:val="0"/>
        </w:numPr>
        <w:jc w:val="both"/>
        <w:rPr>
          <w:rFonts w:ascii="Times New Roman" w:hAnsi="Times New Roman" w:cs="Times New Roman"/>
          <w:b/>
          <w:bCs/>
        </w:rPr>
      </w:pPr>
      <w:r w:rsidRPr="0080647E">
        <w:rPr>
          <w:rFonts w:ascii="Times New Roman" w:hAnsi="Times New Roman" w:cs="Times New Roman"/>
          <w:b/>
          <w:bCs/>
        </w:rPr>
        <w:t>Child Support – CSSA - Equally Shared – No Deviation; Over Cap – Upheld</w:t>
      </w:r>
    </w:p>
    <w:p w14:paraId="71C9BCDA" w14:textId="6E695258" w:rsidR="0080647E" w:rsidRDefault="0080647E" w:rsidP="0080647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0647E">
        <w:rPr>
          <w:rFonts w:ascii="Times New Roman" w:hAnsi="Times New Roman" w:cs="Times New Roman"/>
          <w:b/>
          <w:bCs/>
          <w:i/>
          <w:iCs/>
        </w:rPr>
        <w:t>Aiken v. Aiken</w:t>
      </w:r>
      <w:r>
        <w:rPr>
          <w:rFonts w:ascii="Times New Roman" w:hAnsi="Times New Roman" w:cs="Times New Roman"/>
        </w:rPr>
        <w:t xml:space="preserve">, 2025 Westlaw 3545670 (3d Dept. Dec. 11, 2025), the parties were married in 2008 and have 3 children born in 2011, 2012 and 2014. The husband commenced the divorce action in 2022. The parties agreed to joint legal and equally shared physical custody in 2023 and resolved all issues other than child support in 2024. The husband appealed from a September 2024 Supreme Court judgment which, following a 2-day trial on the issue of child support and upon findings that the husband’s CSSA income was $130,618 and the </w:t>
      </w:r>
      <w:proofErr w:type="gramStart"/>
      <w:r>
        <w:rPr>
          <w:rFonts w:ascii="Times New Roman" w:hAnsi="Times New Roman" w:cs="Times New Roman"/>
        </w:rPr>
        <w:t>wife’s</w:t>
      </w:r>
      <w:proofErr w:type="gramEnd"/>
      <w:r>
        <w:rPr>
          <w:rFonts w:ascii="Times New Roman" w:hAnsi="Times New Roman" w:cs="Times New Roman"/>
        </w:rPr>
        <w:t xml:space="preserve"> was $99,182, awarded the wife child support upon all of the combined parental income in the sum of $3,030 per month, and $21,505 of $34,448 of requested counsel fees. The Third Department affirmed, citing </w:t>
      </w:r>
      <w:r w:rsidRPr="009835AC">
        <w:rPr>
          <w:rFonts w:ascii="Times New Roman" w:hAnsi="Times New Roman" w:cs="Times New Roman"/>
          <w:u w:val="single"/>
        </w:rPr>
        <w:t xml:space="preserve">Bast v. </w:t>
      </w:r>
      <w:proofErr w:type="spellStart"/>
      <w:r w:rsidRPr="009835AC">
        <w:rPr>
          <w:rFonts w:ascii="Times New Roman" w:hAnsi="Times New Roman" w:cs="Times New Roman"/>
          <w:u w:val="single"/>
        </w:rPr>
        <w:t>Rossof</w:t>
      </w:r>
      <w:r>
        <w:rPr>
          <w:rFonts w:ascii="Times New Roman" w:hAnsi="Times New Roman" w:cs="Times New Roman"/>
          <w:u w:val="single"/>
        </w:rPr>
        <w:t>f</w:t>
      </w:r>
      <w:proofErr w:type="spellEnd"/>
      <w:r>
        <w:rPr>
          <w:rFonts w:ascii="Times New Roman" w:hAnsi="Times New Roman" w:cs="Times New Roman"/>
        </w:rPr>
        <w:t xml:space="preserve"> [“shared custody arrangements do not alter the scope and methodology of the CSSA”] and noting that the Court has “consistently held that the costs of providing suitable housing, clothing and food for a child during custodial periods do not qualify as extraordinary expenses so as to justify a deviation from the presumptive amount of child support (internal quotation marks omitted).” The Appellate Division noted that the husband submitted no evidence or testimony at trial that the CSSA amount “renders him destitute” or “leave[s] him without sufficient resources to meet his own needs.”  The Court observed that the husband earns 25% more than the mother. The Third Department upheld the counsel fee award, finding that Supreme Court “took into account needless delay caused by the father, including by inexplicabl</w:t>
      </w:r>
      <w:r w:rsidR="00375621">
        <w:rPr>
          <w:rFonts w:ascii="Times New Roman" w:hAnsi="Times New Roman" w:cs="Times New Roman"/>
        </w:rPr>
        <w:t>y</w:t>
      </w:r>
      <w:r>
        <w:rPr>
          <w:rFonts w:ascii="Times New Roman" w:hAnsi="Times New Roman" w:cs="Times New Roman"/>
        </w:rPr>
        <w:t xml:space="preserve"> failing for two years to sign the parties’ agreement concerning equitable distribution *** subjecting the mother to a higher interest rate when she was eventually able to refinance the mortgage” and that the husband “had unreasonably taken the position that, despite being the monied spouse, he should pay no child support at all, thereby resulting in a trial on that issue.”</w:t>
      </w:r>
    </w:p>
    <w:p w14:paraId="65815868" w14:textId="38AF7DC8" w:rsidR="0080647E" w:rsidRDefault="0080647E" w:rsidP="00CF3D90">
      <w:pPr>
        <w:pStyle w:val="Heading2"/>
        <w:numPr>
          <w:ilvl w:val="0"/>
          <w:numId w:val="0"/>
        </w:numPr>
        <w:spacing w:line="240" w:lineRule="auto"/>
        <w:contextualSpacing/>
        <w:jc w:val="both"/>
        <w:rPr>
          <w:rFonts w:ascii="Times New Roman" w:hAnsi="Times New Roman" w:cs="Times New Roman"/>
          <w:b/>
          <w:bCs/>
        </w:rPr>
      </w:pPr>
      <w:r w:rsidRPr="0080647E">
        <w:rPr>
          <w:rFonts w:ascii="Times New Roman" w:hAnsi="Times New Roman" w:cs="Times New Roman"/>
          <w:b/>
          <w:bCs/>
        </w:rPr>
        <w:lastRenderedPageBreak/>
        <w:t>Child Support – CSSA - Imputed Income, Limited to $163,000 Cap</w:t>
      </w:r>
      <w:r>
        <w:rPr>
          <w:rFonts w:ascii="Times New Roman" w:hAnsi="Times New Roman" w:cs="Times New Roman"/>
          <w:b/>
          <w:bCs/>
        </w:rPr>
        <w:t xml:space="preserve">; Counsel Fees – After Trial; </w:t>
      </w:r>
      <w:r w:rsidR="00CF3D90">
        <w:rPr>
          <w:rFonts w:ascii="Times New Roman" w:hAnsi="Times New Roman" w:cs="Times New Roman"/>
          <w:b/>
          <w:bCs/>
        </w:rPr>
        <w:t xml:space="preserve">Custody </w:t>
      </w:r>
      <w:r w:rsidR="00CF3D90" w:rsidRPr="00CF3D90">
        <w:rPr>
          <w:rFonts w:ascii="Times New Roman" w:hAnsi="Times New Roman" w:cs="Times New Roman"/>
          <w:b/>
          <w:bCs/>
        </w:rPr>
        <w:t>- Joint Legal, Shared Physical – Primary Caregiver</w:t>
      </w:r>
      <w:r w:rsidR="00CF3D90">
        <w:rPr>
          <w:rFonts w:ascii="Times New Roman" w:hAnsi="Times New Roman" w:cs="Times New Roman"/>
          <w:b/>
          <w:bCs/>
        </w:rPr>
        <w:t>,</w:t>
      </w:r>
      <w:r w:rsidR="00CF3D90" w:rsidRPr="00CF3D90">
        <w:rPr>
          <w:rFonts w:ascii="Times New Roman" w:hAnsi="Times New Roman" w:cs="Times New Roman"/>
          <w:b/>
          <w:bCs/>
        </w:rPr>
        <w:t xml:space="preserve"> Educational Decision-Making – Teaching and Homeschooling Background</w:t>
      </w:r>
      <w:r w:rsidR="00CF3D90">
        <w:rPr>
          <w:rFonts w:ascii="Times New Roman" w:hAnsi="Times New Roman" w:cs="Times New Roman"/>
          <w:b/>
          <w:bCs/>
        </w:rPr>
        <w:t xml:space="preserve">; Equitable Distribution </w:t>
      </w:r>
      <w:r w:rsidR="00CF3D90" w:rsidRPr="00CF3D90">
        <w:rPr>
          <w:rFonts w:ascii="Times New Roman" w:hAnsi="Times New Roman" w:cs="Times New Roman"/>
          <w:b/>
          <w:bCs/>
        </w:rPr>
        <w:t>- Credit for Pendente Lite and Post-Judgment Carrying Charges – Denied</w:t>
      </w:r>
      <w:r w:rsidR="00CF3D90">
        <w:rPr>
          <w:rFonts w:ascii="Times New Roman" w:hAnsi="Times New Roman" w:cs="Times New Roman"/>
          <w:b/>
          <w:bCs/>
        </w:rPr>
        <w:t>; Maintenance – Durational – Affirmed</w:t>
      </w:r>
    </w:p>
    <w:p w14:paraId="052134CB" w14:textId="77777777" w:rsidR="00CF3D90" w:rsidRPr="0080647E" w:rsidRDefault="00CF3D90" w:rsidP="00CF3D90">
      <w:pPr>
        <w:pStyle w:val="Heading2"/>
        <w:numPr>
          <w:ilvl w:val="0"/>
          <w:numId w:val="0"/>
        </w:numPr>
        <w:spacing w:line="240" w:lineRule="auto"/>
        <w:contextualSpacing/>
        <w:jc w:val="both"/>
        <w:rPr>
          <w:rFonts w:ascii="Times New Roman" w:hAnsi="Times New Roman" w:cs="Times New Roman"/>
          <w:b/>
          <w:bCs/>
        </w:rPr>
      </w:pPr>
    </w:p>
    <w:p w14:paraId="6E993AAC" w14:textId="016FF1F4" w:rsidR="0080647E" w:rsidRDefault="0080647E" w:rsidP="0080647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0647E">
        <w:rPr>
          <w:rFonts w:ascii="Times New Roman" w:hAnsi="Times New Roman" w:cs="Times New Roman"/>
          <w:b/>
          <w:bCs/>
          <w:i/>
          <w:iCs/>
        </w:rPr>
        <w:t>Leah W. v. Taylor R.</w:t>
      </w:r>
      <w:r>
        <w:rPr>
          <w:rFonts w:ascii="Times New Roman" w:hAnsi="Times New Roman" w:cs="Times New Roman"/>
        </w:rPr>
        <w:t xml:space="preserve">, 2025 Westlaw 3545657 (3d Dept. Dec. 11, 2025), the parties were married in 2010 and have 2 children born in 2013 and 2016. Both parties appealed from a January 2024 Supreme Court judgment which, following trial of the wife’s August 2021 divorce action and </w:t>
      </w:r>
      <w:r w:rsidRPr="00F712B9">
        <w:rPr>
          <w:rFonts w:ascii="Times New Roman" w:hAnsi="Times New Roman" w:cs="Times New Roman"/>
          <w:i/>
          <w:iCs/>
        </w:rPr>
        <w:t>Lincoln</w:t>
      </w:r>
      <w:r>
        <w:rPr>
          <w:rFonts w:ascii="Times New Roman" w:hAnsi="Times New Roman" w:cs="Times New Roman"/>
        </w:rPr>
        <w:t xml:space="preserve"> hearings with the children: (1) awarded joint legal and physical custody of the children, with final educational decision-making authority to the wife; (2) denied the wife a credit for pendente lite and post-judgment carrying charges on the marital residence; (3) imputed $50,000 in income to the wife and directed the husband to pay her maintenance of $1,330.16 monthly for 3 years; (4) limited the child support award to the first $163,000 of combined parental income; and (5) awarded the wife counsel fees of $7,500. The Third Department modified, on the law and the facts, by directing the attorney for the children to provide a copy of the January 2022 and October 2022 forensic reports to the children’s therapist and otherwise affirmed.  The Appellate Division held: (1) the custody award was proper, noting the mother’s history as primary care giver and the forensic psychologist’s recommendation of joint legal custody; the failure to award the husband any final decision-making authority was proper; Supreme Court’s direction that the children remain in counseling was appropriate; and the educational decision-making authority to the wife was proper, noting the wife’s bachelor’s degree in educational policy and master’s degree in special education, along with her homeschooling of the children for 2 years during the pandemic. (2) There was no abuse of discretion in Supreme Court’s denial of credit to the wife for payment of pendente lite and post-judgment marital residence carrying charges, considering that following entry of judgment and </w:t>
      </w:r>
      <w:r w:rsidR="00375621">
        <w:rPr>
          <w:rFonts w:ascii="Times New Roman" w:hAnsi="Times New Roman" w:cs="Times New Roman"/>
        </w:rPr>
        <w:t xml:space="preserve">pending </w:t>
      </w:r>
      <w:r>
        <w:rPr>
          <w:rFonts w:ascii="Times New Roman" w:hAnsi="Times New Roman" w:cs="Times New Roman"/>
        </w:rPr>
        <w:t xml:space="preserve">sale of the home, the wife was awarded possession thereof and made solely responsible for such costs. (3) Neither party disputed the amount of maintenance, and the Appellate Division rejected the husband’s challenge to the duration, and while noting that the durational guidelines for an 11-year marriage (15% - 30%) are between 30 and 40 months, upheld </w:t>
      </w:r>
      <w:proofErr w:type="gramStart"/>
      <w:r>
        <w:rPr>
          <w:rFonts w:ascii="Times New Roman" w:hAnsi="Times New Roman" w:cs="Times New Roman"/>
        </w:rPr>
        <w:t>Supreme  Court’s</w:t>
      </w:r>
      <w:proofErr w:type="gramEnd"/>
      <w:r>
        <w:rPr>
          <w:rFonts w:ascii="Times New Roman" w:hAnsi="Times New Roman" w:cs="Times New Roman"/>
        </w:rPr>
        <w:t xml:space="preserve"> 3-year duration. (4) Supreme Court properly imputed $50,000 in income to the wife for maintenance and child support purposes, finding that the wife “is highly educated and has much greater earning potential” than the $663 she reported in 2022, while noting her degrees and prior earnings of $50,000 as a teacher. Since neither party otherwise challenged Supreme Court’s CSSA calculations or its limitation to the $163,00 cap, “there is no basis upon which to disturb the award.” (5) The $7,500 counsel fee award was appropriate, noting the $25,000 interim determination, rejecting the wife’s claim for greater fees and the husband’s argument for a lesser payment, referring to “the income disparity between the parties” and the wife’s status “as the less monied spouse.”</w:t>
      </w:r>
    </w:p>
    <w:p w14:paraId="16D4B154" w14:textId="77777777" w:rsidR="00472A91" w:rsidRDefault="00472A91" w:rsidP="0080647E">
      <w:pPr>
        <w:pStyle w:val="Heading2"/>
        <w:numPr>
          <w:ilvl w:val="0"/>
          <w:numId w:val="0"/>
        </w:numPr>
        <w:spacing w:line="240" w:lineRule="auto"/>
        <w:contextualSpacing/>
        <w:jc w:val="both"/>
        <w:rPr>
          <w:rFonts w:ascii="Times New Roman" w:hAnsi="Times New Roman" w:cs="Times New Roman"/>
        </w:rPr>
      </w:pPr>
    </w:p>
    <w:p w14:paraId="38E1290E" w14:textId="00E1C8C6" w:rsidR="00472A91" w:rsidRPr="004F46B1" w:rsidRDefault="00472A91" w:rsidP="0080647E">
      <w:pPr>
        <w:pStyle w:val="Heading2"/>
        <w:numPr>
          <w:ilvl w:val="0"/>
          <w:numId w:val="0"/>
        </w:numPr>
        <w:spacing w:line="240" w:lineRule="auto"/>
        <w:contextualSpacing/>
        <w:jc w:val="both"/>
        <w:rPr>
          <w:rFonts w:ascii="Times New Roman" w:hAnsi="Times New Roman" w:cs="Times New Roman"/>
          <w:b/>
          <w:bCs/>
        </w:rPr>
      </w:pPr>
      <w:r w:rsidRPr="004F46B1">
        <w:rPr>
          <w:rFonts w:ascii="Times New Roman" w:hAnsi="Times New Roman" w:cs="Times New Roman"/>
          <w:b/>
          <w:bCs/>
        </w:rPr>
        <w:t xml:space="preserve">Child Support - </w:t>
      </w:r>
      <w:bookmarkStart w:id="0" w:name="_Hlk217246179"/>
      <w:r w:rsidRPr="004F46B1">
        <w:rPr>
          <w:rFonts w:ascii="Times New Roman" w:hAnsi="Times New Roman" w:cs="Times New Roman"/>
          <w:b/>
          <w:bCs/>
        </w:rPr>
        <w:t>CSSA – Imputed Income</w:t>
      </w:r>
      <w:r w:rsidR="004F46B1" w:rsidRPr="004F46B1">
        <w:rPr>
          <w:rFonts w:ascii="Times New Roman" w:hAnsi="Times New Roman" w:cs="Times New Roman"/>
          <w:b/>
          <w:bCs/>
        </w:rPr>
        <w:t xml:space="preserve">, </w:t>
      </w:r>
      <w:r w:rsidRPr="004F46B1">
        <w:rPr>
          <w:rFonts w:ascii="Times New Roman" w:hAnsi="Times New Roman" w:cs="Times New Roman"/>
          <w:b/>
          <w:bCs/>
        </w:rPr>
        <w:t>Spousal Support Deduction Not Made – Remitted</w:t>
      </w:r>
      <w:bookmarkEnd w:id="0"/>
      <w:r w:rsidRPr="004F46B1">
        <w:rPr>
          <w:rFonts w:ascii="Times New Roman" w:hAnsi="Times New Roman" w:cs="Times New Roman"/>
          <w:b/>
          <w:bCs/>
        </w:rPr>
        <w:t xml:space="preserve">; Divorce &amp; Annulment – Annulment – Void Marriage; </w:t>
      </w:r>
      <w:r w:rsidR="004F46B1" w:rsidRPr="004F46B1">
        <w:rPr>
          <w:rFonts w:ascii="Times New Roman" w:hAnsi="Times New Roman" w:cs="Times New Roman"/>
          <w:b/>
          <w:bCs/>
        </w:rPr>
        <w:t>Equitable Distribution - Double Counting Not Found, Proportions – Business and Property (10%), Real Property (50%); Maintenance – Durational - Affirmed</w:t>
      </w:r>
    </w:p>
    <w:p w14:paraId="6EE6A5A7" w14:textId="77777777" w:rsidR="00472A91" w:rsidRDefault="00472A91" w:rsidP="0080647E">
      <w:pPr>
        <w:pStyle w:val="Heading2"/>
        <w:numPr>
          <w:ilvl w:val="0"/>
          <w:numId w:val="0"/>
        </w:numPr>
        <w:spacing w:line="240" w:lineRule="auto"/>
        <w:contextualSpacing/>
        <w:jc w:val="both"/>
        <w:rPr>
          <w:rFonts w:ascii="Times New Roman" w:hAnsi="Times New Roman" w:cs="Times New Roman"/>
        </w:rPr>
      </w:pPr>
    </w:p>
    <w:p w14:paraId="0E80E92A" w14:textId="4AF2CE54" w:rsidR="00472A91" w:rsidRDefault="004F46B1" w:rsidP="0080647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00472A91" w:rsidRPr="002955D7">
        <w:rPr>
          <w:rFonts w:ascii="Times New Roman" w:hAnsi="Times New Roman" w:cs="Times New Roman"/>
        </w:rPr>
        <w:t xml:space="preserve">In </w:t>
      </w:r>
      <w:r w:rsidR="00472A91" w:rsidRPr="00472A91">
        <w:rPr>
          <w:rFonts w:ascii="Times New Roman" w:hAnsi="Times New Roman" w:cs="Times New Roman"/>
          <w:b/>
          <w:bCs/>
          <w:i/>
          <w:iCs/>
        </w:rPr>
        <w:t>Fleurantin v. Fleurantin</w:t>
      </w:r>
      <w:r w:rsidR="00472A91" w:rsidRPr="002955D7">
        <w:rPr>
          <w:rFonts w:ascii="Times New Roman" w:hAnsi="Times New Roman" w:cs="Times New Roman"/>
        </w:rPr>
        <w:t>, 2025 Westlaw</w:t>
      </w:r>
      <w:r w:rsidR="00472A91">
        <w:rPr>
          <w:rFonts w:ascii="Times New Roman" w:hAnsi="Times New Roman" w:cs="Times New Roman"/>
        </w:rPr>
        <w:t xml:space="preserve"> 3534034 </w:t>
      </w:r>
      <w:r w:rsidR="00472A91" w:rsidRPr="002955D7">
        <w:rPr>
          <w:rFonts w:ascii="Times New Roman" w:hAnsi="Times New Roman" w:cs="Times New Roman"/>
        </w:rPr>
        <w:t>(2d Dept. Dec. 10, 2025)</w:t>
      </w:r>
      <w:r w:rsidR="00472A91">
        <w:rPr>
          <w:rFonts w:ascii="Times New Roman" w:hAnsi="Times New Roman" w:cs="Times New Roman"/>
        </w:rPr>
        <w:t>, t</w:t>
      </w:r>
      <w:r w:rsidR="00472A91" w:rsidRPr="002955D7">
        <w:rPr>
          <w:rFonts w:ascii="Times New Roman" w:hAnsi="Times New Roman" w:cs="Times New Roman"/>
        </w:rPr>
        <w:t>he parties were purportedly married in June 2005 and had two children, born in 2005 and 2012.</w:t>
      </w:r>
      <w:r w:rsidR="00472A91">
        <w:rPr>
          <w:rFonts w:ascii="Times New Roman" w:hAnsi="Times New Roman" w:cs="Times New Roman"/>
        </w:rPr>
        <w:t xml:space="preserve"> T</w:t>
      </w:r>
      <w:r w:rsidR="00472A91" w:rsidRPr="002955D7">
        <w:rPr>
          <w:rFonts w:ascii="Times New Roman" w:hAnsi="Times New Roman" w:cs="Times New Roman"/>
        </w:rPr>
        <w:t xml:space="preserve">he marriage </w:t>
      </w:r>
      <w:r w:rsidR="00472A91" w:rsidRPr="002955D7">
        <w:rPr>
          <w:rFonts w:ascii="Times New Roman" w:hAnsi="Times New Roman" w:cs="Times New Roman"/>
        </w:rPr>
        <w:lastRenderedPageBreak/>
        <w:t xml:space="preserve">was determined to be void </w:t>
      </w:r>
      <w:r w:rsidR="00472A91" w:rsidRPr="002955D7">
        <w:rPr>
          <w:rFonts w:ascii="Times New Roman" w:hAnsi="Times New Roman" w:cs="Times New Roman"/>
          <w:i/>
          <w:iCs/>
        </w:rPr>
        <w:t>ab initio</w:t>
      </w:r>
      <w:r w:rsidR="00472A91">
        <w:rPr>
          <w:rFonts w:ascii="Times New Roman" w:hAnsi="Times New Roman" w:cs="Times New Roman"/>
          <w:i/>
          <w:iCs/>
        </w:rPr>
        <w:t>,</w:t>
      </w:r>
      <w:r w:rsidR="00472A91" w:rsidRPr="002955D7">
        <w:rPr>
          <w:rFonts w:ascii="Times New Roman" w:hAnsi="Times New Roman" w:cs="Times New Roman"/>
        </w:rPr>
        <w:t xml:space="preserve"> because the</w:t>
      </w:r>
      <w:r w:rsidR="00472A91">
        <w:rPr>
          <w:rFonts w:ascii="Times New Roman" w:hAnsi="Times New Roman" w:cs="Times New Roman"/>
        </w:rPr>
        <w:t xml:space="preserve"> husband</w:t>
      </w:r>
      <w:r w:rsidR="00472A91" w:rsidRPr="002955D7">
        <w:rPr>
          <w:rFonts w:ascii="Times New Roman" w:hAnsi="Times New Roman" w:cs="Times New Roman"/>
        </w:rPr>
        <w:t xml:space="preserve"> was still married to his first wife. </w:t>
      </w:r>
      <w:r w:rsidR="00472A91">
        <w:rPr>
          <w:rFonts w:ascii="Times New Roman" w:hAnsi="Times New Roman" w:cs="Times New Roman"/>
        </w:rPr>
        <w:t xml:space="preserve">The husband appealed from </w:t>
      </w:r>
      <w:r w:rsidR="00472A91" w:rsidRPr="002955D7">
        <w:rPr>
          <w:rFonts w:ascii="Times New Roman" w:hAnsi="Times New Roman" w:cs="Times New Roman"/>
        </w:rPr>
        <w:t xml:space="preserve">a September 2023 </w:t>
      </w:r>
      <w:r w:rsidR="00472A91">
        <w:rPr>
          <w:rFonts w:ascii="Times New Roman" w:hAnsi="Times New Roman" w:cs="Times New Roman"/>
        </w:rPr>
        <w:t xml:space="preserve">Supreme Court </w:t>
      </w:r>
      <w:r w:rsidR="00472A91" w:rsidRPr="002955D7">
        <w:rPr>
          <w:rFonts w:ascii="Times New Roman" w:hAnsi="Times New Roman" w:cs="Times New Roman"/>
        </w:rPr>
        <w:t xml:space="preserve">judgment of annulment, </w:t>
      </w:r>
      <w:r w:rsidR="00472A91">
        <w:rPr>
          <w:rFonts w:ascii="Times New Roman" w:hAnsi="Times New Roman" w:cs="Times New Roman"/>
        </w:rPr>
        <w:t xml:space="preserve">rendered </w:t>
      </w:r>
      <w:r w:rsidR="00472A91" w:rsidRPr="002955D7">
        <w:rPr>
          <w:rFonts w:ascii="Times New Roman" w:hAnsi="Times New Roman" w:cs="Times New Roman"/>
        </w:rPr>
        <w:t xml:space="preserve">upon </w:t>
      </w:r>
      <w:r w:rsidR="00472A91">
        <w:rPr>
          <w:rFonts w:ascii="Times New Roman" w:hAnsi="Times New Roman" w:cs="Times New Roman"/>
        </w:rPr>
        <w:t xml:space="preserve">an August 2023 </w:t>
      </w:r>
      <w:r w:rsidR="00472A91" w:rsidRPr="002955D7">
        <w:rPr>
          <w:rFonts w:ascii="Times New Roman" w:hAnsi="Times New Roman" w:cs="Times New Roman"/>
        </w:rPr>
        <w:t>decision after trial</w:t>
      </w:r>
      <w:r w:rsidR="00472A91">
        <w:rPr>
          <w:rFonts w:ascii="Times New Roman" w:hAnsi="Times New Roman" w:cs="Times New Roman"/>
        </w:rPr>
        <w:t xml:space="preserve"> of the wife’s October 2020 action which:</w:t>
      </w:r>
      <w:r w:rsidR="00472A91" w:rsidRPr="002955D7">
        <w:rPr>
          <w:rFonts w:ascii="Times New Roman" w:hAnsi="Times New Roman" w:cs="Times New Roman"/>
        </w:rPr>
        <w:t xml:space="preserve"> (1) awarded the </w:t>
      </w:r>
      <w:r w:rsidR="00472A91">
        <w:rPr>
          <w:rFonts w:ascii="Times New Roman" w:hAnsi="Times New Roman" w:cs="Times New Roman"/>
        </w:rPr>
        <w:t xml:space="preserve">wife </w:t>
      </w:r>
      <w:r w:rsidR="00472A91" w:rsidRPr="002955D7">
        <w:rPr>
          <w:rFonts w:ascii="Times New Roman" w:hAnsi="Times New Roman" w:cs="Times New Roman"/>
        </w:rPr>
        <w:t>10% equitable distribution in certain marital properties and businesses</w:t>
      </w:r>
      <w:r w:rsidR="00472A91">
        <w:rPr>
          <w:rFonts w:ascii="Times New Roman" w:hAnsi="Times New Roman" w:cs="Times New Roman"/>
        </w:rPr>
        <w:t xml:space="preserve"> and  </w:t>
      </w:r>
      <w:r w:rsidR="00472A91" w:rsidRPr="002955D7">
        <w:rPr>
          <w:rFonts w:ascii="Times New Roman" w:hAnsi="Times New Roman" w:cs="Times New Roman"/>
        </w:rPr>
        <w:t>50% of the appraised value of certain real property</w:t>
      </w:r>
      <w:r w:rsidR="00472A91">
        <w:rPr>
          <w:rFonts w:ascii="Times New Roman" w:hAnsi="Times New Roman" w:cs="Times New Roman"/>
        </w:rPr>
        <w:t xml:space="preserve">; </w:t>
      </w:r>
      <w:r w:rsidR="00472A91" w:rsidRPr="002955D7">
        <w:rPr>
          <w:rFonts w:ascii="Times New Roman" w:hAnsi="Times New Roman" w:cs="Times New Roman"/>
        </w:rPr>
        <w:t>(</w:t>
      </w:r>
      <w:r w:rsidR="00472A91">
        <w:rPr>
          <w:rFonts w:ascii="Times New Roman" w:hAnsi="Times New Roman" w:cs="Times New Roman"/>
        </w:rPr>
        <w:t>2</w:t>
      </w:r>
      <w:r w:rsidR="00472A91" w:rsidRPr="002955D7">
        <w:rPr>
          <w:rFonts w:ascii="Times New Roman" w:hAnsi="Times New Roman" w:cs="Times New Roman"/>
        </w:rPr>
        <w:t xml:space="preserve">) </w:t>
      </w:r>
      <w:r w:rsidR="00472A91">
        <w:rPr>
          <w:rFonts w:ascii="Times New Roman" w:hAnsi="Times New Roman" w:cs="Times New Roman"/>
        </w:rPr>
        <w:t xml:space="preserve">imputed annual income to the husband for maintenance and child support purposes of $250,000 and </w:t>
      </w:r>
      <w:r w:rsidR="00472A91" w:rsidRPr="002955D7">
        <w:rPr>
          <w:rFonts w:ascii="Times New Roman" w:hAnsi="Times New Roman" w:cs="Times New Roman"/>
        </w:rPr>
        <w:t xml:space="preserve">awarded the </w:t>
      </w:r>
      <w:r w:rsidR="00472A91">
        <w:rPr>
          <w:rFonts w:ascii="Times New Roman" w:hAnsi="Times New Roman" w:cs="Times New Roman"/>
        </w:rPr>
        <w:t xml:space="preserve">wife </w:t>
      </w:r>
      <w:r w:rsidR="00472A91" w:rsidRPr="002955D7">
        <w:rPr>
          <w:rFonts w:ascii="Times New Roman" w:hAnsi="Times New Roman" w:cs="Times New Roman"/>
        </w:rPr>
        <w:t>maintenance of $2,440.59 per month for 55 months</w:t>
      </w:r>
      <w:r w:rsidR="00472A91">
        <w:rPr>
          <w:rFonts w:ascii="Times New Roman" w:hAnsi="Times New Roman" w:cs="Times New Roman"/>
        </w:rPr>
        <w:t>;</w:t>
      </w:r>
      <w:r w:rsidR="00472A91" w:rsidRPr="002955D7">
        <w:rPr>
          <w:rFonts w:ascii="Times New Roman" w:hAnsi="Times New Roman" w:cs="Times New Roman"/>
        </w:rPr>
        <w:t xml:space="preserve"> and (</w:t>
      </w:r>
      <w:r w:rsidR="00472A91">
        <w:rPr>
          <w:rFonts w:ascii="Times New Roman" w:hAnsi="Times New Roman" w:cs="Times New Roman"/>
        </w:rPr>
        <w:t>3</w:t>
      </w:r>
      <w:r w:rsidR="00472A91" w:rsidRPr="002955D7">
        <w:rPr>
          <w:rFonts w:ascii="Times New Roman" w:hAnsi="Times New Roman" w:cs="Times New Roman"/>
        </w:rPr>
        <w:t xml:space="preserve">) directed </w:t>
      </w:r>
      <w:r w:rsidR="00472A91">
        <w:rPr>
          <w:rFonts w:ascii="Times New Roman" w:hAnsi="Times New Roman" w:cs="Times New Roman"/>
        </w:rPr>
        <w:t xml:space="preserve">him </w:t>
      </w:r>
      <w:r w:rsidR="00472A91" w:rsidRPr="002955D7">
        <w:rPr>
          <w:rFonts w:ascii="Times New Roman" w:hAnsi="Times New Roman" w:cs="Times New Roman"/>
        </w:rPr>
        <w:t>to pay $4,323.41 per month in child support and 74% of certain add-on expenses.</w:t>
      </w:r>
      <w:r w:rsidR="00472A91">
        <w:rPr>
          <w:rFonts w:ascii="Times New Roman" w:hAnsi="Times New Roman" w:cs="Times New Roman"/>
        </w:rPr>
        <w:t xml:space="preserve"> The Second Department </w:t>
      </w:r>
      <w:r w:rsidR="00472A91" w:rsidRPr="002955D7">
        <w:rPr>
          <w:rFonts w:ascii="Times New Roman" w:hAnsi="Times New Roman" w:cs="Times New Roman"/>
        </w:rPr>
        <w:t xml:space="preserve">modified, on the law, by deleting the child support </w:t>
      </w:r>
      <w:r w:rsidR="00472A91">
        <w:rPr>
          <w:rFonts w:ascii="Times New Roman" w:hAnsi="Times New Roman" w:cs="Times New Roman"/>
        </w:rPr>
        <w:t xml:space="preserve">and </w:t>
      </w:r>
      <w:r w:rsidR="00472A91" w:rsidRPr="002955D7">
        <w:rPr>
          <w:rFonts w:ascii="Times New Roman" w:hAnsi="Times New Roman" w:cs="Times New Roman"/>
        </w:rPr>
        <w:t>add-on expense</w:t>
      </w:r>
      <w:r w:rsidR="00472A91">
        <w:rPr>
          <w:rFonts w:ascii="Times New Roman" w:hAnsi="Times New Roman" w:cs="Times New Roman"/>
        </w:rPr>
        <w:t xml:space="preserve"> provisions, otherwise affirmed, and </w:t>
      </w:r>
      <w:r w:rsidR="00472A91" w:rsidRPr="002955D7">
        <w:rPr>
          <w:rFonts w:ascii="Times New Roman" w:hAnsi="Times New Roman" w:cs="Times New Roman"/>
        </w:rPr>
        <w:t>remitted to the Supreme Court</w:t>
      </w:r>
      <w:r w:rsidR="00472A91">
        <w:rPr>
          <w:rFonts w:ascii="Times New Roman" w:hAnsi="Times New Roman" w:cs="Times New Roman"/>
        </w:rPr>
        <w:t xml:space="preserve"> </w:t>
      </w:r>
      <w:r w:rsidR="00472A91" w:rsidRPr="002955D7">
        <w:rPr>
          <w:rFonts w:ascii="Times New Roman" w:hAnsi="Times New Roman" w:cs="Times New Roman"/>
        </w:rPr>
        <w:t xml:space="preserve">for a new determination of the </w:t>
      </w:r>
      <w:r w:rsidR="00472A91">
        <w:rPr>
          <w:rFonts w:ascii="Times New Roman" w:hAnsi="Times New Roman" w:cs="Times New Roman"/>
        </w:rPr>
        <w:t>husband</w:t>
      </w:r>
      <w:r w:rsidR="00472A91" w:rsidRPr="002955D7">
        <w:rPr>
          <w:rFonts w:ascii="Times New Roman" w:hAnsi="Times New Roman" w:cs="Times New Roman"/>
        </w:rPr>
        <w:t>'s child support obligation and the entry of an appropriate amended judgment of annulment thereafter.</w:t>
      </w:r>
      <w:r w:rsidR="00472A91">
        <w:rPr>
          <w:rFonts w:ascii="Times New Roman" w:hAnsi="Times New Roman" w:cs="Times New Roman"/>
        </w:rPr>
        <w:t xml:space="preserve"> In affirming, the Second Department determined: (1) “</w:t>
      </w:r>
      <w:r w:rsidR="00472A91" w:rsidRPr="002955D7">
        <w:rPr>
          <w:rFonts w:ascii="Times New Roman" w:hAnsi="Times New Roman" w:cs="Times New Roman"/>
        </w:rPr>
        <w:t>the record demonstrates that the Supreme Court considered and applied a number of the relevant statutory factors set forth in Domestic Relations Law §236(B)(5)(d) in making its equitable distribution determination (</w:t>
      </w:r>
      <w:r w:rsidR="00472A91">
        <w:rPr>
          <w:rFonts w:ascii="Times New Roman" w:hAnsi="Times New Roman" w:cs="Times New Roman"/>
        </w:rPr>
        <w:t>citations omitted)” and “</w:t>
      </w:r>
      <w:r w:rsidR="00472A91" w:rsidRPr="002955D7">
        <w:rPr>
          <w:rFonts w:ascii="Times New Roman" w:hAnsi="Times New Roman" w:cs="Times New Roman"/>
        </w:rPr>
        <w:t xml:space="preserve">providently exercised its discretion in awarding the </w:t>
      </w:r>
      <w:r w:rsidR="00472A91">
        <w:rPr>
          <w:rFonts w:ascii="Times New Roman" w:hAnsi="Times New Roman" w:cs="Times New Roman"/>
        </w:rPr>
        <w:t xml:space="preserve">[wife] </w:t>
      </w:r>
      <w:r w:rsidR="00472A91" w:rsidRPr="002955D7">
        <w:rPr>
          <w:rFonts w:ascii="Times New Roman" w:hAnsi="Times New Roman" w:cs="Times New Roman"/>
        </w:rPr>
        <w:t xml:space="preserve">50% of the value of the property located in New York and 10% of the two businesses and the properties located in Florida and Pennsylvania, as they were purchased or started during the purported marriage and because of the </w:t>
      </w:r>
      <w:r w:rsidR="00472A91">
        <w:rPr>
          <w:rFonts w:ascii="Times New Roman" w:hAnsi="Times New Roman" w:cs="Times New Roman"/>
        </w:rPr>
        <w:t>[wife’s]</w:t>
      </w:r>
      <w:r w:rsidR="00472A91" w:rsidRPr="002955D7">
        <w:rPr>
          <w:rFonts w:ascii="Times New Roman" w:hAnsi="Times New Roman" w:cs="Times New Roman"/>
        </w:rPr>
        <w:t xml:space="preserve"> contributions as a stay-at-home mother</w:t>
      </w:r>
      <w:r w:rsidR="00472A91">
        <w:rPr>
          <w:rFonts w:ascii="Times New Roman" w:hAnsi="Times New Roman" w:cs="Times New Roman"/>
        </w:rPr>
        <w:t>”’ and Supreme Court “</w:t>
      </w:r>
      <w:r w:rsidR="00472A91" w:rsidRPr="002955D7">
        <w:rPr>
          <w:rFonts w:ascii="Times New Roman" w:hAnsi="Times New Roman" w:cs="Times New Roman"/>
        </w:rPr>
        <w:t xml:space="preserve">did not engage in impermissible double counting by distributing a share of the </w:t>
      </w:r>
      <w:r w:rsidR="00472A91">
        <w:rPr>
          <w:rFonts w:ascii="Times New Roman" w:hAnsi="Times New Roman" w:cs="Times New Roman"/>
        </w:rPr>
        <w:t>[the husband</w:t>
      </w:r>
      <w:r w:rsidR="00472A91" w:rsidRPr="002955D7">
        <w:rPr>
          <w:rFonts w:ascii="Times New Roman" w:hAnsi="Times New Roman" w:cs="Times New Roman"/>
        </w:rPr>
        <w:t>'s</w:t>
      </w:r>
      <w:r w:rsidR="00472A91">
        <w:rPr>
          <w:rFonts w:ascii="Times New Roman" w:hAnsi="Times New Roman" w:cs="Times New Roman"/>
        </w:rPr>
        <w:t>]</w:t>
      </w:r>
      <w:r w:rsidR="00472A91" w:rsidRPr="002955D7">
        <w:rPr>
          <w:rFonts w:ascii="Times New Roman" w:hAnsi="Times New Roman" w:cs="Times New Roman"/>
        </w:rPr>
        <w:t xml:space="preserve"> businesses to the </w:t>
      </w:r>
      <w:r w:rsidR="00472A91">
        <w:rPr>
          <w:rFonts w:ascii="Times New Roman" w:hAnsi="Times New Roman" w:cs="Times New Roman"/>
        </w:rPr>
        <w:t>[wife]</w:t>
      </w:r>
      <w:r w:rsidR="00472A91" w:rsidRPr="002955D7">
        <w:rPr>
          <w:rFonts w:ascii="Times New Roman" w:hAnsi="Times New Roman" w:cs="Times New Roman"/>
        </w:rPr>
        <w:t xml:space="preserve"> in addition to maintenance, as the </w:t>
      </w:r>
      <w:r w:rsidR="00472A91">
        <w:rPr>
          <w:rFonts w:ascii="Times New Roman" w:hAnsi="Times New Roman" w:cs="Times New Roman"/>
        </w:rPr>
        <w:t>[husband’s]</w:t>
      </w:r>
      <w:r w:rsidR="00472A91" w:rsidRPr="002955D7">
        <w:rPr>
          <w:rFonts w:ascii="Times New Roman" w:hAnsi="Times New Roman" w:cs="Times New Roman"/>
        </w:rPr>
        <w:t xml:space="preserve"> businesses were tangible, income-producing assets</w:t>
      </w:r>
      <w:r w:rsidR="00472A91">
        <w:rPr>
          <w:rFonts w:ascii="Times New Roman" w:hAnsi="Times New Roman" w:cs="Times New Roman"/>
        </w:rPr>
        <w:t xml:space="preserve"> (citations omitted). (2)</w:t>
      </w:r>
      <w:r w:rsidR="00472A91" w:rsidRPr="002955D7">
        <w:rPr>
          <w:rFonts w:ascii="Times New Roman" w:hAnsi="Times New Roman" w:cs="Times New Roman"/>
        </w:rPr>
        <w:t xml:space="preserve"> </w:t>
      </w:r>
      <w:r w:rsidR="00472A91">
        <w:rPr>
          <w:rFonts w:ascii="Times New Roman" w:hAnsi="Times New Roman" w:cs="Times New Roman"/>
        </w:rPr>
        <w:t>“</w:t>
      </w:r>
      <w:r w:rsidR="00472A91" w:rsidRPr="002955D7">
        <w:rPr>
          <w:rFonts w:ascii="Times New Roman" w:hAnsi="Times New Roman" w:cs="Times New Roman"/>
        </w:rPr>
        <w:t xml:space="preserve">Supreme Court's determination to impute an annual income to the </w:t>
      </w:r>
      <w:r w:rsidR="00472A91">
        <w:rPr>
          <w:rFonts w:ascii="Times New Roman" w:hAnsi="Times New Roman" w:cs="Times New Roman"/>
        </w:rPr>
        <w:t>[husband]</w:t>
      </w:r>
      <w:r w:rsidR="00472A91" w:rsidRPr="002955D7">
        <w:rPr>
          <w:rFonts w:ascii="Times New Roman" w:hAnsi="Times New Roman" w:cs="Times New Roman"/>
        </w:rPr>
        <w:t xml:space="preserve"> </w:t>
      </w:r>
      <w:r w:rsidR="00472A91">
        <w:rPr>
          <w:rFonts w:ascii="Times New Roman" w:hAnsi="Times New Roman" w:cs="Times New Roman"/>
        </w:rPr>
        <w:t>*** o</w:t>
      </w:r>
      <w:r w:rsidR="00472A91" w:rsidRPr="002955D7">
        <w:rPr>
          <w:rFonts w:ascii="Times New Roman" w:hAnsi="Times New Roman" w:cs="Times New Roman"/>
        </w:rPr>
        <w:t xml:space="preserve">f $250,000 for the purposes of calculating child support and maintenance was supported by the record </w:t>
      </w:r>
      <w:r w:rsidR="00472A91">
        <w:rPr>
          <w:rFonts w:ascii="Times New Roman" w:hAnsi="Times New Roman" w:cs="Times New Roman"/>
        </w:rPr>
        <w:t>(citations omitted) ***.” “</w:t>
      </w:r>
      <w:r w:rsidR="00472A91" w:rsidRPr="002955D7">
        <w:rPr>
          <w:rFonts w:ascii="Times New Roman" w:hAnsi="Times New Roman" w:cs="Times New Roman"/>
        </w:rPr>
        <w:t xml:space="preserve">Here, considering the relevant factors, as reflected in the record, including the lifestyle the </w:t>
      </w:r>
      <w:r w:rsidR="00472A91">
        <w:rPr>
          <w:rFonts w:ascii="Times New Roman" w:hAnsi="Times New Roman" w:cs="Times New Roman"/>
        </w:rPr>
        <w:t>[wife]</w:t>
      </w:r>
      <w:r w:rsidR="00472A91" w:rsidRPr="002955D7">
        <w:rPr>
          <w:rFonts w:ascii="Times New Roman" w:hAnsi="Times New Roman" w:cs="Times New Roman"/>
        </w:rPr>
        <w:t xml:space="preserve"> was used to during the purported marriage, the actual length of the purported marriage, the </w:t>
      </w:r>
      <w:r w:rsidR="00472A91">
        <w:rPr>
          <w:rFonts w:ascii="Times New Roman" w:hAnsi="Times New Roman" w:cs="Times New Roman"/>
        </w:rPr>
        <w:t>[wife</w:t>
      </w:r>
      <w:r w:rsidR="00472A91" w:rsidRPr="002955D7">
        <w:rPr>
          <w:rFonts w:ascii="Times New Roman" w:hAnsi="Times New Roman" w:cs="Times New Roman"/>
        </w:rPr>
        <w:t>'s</w:t>
      </w:r>
      <w:r w:rsidR="00472A91">
        <w:rPr>
          <w:rFonts w:ascii="Times New Roman" w:hAnsi="Times New Roman" w:cs="Times New Roman"/>
        </w:rPr>
        <w:t>]</w:t>
      </w:r>
      <w:r w:rsidR="00472A91" w:rsidRPr="002955D7">
        <w:rPr>
          <w:rFonts w:ascii="Times New Roman" w:hAnsi="Times New Roman" w:cs="Times New Roman"/>
        </w:rPr>
        <w:t xml:space="preserve"> status as a stay-at-home mother during the relationship, and </w:t>
      </w:r>
      <w:r w:rsidR="00472A91">
        <w:rPr>
          <w:rFonts w:ascii="Times New Roman" w:hAnsi="Times New Roman" w:cs="Times New Roman"/>
        </w:rPr>
        <w:t>[her]</w:t>
      </w:r>
      <w:r w:rsidR="00472A91" w:rsidRPr="002955D7">
        <w:rPr>
          <w:rFonts w:ascii="Times New Roman" w:hAnsi="Times New Roman" w:cs="Times New Roman"/>
        </w:rPr>
        <w:t xml:space="preserve"> current income of $49,000 per year, the court providently exercised its discretion in awarding </w:t>
      </w:r>
      <w:r w:rsidR="00472A91">
        <w:rPr>
          <w:rFonts w:ascii="Times New Roman" w:hAnsi="Times New Roman" w:cs="Times New Roman"/>
        </w:rPr>
        <w:t>[her]</w:t>
      </w:r>
      <w:r w:rsidR="00472A91" w:rsidRPr="002955D7">
        <w:rPr>
          <w:rFonts w:ascii="Times New Roman" w:hAnsi="Times New Roman" w:cs="Times New Roman"/>
        </w:rPr>
        <w:t xml:space="preserve"> maintenance </w:t>
      </w:r>
      <w:r w:rsidR="00472A91">
        <w:rPr>
          <w:rFonts w:ascii="Times New Roman" w:hAnsi="Times New Roman" w:cs="Times New Roman"/>
        </w:rPr>
        <w:t xml:space="preserve">*** </w:t>
      </w:r>
      <w:r w:rsidR="00472A91" w:rsidRPr="002955D7">
        <w:rPr>
          <w:rFonts w:ascii="Times New Roman" w:hAnsi="Times New Roman" w:cs="Times New Roman"/>
        </w:rPr>
        <w:t>of $2,440.59 per month for 55 months</w:t>
      </w:r>
      <w:r w:rsidR="00472A91">
        <w:rPr>
          <w:rFonts w:ascii="Times New Roman" w:hAnsi="Times New Roman" w:cs="Times New Roman"/>
        </w:rPr>
        <w:t>.</w:t>
      </w:r>
      <w:r w:rsidR="00375621">
        <w:rPr>
          <w:rFonts w:ascii="Times New Roman" w:hAnsi="Times New Roman" w:cs="Times New Roman"/>
        </w:rPr>
        <w:t>”</w:t>
      </w:r>
      <w:r w:rsidR="00472A91">
        <w:rPr>
          <w:rFonts w:ascii="Times New Roman" w:hAnsi="Times New Roman" w:cs="Times New Roman"/>
        </w:rPr>
        <w:t xml:space="preserve"> (3) Supreme Court “</w:t>
      </w:r>
      <w:r w:rsidR="00472A91" w:rsidRPr="002955D7">
        <w:rPr>
          <w:rFonts w:ascii="Times New Roman" w:hAnsi="Times New Roman" w:cs="Times New Roman"/>
        </w:rPr>
        <w:t>erred in determining the combined annual income of the parties for child support purposes (</w:t>
      </w:r>
      <w:r w:rsidR="00472A91">
        <w:rPr>
          <w:rFonts w:ascii="Times New Roman" w:hAnsi="Times New Roman" w:cs="Times New Roman"/>
        </w:rPr>
        <w:t xml:space="preserve">citations omitted) [given] </w:t>
      </w:r>
      <w:r w:rsidR="00472A91" w:rsidRPr="002955D7">
        <w:rPr>
          <w:rFonts w:ascii="Times New Roman" w:hAnsi="Times New Roman" w:cs="Times New Roman"/>
        </w:rPr>
        <w:t xml:space="preserve">that certain statutory deductions were not applied to </w:t>
      </w:r>
      <w:r w:rsidR="00472A91">
        <w:rPr>
          <w:rFonts w:ascii="Times New Roman" w:hAnsi="Times New Roman" w:cs="Times New Roman"/>
        </w:rPr>
        <w:t xml:space="preserve">[the husband’s] </w:t>
      </w:r>
      <w:r w:rsidR="00472A91" w:rsidRPr="002955D7">
        <w:rPr>
          <w:rFonts w:ascii="Times New Roman" w:hAnsi="Times New Roman" w:cs="Times New Roman"/>
        </w:rPr>
        <w:t>imputed income, including for spousal maintenance that he paid (</w:t>
      </w:r>
      <w:r w:rsidR="00472A91">
        <w:rPr>
          <w:rFonts w:ascii="Times New Roman" w:hAnsi="Times New Roman" w:cs="Times New Roman"/>
        </w:rPr>
        <w:t>citation omitted)” such that “</w:t>
      </w:r>
      <w:r w:rsidR="00472A91" w:rsidRPr="002955D7">
        <w:rPr>
          <w:rFonts w:ascii="Times New Roman" w:hAnsi="Times New Roman" w:cs="Times New Roman"/>
        </w:rPr>
        <w:t xml:space="preserve">the matter must be remitted for a new determination of the combined annual income of the parties and the </w:t>
      </w:r>
      <w:r w:rsidR="00472A91">
        <w:rPr>
          <w:rFonts w:ascii="Times New Roman" w:hAnsi="Times New Roman" w:cs="Times New Roman"/>
        </w:rPr>
        <w:t>[husband</w:t>
      </w:r>
      <w:r w:rsidR="00472A91" w:rsidRPr="002955D7">
        <w:rPr>
          <w:rFonts w:ascii="Times New Roman" w:hAnsi="Times New Roman" w:cs="Times New Roman"/>
        </w:rPr>
        <w:t>'s</w:t>
      </w:r>
      <w:r w:rsidR="00472A91">
        <w:rPr>
          <w:rFonts w:ascii="Times New Roman" w:hAnsi="Times New Roman" w:cs="Times New Roman"/>
        </w:rPr>
        <w:t>]</w:t>
      </w:r>
      <w:r w:rsidR="00472A91" w:rsidRPr="002955D7">
        <w:rPr>
          <w:rFonts w:ascii="Times New Roman" w:hAnsi="Times New Roman" w:cs="Times New Roman"/>
        </w:rPr>
        <w:t xml:space="preserve"> child support obligation.</w:t>
      </w:r>
      <w:r w:rsidR="00472A91">
        <w:rPr>
          <w:rFonts w:ascii="Times New Roman" w:hAnsi="Times New Roman" w:cs="Times New Roman"/>
        </w:rPr>
        <w:t xml:space="preserve"> (citations omitted).”</w:t>
      </w:r>
    </w:p>
    <w:p w14:paraId="5DF3E937" w14:textId="77777777" w:rsidR="004F46B1" w:rsidRDefault="004F46B1" w:rsidP="0080647E">
      <w:pPr>
        <w:pStyle w:val="Heading2"/>
        <w:numPr>
          <w:ilvl w:val="0"/>
          <w:numId w:val="0"/>
        </w:numPr>
        <w:spacing w:line="240" w:lineRule="auto"/>
        <w:contextualSpacing/>
        <w:jc w:val="both"/>
        <w:rPr>
          <w:rFonts w:ascii="Times New Roman" w:hAnsi="Times New Roman" w:cs="Times New Roman"/>
        </w:rPr>
      </w:pPr>
    </w:p>
    <w:p w14:paraId="08903EAC" w14:textId="77777777" w:rsidR="004F46B1" w:rsidRPr="004F46B1" w:rsidRDefault="004F46B1" w:rsidP="004F46B1">
      <w:pPr>
        <w:pStyle w:val="Heading2"/>
        <w:numPr>
          <w:ilvl w:val="0"/>
          <w:numId w:val="0"/>
        </w:numPr>
        <w:jc w:val="both"/>
        <w:rPr>
          <w:rFonts w:ascii="Times New Roman" w:hAnsi="Times New Roman" w:cs="Times New Roman"/>
          <w:b/>
          <w:bCs/>
        </w:rPr>
      </w:pPr>
      <w:r w:rsidRPr="004F46B1">
        <w:rPr>
          <w:rFonts w:ascii="Times New Roman" w:hAnsi="Times New Roman" w:cs="Times New Roman"/>
          <w:b/>
          <w:bCs/>
        </w:rPr>
        <w:t>Child Support – Modification - Modification – Retroactive to Public Assistance Eligibility</w:t>
      </w:r>
    </w:p>
    <w:p w14:paraId="4555CCF7" w14:textId="20C0FE50" w:rsidR="004F46B1" w:rsidRDefault="004F46B1" w:rsidP="004F46B1">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4F46B1">
        <w:rPr>
          <w:rFonts w:ascii="Times New Roman" w:hAnsi="Times New Roman" w:cs="Times New Roman"/>
          <w:b/>
          <w:bCs/>
          <w:i/>
          <w:iCs/>
        </w:rPr>
        <w:t>Matter of Tompkins Co. DSS v. Sawyer</w:t>
      </w:r>
      <w:r>
        <w:rPr>
          <w:rFonts w:ascii="Times New Roman" w:hAnsi="Times New Roman" w:cs="Times New Roman"/>
        </w:rPr>
        <w:t xml:space="preserve">, 2025 Westlaw 3671916 (3d Dept. Dec. 18, 2025), DSS appealed from a May 2024 Family Court order denying its objections to a Support Magistrate Order, which in a proceeding seeking modification to include a second child, made the order retroactive only to the date of the filing of the petition, rather than to the earlier date the second child was eligible for public assistance (date of birth). The Third Department reversed, on the law, and remitted to Family Court, holding that Family Court Act 449(2)’s mandate, that an order of support for children who are in receipt of public assistance be effective as of the date of eligibility therefor, applies to this modification proceeding, because “the modification order was akin to an initial order with respect to this child,” distinguishing </w:t>
      </w:r>
      <w:r w:rsidRPr="00B34EC5">
        <w:rPr>
          <w:rFonts w:ascii="Times New Roman" w:hAnsi="Times New Roman" w:cs="Times New Roman"/>
          <w:u w:val="single"/>
        </w:rPr>
        <w:t>Matter of Broome Co. DSS v. Short</w:t>
      </w:r>
      <w:r>
        <w:rPr>
          <w:rFonts w:ascii="Times New Roman" w:hAnsi="Times New Roman" w:cs="Times New Roman"/>
        </w:rPr>
        <w:t>, 234 AD2d 772, 773 (3d Dept. 1996).</w:t>
      </w:r>
    </w:p>
    <w:p w14:paraId="52CA1B34" w14:textId="77777777" w:rsidR="0085574B" w:rsidRDefault="0085574B" w:rsidP="004F46B1">
      <w:pPr>
        <w:pStyle w:val="Heading2"/>
        <w:numPr>
          <w:ilvl w:val="0"/>
          <w:numId w:val="0"/>
        </w:numPr>
        <w:spacing w:line="240" w:lineRule="auto"/>
        <w:contextualSpacing/>
        <w:jc w:val="both"/>
        <w:rPr>
          <w:rFonts w:ascii="Times New Roman" w:hAnsi="Times New Roman" w:cs="Times New Roman"/>
        </w:rPr>
      </w:pPr>
    </w:p>
    <w:p w14:paraId="3807F866" w14:textId="26412F7A" w:rsidR="003270F6" w:rsidRPr="003270F6" w:rsidRDefault="003270F6" w:rsidP="003270F6">
      <w:pPr>
        <w:pStyle w:val="Heading2"/>
        <w:numPr>
          <w:ilvl w:val="0"/>
          <w:numId w:val="0"/>
        </w:numPr>
        <w:spacing w:line="240" w:lineRule="auto"/>
        <w:contextualSpacing/>
        <w:jc w:val="both"/>
        <w:rPr>
          <w:rFonts w:ascii="Times New Roman" w:hAnsi="Times New Roman" w:cs="Times New Roman"/>
          <w:b/>
          <w:bCs/>
        </w:rPr>
      </w:pPr>
      <w:r w:rsidRPr="003270F6">
        <w:rPr>
          <w:rFonts w:ascii="Times New Roman" w:hAnsi="Times New Roman" w:cs="Times New Roman"/>
          <w:b/>
          <w:bCs/>
        </w:rPr>
        <w:lastRenderedPageBreak/>
        <w:t>Child Support - No Retroactivity; Equitable Distribution - Proportions – Debt Owed by Party’s Parent (50%)</w:t>
      </w:r>
      <w:r>
        <w:rPr>
          <w:rFonts w:ascii="Times New Roman" w:hAnsi="Times New Roman" w:cs="Times New Roman"/>
          <w:b/>
          <w:bCs/>
        </w:rPr>
        <w:t xml:space="preserve">, </w:t>
      </w:r>
      <w:r w:rsidRPr="003270F6">
        <w:rPr>
          <w:rFonts w:ascii="Times New Roman" w:hAnsi="Times New Roman" w:cs="Times New Roman"/>
          <w:b/>
          <w:bCs/>
        </w:rPr>
        <w:t>Separate Property – Post Commencement Business Interest</w:t>
      </w:r>
      <w:r>
        <w:rPr>
          <w:rFonts w:ascii="Times New Roman" w:hAnsi="Times New Roman" w:cs="Times New Roman"/>
          <w:b/>
          <w:bCs/>
        </w:rPr>
        <w:t>,</w:t>
      </w:r>
      <w:r w:rsidRPr="003270F6">
        <w:rPr>
          <w:rFonts w:ascii="Times New Roman" w:hAnsi="Times New Roman" w:cs="Times New Roman"/>
          <w:b/>
          <w:bCs/>
        </w:rPr>
        <w:t xml:space="preserve"> Valuation Date – Deposit Accounts – Trial</w:t>
      </w:r>
      <w:r>
        <w:rPr>
          <w:rFonts w:ascii="Times New Roman" w:hAnsi="Times New Roman" w:cs="Times New Roman"/>
          <w:b/>
          <w:bCs/>
        </w:rPr>
        <w:t>,</w:t>
      </w:r>
      <w:r w:rsidRPr="003270F6">
        <w:rPr>
          <w:rFonts w:ascii="Times New Roman" w:hAnsi="Times New Roman" w:cs="Times New Roman"/>
          <w:b/>
          <w:bCs/>
        </w:rPr>
        <w:t xml:space="preserve"> Wasteful Dissipation – Not Found</w:t>
      </w:r>
      <w:r>
        <w:rPr>
          <w:rFonts w:ascii="Times New Roman" w:hAnsi="Times New Roman" w:cs="Times New Roman"/>
          <w:b/>
          <w:bCs/>
        </w:rPr>
        <w:t xml:space="preserve">; Maintenance </w:t>
      </w:r>
      <w:r w:rsidRPr="003270F6">
        <w:rPr>
          <w:rFonts w:ascii="Times New Roman" w:hAnsi="Times New Roman" w:cs="Times New Roman"/>
          <w:b/>
          <w:bCs/>
        </w:rPr>
        <w:t>- Durational – Imputed Income, No Retroactivity, Up to Income Cap – Upheld</w:t>
      </w:r>
    </w:p>
    <w:p w14:paraId="52A79BB0" w14:textId="77777777" w:rsidR="003270F6" w:rsidRDefault="003270F6" w:rsidP="003270F6">
      <w:pPr>
        <w:pStyle w:val="Heading2"/>
        <w:numPr>
          <w:ilvl w:val="0"/>
          <w:numId w:val="0"/>
        </w:numPr>
        <w:spacing w:line="240" w:lineRule="auto"/>
        <w:contextualSpacing/>
        <w:jc w:val="both"/>
        <w:rPr>
          <w:rFonts w:ascii="Times New Roman" w:hAnsi="Times New Roman" w:cs="Times New Roman"/>
        </w:rPr>
      </w:pPr>
    </w:p>
    <w:p w14:paraId="67F5B06D" w14:textId="447B8B9B" w:rsidR="003270F6" w:rsidRDefault="003270F6" w:rsidP="003270F6">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3270F6">
        <w:rPr>
          <w:rFonts w:ascii="Times New Roman" w:hAnsi="Times New Roman" w:cs="Times New Roman"/>
          <w:b/>
          <w:bCs/>
          <w:i/>
          <w:iCs/>
        </w:rPr>
        <w:t>Fishman v. Fishman</w:t>
      </w:r>
      <w:r>
        <w:rPr>
          <w:rFonts w:ascii="Times New Roman" w:hAnsi="Times New Roman" w:cs="Times New Roman"/>
        </w:rPr>
        <w:t>, 2025 Westlaw 3545524 (1</w:t>
      </w:r>
      <w:r w:rsidRPr="00C21832">
        <w:rPr>
          <w:rFonts w:ascii="Times New Roman" w:hAnsi="Times New Roman" w:cs="Times New Roman"/>
          <w:vertAlign w:val="superscript"/>
        </w:rPr>
        <w:t>st</w:t>
      </w:r>
      <w:r>
        <w:rPr>
          <w:rFonts w:ascii="Times New Roman" w:hAnsi="Times New Roman" w:cs="Times New Roman"/>
        </w:rPr>
        <w:t xml:space="preserve"> Dept. Dec. 11, 2025), the wife appealed from a February 2025 Supreme Court Order, which confirmed in part </w:t>
      </w:r>
      <w:r w:rsidRPr="009E4F7F">
        <w:rPr>
          <w:rFonts w:ascii="Times New Roman" w:hAnsi="Times New Roman" w:cs="Times New Roman"/>
        </w:rPr>
        <w:t>and modified in part a Special Referee's report following trial of the husband’s 2019 divorce action. The First Department affirmed, stating: (1) “Supreme Court correctly determined that defendant wife failed to sustain her burden of proving that plaintiff husband engaged in wasteful dissipation of marital assets by resigning from his employment and later accepting a position with *** a merchant bank financial company (citation omitted),” noting that “investment in a business interest, even if unsuccessful, is not evidence of marital waste unless there is evidence that the investing party acted recklessly or in bad faith, and the record presents no such evidence (citation omitted). Moreover, the use of marital funds to pay legitimate expenses, including the parties' respective litigation fees, does not usually constitute a waste or dissipation of marital assets (citations omitted).” The Appellate Division concluded “there was no evidence that his leaving his employment was the result of any improper motive or made in connection with the divorce action (citation omitted).” (2) “We reject the wife's contention that the court improvidently exercised its discretion in setting the valuation date of the parties' investment and bank accounts as of the date of trial (citation omitted). Although bank accounts are typically valued as of the date of commencement when the accounts are used by the parties during the pendency of the proceeding, the court in this case did not abuse its broad discretion in departing from that general guideline (citation omitted). The parties made no effort to separate their finances after commencement of this matrimonial action and continued to use their joint account for their daily living expenses, including their respective attorneys' fees and advances on equitable distribution (citation omitted).” (3) “Supreme Court correctly determined that all of the husband's post-commencement interest in the [new employer] investments constituted his separate property,” observing that: he “made the first of these investments in November 2020, nearly two years after this matrimonial case was commenced” and</w:t>
      </w:r>
      <w:r>
        <w:rPr>
          <w:rFonts w:ascii="Times New Roman" w:hAnsi="Times New Roman" w:cs="Times New Roman"/>
        </w:rPr>
        <w:t xml:space="preserve"> at the same time, “</w:t>
      </w:r>
      <w:r w:rsidRPr="009E4F7F">
        <w:rPr>
          <w:rFonts w:ascii="Times New Roman" w:hAnsi="Times New Roman" w:cs="Times New Roman"/>
        </w:rPr>
        <w:t>the husband's father borrowed funds from his credit line to loan the husband $400,000 to make the initial *** investment ***. The wife continues to take the position that $275,000 of those funds should be treated as repayment of a debt owed by the husband's father to the parties, and that she is thus entitled to distribution of a portion of the value of the investment. However, the record supports the determination that the parties' loan to the husband's father was interest-free and without a deadline for repayment</w:t>
      </w:r>
      <w:r>
        <w:rPr>
          <w:rFonts w:ascii="Times New Roman" w:hAnsi="Times New Roman" w:cs="Times New Roman"/>
        </w:rPr>
        <w:t>,” which loan was distributed equally between the parties.</w:t>
      </w:r>
      <w:r w:rsidRPr="009E4F7F">
        <w:rPr>
          <w:rFonts w:ascii="Times New Roman" w:hAnsi="Times New Roman" w:cs="Times New Roman"/>
        </w:rPr>
        <w:t xml:space="preserve"> (4) Supreme Court “providently exercised its discretion in imputing $500,000 per year income to the husband, and there is no reason to disturb the Referee's credibility determinations and factual findings ***.” The Appellate Division declined “to award the wife spousal maintenance above the statutory cap,” noting: “the parties were in their early 40s and in good health”; [t]he wife was gainfully employed at a lobbying firm with an upward career trajectory, despite having been a homemaker for several years”; “the Referee also failed to consider the parties' substantial investment income from brokerage accounts, which still held several million dollars at the time of trial and will be distributed equally between the parties”; and “the three-year award of post-divorce maintenance is reasonable and appropriate.” (5) Supreme Court “properly awarded only prospective maintenance and child support,” based upon: the parties’ agreement “that the husband would continue to deposit his salary into a joint checking account out of which </w:t>
      </w:r>
      <w:r w:rsidRPr="009E4F7F">
        <w:rPr>
          <w:rFonts w:ascii="Times New Roman" w:hAnsi="Times New Roman" w:cs="Times New Roman"/>
        </w:rPr>
        <w:lastRenderedPageBreak/>
        <w:t>they would pay the family's expenses”; “a series of stipulations to liquidate certain assets and deposit the proceeds into a joint account to continue to cover their respective living expenses, the children's expenses, and attorneys’ fees”; and the fact that “the wife never moved for interim relief.”</w:t>
      </w:r>
    </w:p>
    <w:p w14:paraId="7E6341C6" w14:textId="77777777" w:rsidR="007B13CE" w:rsidRDefault="007B13CE" w:rsidP="003270F6">
      <w:pPr>
        <w:pStyle w:val="Heading2"/>
        <w:numPr>
          <w:ilvl w:val="0"/>
          <w:numId w:val="0"/>
        </w:numPr>
        <w:spacing w:line="240" w:lineRule="auto"/>
        <w:contextualSpacing/>
        <w:jc w:val="both"/>
        <w:rPr>
          <w:rFonts w:ascii="Times New Roman" w:hAnsi="Times New Roman" w:cs="Times New Roman"/>
        </w:rPr>
      </w:pPr>
    </w:p>
    <w:p w14:paraId="4EF60E89" w14:textId="77777777" w:rsidR="007B13CE" w:rsidRPr="007B13CE" w:rsidRDefault="007B13CE" w:rsidP="007B13CE">
      <w:pPr>
        <w:pStyle w:val="Heading2"/>
        <w:numPr>
          <w:ilvl w:val="0"/>
          <w:numId w:val="0"/>
        </w:numPr>
        <w:jc w:val="both"/>
        <w:rPr>
          <w:rFonts w:ascii="Times New Roman" w:hAnsi="Times New Roman" w:cs="Times New Roman"/>
          <w:b/>
          <w:bCs/>
        </w:rPr>
      </w:pPr>
      <w:r w:rsidRPr="007B13CE">
        <w:rPr>
          <w:rFonts w:ascii="Times New Roman" w:hAnsi="Times New Roman" w:cs="Times New Roman"/>
          <w:b/>
          <w:bCs/>
        </w:rPr>
        <w:t>Counsel Fees - Denied – No Compliance with 22 NYCRR 202.16(k)(2), No SNW</w:t>
      </w:r>
    </w:p>
    <w:p w14:paraId="51DD0579" w14:textId="4E7B6C03" w:rsidR="007B13CE" w:rsidRDefault="007B13CE" w:rsidP="007B13C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proofErr w:type="spellStart"/>
      <w:r w:rsidRPr="007B13CE">
        <w:rPr>
          <w:rFonts w:ascii="Times New Roman" w:hAnsi="Times New Roman" w:cs="Times New Roman"/>
          <w:b/>
          <w:bCs/>
          <w:i/>
          <w:iCs/>
        </w:rPr>
        <w:t>Milchin</w:t>
      </w:r>
      <w:proofErr w:type="spellEnd"/>
      <w:r w:rsidRPr="007B13CE">
        <w:rPr>
          <w:rFonts w:ascii="Times New Roman" w:hAnsi="Times New Roman" w:cs="Times New Roman"/>
          <w:b/>
          <w:bCs/>
          <w:i/>
          <w:iCs/>
        </w:rPr>
        <w:t xml:space="preserve"> v. </w:t>
      </w:r>
      <w:proofErr w:type="spellStart"/>
      <w:r w:rsidRPr="007B13CE">
        <w:rPr>
          <w:rFonts w:ascii="Times New Roman" w:hAnsi="Times New Roman" w:cs="Times New Roman"/>
          <w:b/>
          <w:bCs/>
          <w:i/>
          <w:iCs/>
        </w:rPr>
        <w:t>Milchin</w:t>
      </w:r>
      <w:proofErr w:type="spellEnd"/>
      <w:r>
        <w:rPr>
          <w:rFonts w:ascii="Times New Roman" w:hAnsi="Times New Roman" w:cs="Times New Roman"/>
        </w:rPr>
        <w:t xml:space="preserve">, </w:t>
      </w:r>
      <w:r w:rsidR="00E44F39">
        <w:rPr>
          <w:rFonts w:ascii="Times New Roman" w:hAnsi="Times New Roman" w:cs="Times New Roman"/>
        </w:rPr>
        <w:t xml:space="preserve">243 NYS3d 403 </w:t>
      </w:r>
      <w:r>
        <w:rPr>
          <w:rFonts w:ascii="Times New Roman" w:hAnsi="Times New Roman" w:cs="Times New Roman"/>
        </w:rPr>
        <w:t>(1</w:t>
      </w:r>
      <w:r w:rsidRPr="00AF3BFA">
        <w:rPr>
          <w:rFonts w:ascii="Times New Roman" w:hAnsi="Times New Roman" w:cs="Times New Roman"/>
          <w:vertAlign w:val="superscript"/>
        </w:rPr>
        <w:t>st</w:t>
      </w:r>
      <w:r>
        <w:rPr>
          <w:rFonts w:ascii="Times New Roman" w:hAnsi="Times New Roman" w:cs="Times New Roman"/>
        </w:rPr>
        <w:t xml:space="preserve"> Dept. Dec. 2, 2025), the father appealed from an August 2024 Supreme Court order, which denied</w:t>
      </w:r>
      <w:r w:rsidR="00375621">
        <w:rPr>
          <w:rFonts w:ascii="Times New Roman" w:hAnsi="Times New Roman" w:cs="Times New Roman"/>
        </w:rPr>
        <w:t xml:space="preserve"> his </w:t>
      </w:r>
      <w:r>
        <w:rPr>
          <w:rFonts w:ascii="Times New Roman" w:hAnsi="Times New Roman" w:cs="Times New Roman"/>
        </w:rPr>
        <w:t>motions for counsel fees and sanctions. The First Department affirmed, finding that the father “failed to include the required statement of net worth, or comparable statement evidencing his income in either of his applications as required pursuant to Domestic Relations Law §§237, 238 and 22 NYCRR §202.16(k)(2) (citations omitted)” and there was no “evidence which the [the court] could have considered to be in substantial compliance with the prescribed statement of net worth form (internal quotation marks and citations omitted).”</w:t>
      </w:r>
    </w:p>
    <w:p w14:paraId="621DFF33" w14:textId="77777777" w:rsidR="007B13CE" w:rsidRDefault="007B13CE" w:rsidP="007B13CE">
      <w:pPr>
        <w:pStyle w:val="Heading2"/>
        <w:numPr>
          <w:ilvl w:val="0"/>
          <w:numId w:val="0"/>
        </w:numPr>
        <w:spacing w:line="240" w:lineRule="auto"/>
        <w:contextualSpacing/>
        <w:jc w:val="both"/>
        <w:rPr>
          <w:rFonts w:ascii="Times New Roman" w:hAnsi="Times New Roman" w:cs="Times New Roman"/>
        </w:rPr>
      </w:pPr>
    </w:p>
    <w:p w14:paraId="6ED6E4E0" w14:textId="2E7FACE1" w:rsidR="007B13CE" w:rsidRPr="007B13CE" w:rsidRDefault="007B13CE" w:rsidP="007B13CE">
      <w:pPr>
        <w:pStyle w:val="Heading2"/>
        <w:numPr>
          <w:ilvl w:val="0"/>
          <w:numId w:val="0"/>
        </w:numPr>
        <w:spacing w:line="240" w:lineRule="auto"/>
        <w:contextualSpacing/>
        <w:jc w:val="both"/>
        <w:rPr>
          <w:rFonts w:ascii="Times New Roman" w:hAnsi="Times New Roman" w:cs="Times New Roman"/>
          <w:b/>
          <w:bCs/>
        </w:rPr>
      </w:pPr>
      <w:r w:rsidRPr="007B13CE">
        <w:rPr>
          <w:rFonts w:ascii="Times New Roman" w:hAnsi="Times New Roman" w:cs="Times New Roman"/>
          <w:b/>
          <w:bCs/>
        </w:rPr>
        <w:t>Custody – Modification – Dismissed at Close of Proof</w:t>
      </w:r>
    </w:p>
    <w:p w14:paraId="5E69285E" w14:textId="77777777" w:rsidR="004F46B1" w:rsidRDefault="004F46B1" w:rsidP="0080647E">
      <w:pPr>
        <w:pStyle w:val="Heading2"/>
        <w:numPr>
          <w:ilvl w:val="0"/>
          <w:numId w:val="0"/>
        </w:numPr>
        <w:spacing w:line="240" w:lineRule="auto"/>
        <w:contextualSpacing/>
        <w:jc w:val="both"/>
        <w:rPr>
          <w:rFonts w:ascii="Times New Roman" w:hAnsi="Times New Roman" w:cs="Times New Roman"/>
        </w:rPr>
      </w:pPr>
    </w:p>
    <w:p w14:paraId="474B2465" w14:textId="491B3B5F" w:rsidR="007B13CE" w:rsidRDefault="007B13CE" w:rsidP="0080647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7B13CE">
        <w:rPr>
          <w:rFonts w:ascii="Times New Roman" w:hAnsi="Times New Roman" w:cs="Times New Roman"/>
          <w:b/>
          <w:bCs/>
          <w:i/>
          <w:iCs/>
        </w:rPr>
        <w:t>Matter of Sharlene R. v. Jhovanni D.</w:t>
      </w:r>
      <w:r>
        <w:rPr>
          <w:rFonts w:ascii="Times New Roman" w:hAnsi="Times New Roman" w:cs="Times New Roman"/>
        </w:rPr>
        <w:t>, 243 NYS3d 419 (1</w:t>
      </w:r>
      <w:r w:rsidRPr="003367F4">
        <w:rPr>
          <w:rFonts w:ascii="Times New Roman" w:hAnsi="Times New Roman" w:cs="Times New Roman"/>
          <w:vertAlign w:val="superscript"/>
        </w:rPr>
        <w:t>st</w:t>
      </w:r>
      <w:r>
        <w:rPr>
          <w:rFonts w:ascii="Times New Roman" w:hAnsi="Times New Roman" w:cs="Times New Roman"/>
        </w:rPr>
        <w:t xml:space="preserve"> Dept. Dec. 2, 2025), the mother appealed from an April 2025 Family Court order, which granted the father’s motion at the close of her proof, to dismiss her petition seeking modification of a 2018 order providing sole legal and physical custody to the father, with her access to the subject child being “explicitly conditioned *** on her compliance with services mandated in the 2017 dispositional order issued in a separate neglect case against [her], including participating in mental health treatment.”  The mother sought modification to award her sole physical custody and permitting the child to move to Las Vegas, where she had relocated in 2023.  The First Department affirmed, noting the mother: “admitted during her testimony *** that she had not complied with the requirements *** in the 2017 dispositional order and 2018 custody order”; “had never attended mental health treatment except *** prior to the 2017 dispositional order”; and “that she had not addressed the issues that led to *** the 2018 custody order.” The Appellate Division concluded that “any changes the mother has made to her own life do not constitute a sufficient change in circumstances to justify a modification of custody in this case” and “the record contains no evidence that the father has become unfit or less fit to continue as the subject child’s custodial parent.”</w:t>
      </w:r>
    </w:p>
    <w:p w14:paraId="36CC8F06" w14:textId="77777777" w:rsidR="00677776" w:rsidRDefault="00677776" w:rsidP="0080647E">
      <w:pPr>
        <w:pStyle w:val="Heading2"/>
        <w:numPr>
          <w:ilvl w:val="0"/>
          <w:numId w:val="0"/>
        </w:numPr>
        <w:spacing w:line="240" w:lineRule="auto"/>
        <w:contextualSpacing/>
        <w:jc w:val="both"/>
        <w:rPr>
          <w:rFonts w:ascii="Times New Roman" w:hAnsi="Times New Roman" w:cs="Times New Roman"/>
        </w:rPr>
      </w:pPr>
    </w:p>
    <w:p w14:paraId="36D29774" w14:textId="47A77846" w:rsidR="00677776" w:rsidRDefault="00677776" w:rsidP="0080647E">
      <w:pPr>
        <w:pStyle w:val="Heading2"/>
        <w:numPr>
          <w:ilvl w:val="0"/>
          <w:numId w:val="0"/>
        </w:numPr>
        <w:spacing w:line="240" w:lineRule="auto"/>
        <w:contextualSpacing/>
        <w:jc w:val="both"/>
        <w:rPr>
          <w:rFonts w:ascii="Times New Roman" w:hAnsi="Times New Roman" w:cs="Times New Roman"/>
          <w:b/>
          <w:bCs/>
        </w:rPr>
      </w:pPr>
      <w:r w:rsidRPr="00677776">
        <w:rPr>
          <w:rFonts w:ascii="Times New Roman" w:hAnsi="Times New Roman" w:cs="Times New Roman"/>
          <w:b/>
          <w:bCs/>
        </w:rPr>
        <w:t>Custody – Modification – International Travel</w:t>
      </w:r>
      <w:r>
        <w:rPr>
          <w:rFonts w:ascii="Times New Roman" w:hAnsi="Times New Roman" w:cs="Times New Roman"/>
          <w:b/>
          <w:bCs/>
        </w:rPr>
        <w:t xml:space="preserve"> Permitted</w:t>
      </w:r>
    </w:p>
    <w:p w14:paraId="59BEA2A6" w14:textId="77777777" w:rsidR="00677776" w:rsidRDefault="00677776" w:rsidP="0080647E">
      <w:pPr>
        <w:pStyle w:val="Heading2"/>
        <w:numPr>
          <w:ilvl w:val="0"/>
          <w:numId w:val="0"/>
        </w:numPr>
        <w:spacing w:line="240" w:lineRule="auto"/>
        <w:contextualSpacing/>
        <w:jc w:val="both"/>
        <w:rPr>
          <w:rFonts w:ascii="Times New Roman" w:hAnsi="Times New Roman" w:cs="Times New Roman"/>
          <w:b/>
          <w:bCs/>
        </w:rPr>
      </w:pPr>
    </w:p>
    <w:p w14:paraId="4BA46C3D" w14:textId="7DD93161" w:rsidR="00677776" w:rsidRDefault="00677776" w:rsidP="0080647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77776">
        <w:rPr>
          <w:rFonts w:ascii="Times New Roman" w:hAnsi="Times New Roman" w:cs="Times New Roman"/>
          <w:b/>
          <w:bCs/>
          <w:i/>
          <w:iCs/>
        </w:rPr>
        <w:t>Matter of S.J. v. B.B.</w:t>
      </w:r>
      <w:r>
        <w:rPr>
          <w:rFonts w:ascii="Times New Roman" w:hAnsi="Times New Roman" w:cs="Times New Roman"/>
        </w:rPr>
        <w:t>, 2025 Westlaw 3759407 (1</w:t>
      </w:r>
      <w:r w:rsidRPr="00123FBC">
        <w:rPr>
          <w:rFonts w:ascii="Times New Roman" w:hAnsi="Times New Roman" w:cs="Times New Roman"/>
          <w:vertAlign w:val="superscript"/>
        </w:rPr>
        <w:t>st</w:t>
      </w:r>
      <w:r>
        <w:rPr>
          <w:rFonts w:ascii="Times New Roman" w:hAnsi="Times New Roman" w:cs="Times New Roman"/>
        </w:rPr>
        <w:t xml:space="preserve"> Dept. Dec. 30, 2025), the mother appealed from a February 2023 Family Court order, which modified a May 2021 order by setting forth additional terms pertaining to the father’s international travel with the children. The First Department affirmed, holding that Family Court properly allowed the children to travel internationally with the father, and noting: such travel was “limited *** to nations that are signatories of the Hague Convention”;  the father is required “to provide the mother with advance notice of any travel”; and “the court mandated the activation of location tracking on the children’s smart watches for the duration of the travel.”</w:t>
      </w:r>
    </w:p>
    <w:p w14:paraId="6005C2EE" w14:textId="77777777" w:rsidR="0085574B" w:rsidRDefault="0085574B" w:rsidP="0080647E">
      <w:pPr>
        <w:pStyle w:val="Heading2"/>
        <w:numPr>
          <w:ilvl w:val="0"/>
          <w:numId w:val="0"/>
        </w:numPr>
        <w:spacing w:line="240" w:lineRule="auto"/>
        <w:contextualSpacing/>
        <w:jc w:val="both"/>
        <w:rPr>
          <w:rFonts w:ascii="Times New Roman" w:hAnsi="Times New Roman" w:cs="Times New Roman"/>
        </w:rPr>
      </w:pPr>
    </w:p>
    <w:p w14:paraId="41938586" w14:textId="77777777" w:rsidR="00677776" w:rsidRDefault="00677776" w:rsidP="0080647E">
      <w:pPr>
        <w:pStyle w:val="Heading2"/>
        <w:numPr>
          <w:ilvl w:val="0"/>
          <w:numId w:val="0"/>
        </w:numPr>
        <w:spacing w:line="240" w:lineRule="auto"/>
        <w:contextualSpacing/>
        <w:jc w:val="both"/>
        <w:rPr>
          <w:rFonts w:ascii="Times New Roman" w:hAnsi="Times New Roman" w:cs="Times New Roman"/>
        </w:rPr>
      </w:pPr>
    </w:p>
    <w:p w14:paraId="79085327" w14:textId="119B231D" w:rsidR="00677776" w:rsidRDefault="00677776" w:rsidP="0080647E">
      <w:pPr>
        <w:pStyle w:val="Heading2"/>
        <w:numPr>
          <w:ilvl w:val="0"/>
          <w:numId w:val="0"/>
        </w:numPr>
        <w:spacing w:line="240" w:lineRule="auto"/>
        <w:contextualSpacing/>
        <w:jc w:val="both"/>
        <w:rPr>
          <w:rFonts w:ascii="Times New Roman" w:hAnsi="Times New Roman" w:cs="Times New Roman"/>
          <w:b/>
          <w:bCs/>
        </w:rPr>
      </w:pPr>
      <w:r w:rsidRPr="00677776">
        <w:rPr>
          <w:rFonts w:ascii="Times New Roman" w:hAnsi="Times New Roman" w:cs="Times New Roman"/>
          <w:b/>
          <w:bCs/>
        </w:rPr>
        <w:lastRenderedPageBreak/>
        <w:t>Custody – Relocation - Temporary (UK) – Return to NY Denied</w:t>
      </w:r>
      <w:r>
        <w:rPr>
          <w:rFonts w:ascii="Times New Roman" w:hAnsi="Times New Roman" w:cs="Times New Roman"/>
          <w:b/>
          <w:bCs/>
        </w:rPr>
        <w:t xml:space="preserve">; </w:t>
      </w:r>
      <w:r w:rsidRPr="00677776">
        <w:rPr>
          <w:rFonts w:ascii="Times New Roman" w:hAnsi="Times New Roman" w:cs="Times New Roman"/>
          <w:b/>
          <w:bCs/>
        </w:rPr>
        <w:t>Recusal Denied – Commission Complaint, Judicial Criticism of Attorney Conduct – Insufficient Basis</w:t>
      </w:r>
    </w:p>
    <w:p w14:paraId="5FF692E2" w14:textId="463C523B" w:rsidR="00677776" w:rsidRDefault="00677776" w:rsidP="0080647E">
      <w:pPr>
        <w:pStyle w:val="Heading2"/>
        <w:numPr>
          <w:ilvl w:val="0"/>
          <w:numId w:val="0"/>
        </w:numPr>
        <w:spacing w:line="240" w:lineRule="auto"/>
        <w:contextualSpacing/>
        <w:jc w:val="both"/>
        <w:rPr>
          <w:rFonts w:ascii="Times New Roman" w:hAnsi="Times New Roman" w:cs="Times New Roman"/>
          <w:b/>
          <w:bCs/>
        </w:rPr>
      </w:pPr>
    </w:p>
    <w:p w14:paraId="0516CA43" w14:textId="052BEB9C" w:rsidR="00677776" w:rsidRPr="00677776" w:rsidRDefault="00677776" w:rsidP="0080647E">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677776">
        <w:rPr>
          <w:rFonts w:ascii="Times New Roman" w:hAnsi="Times New Roman" w:cs="Times New Roman"/>
          <w:b/>
          <w:bCs/>
          <w:i/>
          <w:iCs/>
        </w:rPr>
        <w:t>Alfred v. Brutus</w:t>
      </w:r>
      <w:r>
        <w:rPr>
          <w:rFonts w:ascii="Times New Roman" w:hAnsi="Times New Roman" w:cs="Times New Roman"/>
        </w:rPr>
        <w:t>, 2025 Westlaw 3759409 (1</w:t>
      </w:r>
      <w:r w:rsidRPr="00DE24B5">
        <w:rPr>
          <w:rFonts w:ascii="Times New Roman" w:hAnsi="Times New Roman" w:cs="Times New Roman"/>
          <w:vertAlign w:val="superscript"/>
        </w:rPr>
        <w:t>st</w:t>
      </w:r>
      <w:r>
        <w:rPr>
          <w:rFonts w:ascii="Times New Roman" w:hAnsi="Times New Roman" w:cs="Times New Roman"/>
        </w:rPr>
        <w:t xml:space="preserve"> Dept. Dec. 30, 2025), the mother appealed from an October 2024 Supreme Court order denying her motion seeking recusal and directing the parties’ child to be returned to NY. The First Department affirmed, holding that denial of the mother’s recusal motion was proper, noting that: the mother’s complaint to the Commission  and participation in a news report regarding the same Justice “did not require the court to recuse itself”; and “[w]</w:t>
      </w:r>
      <w:proofErr w:type="spellStart"/>
      <w:r>
        <w:rPr>
          <w:rFonts w:ascii="Times New Roman" w:hAnsi="Times New Roman" w:cs="Times New Roman"/>
        </w:rPr>
        <w:t>hile</w:t>
      </w:r>
      <w:proofErr w:type="spellEnd"/>
      <w:r>
        <w:rPr>
          <w:rFonts w:ascii="Times New Roman" w:hAnsi="Times New Roman" w:cs="Times New Roman"/>
        </w:rPr>
        <w:t xml:space="preserve"> the court’s decisions contain criticism of the mother’s attorney’s conduct ***, judicial remarks that are critical or disapproving of, or even hostile to, counsel, the parties, or their cases, ordinarily do not support a bias or partiality challenge (internal quotation marks and citations omitted).”  The Appellate Division agreed with the mother that Supreme Court “should have held a hearing before granting *** [the] father’s request to temporarily relocate to the United Kingdom ***” but observed that the child “has been living and attending school in the United Kingdom since 2022 and has expressed a desire to remain in the custody of the father,” such that “ordering her return to New York under these circumstances would be seriously distressing and disruptive.”</w:t>
      </w:r>
    </w:p>
    <w:p w14:paraId="6764174D" w14:textId="77777777" w:rsidR="001F4F0E" w:rsidRDefault="001F4F0E" w:rsidP="0080647E">
      <w:pPr>
        <w:pStyle w:val="Heading2"/>
        <w:numPr>
          <w:ilvl w:val="0"/>
          <w:numId w:val="0"/>
        </w:numPr>
        <w:spacing w:line="240" w:lineRule="auto"/>
        <w:contextualSpacing/>
        <w:jc w:val="both"/>
        <w:rPr>
          <w:rFonts w:ascii="Times New Roman" w:hAnsi="Times New Roman" w:cs="Times New Roman"/>
        </w:rPr>
      </w:pPr>
    </w:p>
    <w:p w14:paraId="2EEF316C" w14:textId="77777777" w:rsidR="00FD6C82" w:rsidRPr="00FD6C82" w:rsidRDefault="00FD6C82" w:rsidP="00FD6C82">
      <w:pPr>
        <w:pStyle w:val="Heading2"/>
        <w:numPr>
          <w:ilvl w:val="0"/>
          <w:numId w:val="0"/>
        </w:numPr>
        <w:jc w:val="both"/>
        <w:rPr>
          <w:rFonts w:ascii="Times New Roman" w:hAnsi="Times New Roman" w:cs="Times New Roman"/>
          <w:b/>
          <w:bCs/>
        </w:rPr>
      </w:pPr>
      <w:r w:rsidRPr="00FD6C82">
        <w:rPr>
          <w:rFonts w:ascii="Times New Roman" w:hAnsi="Times New Roman" w:cs="Times New Roman"/>
          <w:b/>
          <w:bCs/>
        </w:rPr>
        <w:t>Custody – Temporary Modification of Exchange Location – Reversed</w:t>
      </w:r>
    </w:p>
    <w:p w14:paraId="413E252D" w14:textId="26FB9217" w:rsidR="00FD6C82" w:rsidRDefault="00FD6C82" w:rsidP="00FD6C82">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FD6C82">
        <w:rPr>
          <w:rFonts w:ascii="Times New Roman" w:hAnsi="Times New Roman" w:cs="Times New Roman"/>
          <w:b/>
          <w:bCs/>
          <w:i/>
          <w:iCs/>
        </w:rPr>
        <w:t>Matter of Samake v. Sy</w:t>
      </w:r>
      <w:r>
        <w:rPr>
          <w:rFonts w:ascii="Times New Roman" w:hAnsi="Times New Roman" w:cs="Times New Roman"/>
        </w:rPr>
        <w:t>, 2025 Westlaw</w:t>
      </w:r>
      <w:r w:rsidR="00095C78">
        <w:rPr>
          <w:rFonts w:ascii="Times New Roman" w:hAnsi="Times New Roman" w:cs="Times New Roman"/>
        </w:rPr>
        <w:t xml:space="preserve"> 3770032</w:t>
      </w:r>
      <w:r>
        <w:rPr>
          <w:rFonts w:ascii="Times New Roman" w:hAnsi="Times New Roman" w:cs="Times New Roman"/>
        </w:rPr>
        <w:t xml:space="preserve"> (2d Dept. Dec. 31, 2025), the mother appealed, by permission, from a December 2024 Family Court order, which granted the father’s oral motion to modify May and September 2024 temporary orders of the same court, so as to change the location for the parties’ exchange of the children from a police station to the children’s daycare facility. The Second Department reversed, on the facts and in the exercise of discretion, by reinstating the police station as the exchange location until an order of disposition is rendered in the underlying proceedings. The Appellate Division noted that Family Court issued a temporary order of protection in favor of the mother as well as an address confidentiality order, and concluded that given “a history of animosity between the parties and allegations of domestic violence, and the corresponding safety concerns ***, it was not in the children’s best interests for the Family Court to direct that the exchanges take place at the children’s daycare facility ***.”</w:t>
      </w:r>
    </w:p>
    <w:p w14:paraId="0FB8BD74" w14:textId="77777777" w:rsidR="00FD6C82" w:rsidRDefault="00FD6C82" w:rsidP="00FD6C82">
      <w:pPr>
        <w:pStyle w:val="Heading2"/>
        <w:numPr>
          <w:ilvl w:val="0"/>
          <w:numId w:val="0"/>
        </w:numPr>
        <w:spacing w:line="240" w:lineRule="auto"/>
        <w:contextualSpacing/>
        <w:jc w:val="both"/>
        <w:rPr>
          <w:rFonts w:ascii="Times New Roman" w:hAnsi="Times New Roman" w:cs="Times New Roman"/>
          <w:b/>
          <w:bCs/>
        </w:rPr>
      </w:pPr>
    </w:p>
    <w:p w14:paraId="51F49741" w14:textId="55884BFC" w:rsidR="001F4F0E" w:rsidRPr="001F4F0E" w:rsidRDefault="001F4F0E" w:rsidP="001F4F0E">
      <w:pPr>
        <w:pStyle w:val="Heading2"/>
        <w:numPr>
          <w:ilvl w:val="0"/>
          <w:numId w:val="0"/>
        </w:numPr>
        <w:jc w:val="both"/>
        <w:rPr>
          <w:rFonts w:ascii="Times New Roman" w:hAnsi="Times New Roman" w:cs="Times New Roman"/>
          <w:b/>
          <w:bCs/>
        </w:rPr>
      </w:pPr>
      <w:r w:rsidRPr="001F4F0E">
        <w:rPr>
          <w:rFonts w:ascii="Times New Roman" w:hAnsi="Times New Roman" w:cs="Times New Roman"/>
          <w:b/>
          <w:bCs/>
        </w:rPr>
        <w:t>Custody - Third Party (Grandmother) – Standing Established</w:t>
      </w:r>
    </w:p>
    <w:p w14:paraId="07F81F72" w14:textId="7383A493" w:rsidR="00677776" w:rsidRDefault="001F4F0E" w:rsidP="001F4F0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1F4F0E">
        <w:rPr>
          <w:rFonts w:ascii="Times New Roman" w:hAnsi="Times New Roman" w:cs="Times New Roman"/>
          <w:b/>
          <w:bCs/>
          <w:i/>
          <w:iCs/>
        </w:rPr>
        <w:t>Matter of Morris v. Smith</w:t>
      </w:r>
      <w:r>
        <w:rPr>
          <w:rFonts w:ascii="Times New Roman" w:hAnsi="Times New Roman" w:cs="Times New Roman"/>
        </w:rPr>
        <w:t>, 2025 Westlaw 3717281 (4</w:t>
      </w:r>
      <w:r w:rsidRPr="00B27BB9">
        <w:rPr>
          <w:rFonts w:ascii="Times New Roman" w:hAnsi="Times New Roman" w:cs="Times New Roman"/>
          <w:vertAlign w:val="superscript"/>
        </w:rPr>
        <w:t>th</w:t>
      </w:r>
      <w:r>
        <w:rPr>
          <w:rFonts w:ascii="Times New Roman" w:hAnsi="Times New Roman" w:cs="Times New Roman"/>
        </w:rPr>
        <w:t xml:space="preserve"> Dept. Dec. 23, 2025), the mother, maternal grandmother and child appealed from a January 2025 Family Court order, which granted the father </w:t>
      </w:r>
      <w:r w:rsidRPr="00920B06">
        <w:rPr>
          <w:rFonts w:ascii="Times New Roman" w:hAnsi="Times New Roman" w:cs="Times New Roman"/>
        </w:rPr>
        <w:t xml:space="preserve">primary residency and sole decision-making authority regarding the subject </w:t>
      </w:r>
      <w:proofErr w:type="gramStart"/>
      <w:r w:rsidRPr="00920B06">
        <w:rPr>
          <w:rFonts w:ascii="Times New Roman" w:hAnsi="Times New Roman" w:cs="Times New Roman"/>
        </w:rPr>
        <w:t>child, and</w:t>
      </w:r>
      <w:proofErr w:type="gramEnd"/>
      <w:r w:rsidRPr="00920B06">
        <w:rPr>
          <w:rFonts w:ascii="Times New Roman" w:hAnsi="Times New Roman" w:cs="Times New Roman"/>
        </w:rPr>
        <w:t xml:space="preserve"> effectively dismissed the custody petitions of the mother and the grandmother. The Fourth Department reversed, on the law, reinstated the petitions of the mother and</w:t>
      </w:r>
      <w:r>
        <w:rPr>
          <w:rFonts w:ascii="Times New Roman" w:hAnsi="Times New Roman" w:cs="Times New Roman"/>
        </w:rPr>
        <w:t xml:space="preserve"> </w:t>
      </w:r>
      <w:r w:rsidRPr="00920B06">
        <w:rPr>
          <w:rFonts w:ascii="Times New Roman" w:hAnsi="Times New Roman" w:cs="Times New Roman"/>
        </w:rPr>
        <w:t xml:space="preserve">grandmother, and remitted to Family Court. </w:t>
      </w:r>
      <w:r>
        <w:rPr>
          <w:rFonts w:ascii="Times New Roman" w:hAnsi="Times New Roman" w:cs="Times New Roman"/>
        </w:rPr>
        <w:t xml:space="preserve"> </w:t>
      </w:r>
      <w:r w:rsidRPr="00920B06">
        <w:rPr>
          <w:rFonts w:ascii="Times New Roman" w:hAnsi="Times New Roman" w:cs="Times New Roman"/>
        </w:rPr>
        <w:t>Family Court granted the grandmother, with whom the subject child and her half-brother had been living for 4 years, 1 weekend of visitation per month, so that the child could spend time with the grandmother and the child’s half-brother. The 4</w:t>
      </w:r>
      <w:r w:rsidRPr="00920B06">
        <w:rPr>
          <w:rFonts w:ascii="Times New Roman" w:hAnsi="Times New Roman" w:cs="Times New Roman"/>
          <w:vertAlign w:val="superscript"/>
        </w:rPr>
        <w:t>th</w:t>
      </w:r>
      <w:r w:rsidRPr="00920B06">
        <w:rPr>
          <w:rFonts w:ascii="Times New Roman" w:hAnsi="Times New Roman" w:cs="Times New Roman"/>
        </w:rPr>
        <w:t xml:space="preserve"> Department granted a stay of </w:t>
      </w:r>
      <w:r>
        <w:rPr>
          <w:rFonts w:ascii="Times New Roman" w:hAnsi="Times New Roman" w:cs="Times New Roman"/>
        </w:rPr>
        <w:t xml:space="preserve">Family Court’s </w:t>
      </w:r>
      <w:r w:rsidRPr="00920B06">
        <w:rPr>
          <w:rFonts w:ascii="Times New Roman" w:hAnsi="Times New Roman" w:cs="Times New Roman"/>
        </w:rPr>
        <w:t xml:space="preserve">order pending appeal. While the Appellate Division agreed that the grandmother did not show "[a]n extended disruption of custody" within the meaning of DRL 72(2)(a), the Court concluded “the grandmother met her burden of demonstrating other extraordinary circumstances with respect to both the mother and the father,” noting that “an extended disruption of custody as defined in [DRL 72] is merely a specific example of </w:t>
      </w:r>
      <w:r w:rsidRPr="00920B06">
        <w:rPr>
          <w:rFonts w:ascii="Times New Roman" w:hAnsi="Times New Roman" w:cs="Times New Roman"/>
        </w:rPr>
        <w:lastRenderedPageBreak/>
        <w:t xml:space="preserve">extraordinary circumstances *** and the statute was not intended to overrule existing case law relating to third parties obtaining standing in custody cases (internal quotation marks and citations omitted).” The Fourth Department observed: “Extraordinary circumstances arise from the fact that the now-six-year-old child has resided exclusively with the grandmother since she was two years old, the mother was incapable of caring for the child due to mental illness, and the father has not been significantly involved in the child's life since birth”; “[t]he father has had limited and sporadic visitation with the child and has never had the child with him overnight”; “[n]or has [the father] paid child support to either the mother or the grandmother”; and “the child is emotionally attached to the grandmother and her half-brother, who has also been raised by the grandmother.” </w:t>
      </w:r>
      <w:r>
        <w:rPr>
          <w:rFonts w:ascii="Times New Roman" w:hAnsi="Times New Roman" w:cs="Times New Roman"/>
        </w:rPr>
        <w:t>R</w:t>
      </w:r>
      <w:r w:rsidRPr="00920B06">
        <w:rPr>
          <w:rFonts w:ascii="Times New Roman" w:hAnsi="Times New Roman" w:cs="Times New Roman"/>
        </w:rPr>
        <w:t>emitt</w:t>
      </w:r>
      <w:r>
        <w:rPr>
          <w:rFonts w:ascii="Times New Roman" w:hAnsi="Times New Roman" w:cs="Times New Roman"/>
        </w:rPr>
        <w:t>ing</w:t>
      </w:r>
      <w:r w:rsidRPr="00920B06">
        <w:rPr>
          <w:rFonts w:ascii="Times New Roman" w:hAnsi="Times New Roman" w:cs="Times New Roman"/>
        </w:rPr>
        <w:t xml:space="preserve"> for a</w:t>
      </w:r>
      <w:r>
        <w:rPr>
          <w:rFonts w:ascii="Times New Roman" w:hAnsi="Times New Roman" w:cs="Times New Roman"/>
        </w:rPr>
        <w:t xml:space="preserve"> </w:t>
      </w:r>
      <w:r w:rsidRPr="00920B06">
        <w:rPr>
          <w:rFonts w:ascii="Times New Roman" w:hAnsi="Times New Roman" w:cs="Times New Roman"/>
        </w:rPr>
        <w:t>hearing</w:t>
      </w:r>
      <w:r>
        <w:rPr>
          <w:rFonts w:ascii="Times New Roman" w:hAnsi="Times New Roman" w:cs="Times New Roman"/>
        </w:rPr>
        <w:t xml:space="preserve"> upon the issue of best interests</w:t>
      </w:r>
      <w:r w:rsidRPr="00920B06">
        <w:rPr>
          <w:rFonts w:ascii="Times New Roman" w:hAnsi="Times New Roman" w:cs="Times New Roman"/>
        </w:rPr>
        <w:t>, the Appellate Division determined that “new facts may be considered in light of events that have transpired during the pendency of these appeals (citations omitted).”</w:t>
      </w:r>
    </w:p>
    <w:p w14:paraId="32E33631" w14:textId="77777777" w:rsidR="00BB2EF7" w:rsidRDefault="00BB2EF7" w:rsidP="0080647E">
      <w:pPr>
        <w:pStyle w:val="Heading2"/>
        <w:numPr>
          <w:ilvl w:val="0"/>
          <w:numId w:val="0"/>
        </w:numPr>
        <w:spacing w:line="240" w:lineRule="auto"/>
        <w:contextualSpacing/>
        <w:jc w:val="both"/>
        <w:rPr>
          <w:rFonts w:ascii="Times New Roman" w:hAnsi="Times New Roman" w:cs="Times New Roman"/>
        </w:rPr>
      </w:pPr>
    </w:p>
    <w:p w14:paraId="17E7E219" w14:textId="77777777" w:rsidR="00BB2EF7" w:rsidRPr="00BB2EF7" w:rsidRDefault="00BB2EF7" w:rsidP="00BB2EF7">
      <w:pPr>
        <w:pStyle w:val="Heading2"/>
        <w:numPr>
          <w:ilvl w:val="0"/>
          <w:numId w:val="0"/>
        </w:numPr>
        <w:jc w:val="both"/>
        <w:rPr>
          <w:rFonts w:ascii="Times New Roman" w:hAnsi="Times New Roman" w:cs="Times New Roman"/>
          <w:b/>
          <w:bCs/>
        </w:rPr>
      </w:pPr>
      <w:r w:rsidRPr="00BB2EF7">
        <w:rPr>
          <w:rFonts w:ascii="Times New Roman" w:hAnsi="Times New Roman" w:cs="Times New Roman"/>
          <w:b/>
          <w:bCs/>
        </w:rPr>
        <w:t>Custody - Third Party Visitation (Grandmother) – Denied</w:t>
      </w:r>
    </w:p>
    <w:p w14:paraId="6BC5B21D" w14:textId="35D99EC4" w:rsidR="00BB2EF7" w:rsidRDefault="00BB2EF7" w:rsidP="00BB2EF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BB2EF7">
        <w:rPr>
          <w:rFonts w:ascii="Times New Roman" w:hAnsi="Times New Roman" w:cs="Times New Roman"/>
          <w:b/>
          <w:bCs/>
          <w:i/>
          <w:iCs/>
        </w:rPr>
        <w:t>Matter of L.M. v. J.H.</w:t>
      </w:r>
      <w:r>
        <w:rPr>
          <w:rFonts w:ascii="Times New Roman" w:hAnsi="Times New Roman" w:cs="Times New Roman"/>
        </w:rPr>
        <w:t>, 243 NYS3d 675 (1</w:t>
      </w:r>
      <w:r w:rsidRPr="00E37AA9">
        <w:rPr>
          <w:rFonts w:ascii="Times New Roman" w:hAnsi="Times New Roman" w:cs="Times New Roman"/>
          <w:vertAlign w:val="superscript"/>
        </w:rPr>
        <w:t>st</w:t>
      </w:r>
      <w:r>
        <w:rPr>
          <w:rFonts w:ascii="Times New Roman" w:hAnsi="Times New Roman" w:cs="Times New Roman"/>
        </w:rPr>
        <w:t xml:space="preserve"> Dept. Dec. 11, 2025), the grandmother appealed from a March 2025 Family Court order which, after a hearing, dismissed her petition seeking visitation with respondent mother’s children. The First Department affirmed, noting that the grandmother’s standing was undisputed, “based on the relationship she maintained with the children from their births until approximately April of 2021.” As to the issue of visitation, the Appellate Division observed that Family Court “credited [the mother’s] testimony regarding several incidents in 2021 where [the grandmother’s] conduct upset [the mother] and frightened the children,” while noting: by the time of hearing, the grandmother “had not seen the children in several years”; the mother “opposed visitation based on safety concerns for the children”; and “the children did not wish to have any contact with [the grandmother].”</w:t>
      </w:r>
    </w:p>
    <w:p w14:paraId="78D7835A" w14:textId="77777777" w:rsidR="00BB2EF7" w:rsidRDefault="00BB2EF7" w:rsidP="00BB2EF7">
      <w:pPr>
        <w:pStyle w:val="Heading2"/>
        <w:numPr>
          <w:ilvl w:val="0"/>
          <w:numId w:val="0"/>
        </w:numPr>
        <w:spacing w:line="240" w:lineRule="auto"/>
        <w:contextualSpacing/>
        <w:jc w:val="both"/>
        <w:rPr>
          <w:rFonts w:ascii="Times New Roman" w:hAnsi="Times New Roman" w:cs="Times New Roman"/>
        </w:rPr>
      </w:pPr>
    </w:p>
    <w:p w14:paraId="10159651" w14:textId="77777777" w:rsidR="00BB2EF7" w:rsidRPr="00BB2EF7" w:rsidRDefault="00BB2EF7" w:rsidP="00BB2EF7">
      <w:pPr>
        <w:pStyle w:val="Heading2"/>
        <w:numPr>
          <w:ilvl w:val="0"/>
          <w:numId w:val="0"/>
        </w:numPr>
        <w:jc w:val="both"/>
        <w:rPr>
          <w:rFonts w:ascii="Times New Roman" w:hAnsi="Times New Roman" w:cs="Times New Roman"/>
          <w:b/>
          <w:bCs/>
        </w:rPr>
      </w:pPr>
      <w:r w:rsidRPr="00BB2EF7">
        <w:rPr>
          <w:rFonts w:ascii="Times New Roman" w:hAnsi="Times New Roman" w:cs="Times New Roman"/>
          <w:b/>
          <w:bCs/>
        </w:rPr>
        <w:t>Custody - Transportation Costs</w:t>
      </w:r>
    </w:p>
    <w:p w14:paraId="1D8A8010" w14:textId="2734531B" w:rsidR="00BB2EF7" w:rsidRDefault="00BB2EF7" w:rsidP="00BB2EF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noProof/>
        </w:rPr>
        <mc:AlternateContent>
          <mc:Choice Requires="aink">
            <w:drawing>
              <wp:anchor distT="0" distB="0" distL="114300" distR="114300" simplePos="0" relativeHeight="251659264" behindDoc="0" locked="0" layoutInCell="1" allowOverlap="1" wp14:anchorId="1D64F6B2" wp14:editId="4558D3DE">
                <wp:simplePos x="0" y="0"/>
                <wp:positionH relativeFrom="column">
                  <wp:posOffset>685650</wp:posOffset>
                </wp:positionH>
                <wp:positionV relativeFrom="paragraph">
                  <wp:posOffset>56715</wp:posOffset>
                </wp:positionV>
                <wp:extent cx="360" cy="360"/>
                <wp:effectExtent l="57150" t="57150" r="57150" b="76200"/>
                <wp:wrapNone/>
                <wp:docPr id="712132390"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D64F6B2" wp14:editId="4558D3DE">
                <wp:simplePos x="0" y="0"/>
                <wp:positionH relativeFrom="column">
                  <wp:posOffset>685650</wp:posOffset>
                </wp:positionH>
                <wp:positionV relativeFrom="paragraph">
                  <wp:posOffset>56715</wp:posOffset>
                </wp:positionV>
                <wp:extent cx="360" cy="360"/>
                <wp:effectExtent l="57150" t="57150" r="57150" b="76200"/>
                <wp:wrapNone/>
                <wp:docPr id="712132390" name="Ink 1"/>
                <wp:cNvGraphicFramePr/>
                <a:graphic xmlns:a="http://schemas.openxmlformats.org/drawingml/2006/main">
                  <a:graphicData uri="http://schemas.openxmlformats.org/drawingml/2006/picture">
                    <pic:pic xmlns:pic="http://schemas.openxmlformats.org/drawingml/2006/picture">
                      <pic:nvPicPr>
                        <pic:cNvPr id="712132390" name="Ink 1"/>
                        <pic:cNvPicPr/>
                      </pic:nvPicPr>
                      <pic:blipFill>
                        <a:blip r:embed="rId8"/>
                        <a:stretch>
                          <a:fillRect/>
                        </a:stretch>
                      </pic:blipFill>
                      <pic:spPr>
                        <a:xfrm>
                          <a:off x="0" y="0"/>
                          <a:ext cx="36000" cy="36000"/>
                        </a:xfrm>
                        <a:prstGeom prst="rect">
                          <a:avLst/>
                        </a:prstGeom>
                      </pic:spPr>
                    </pic:pic>
                  </a:graphicData>
                </a:graphic>
              </wp:anchor>
            </w:drawing>
          </mc:Fallback>
        </mc:AlternateContent>
      </w:r>
      <w:r>
        <w:rPr>
          <w:rFonts w:ascii="Times New Roman" w:hAnsi="Times New Roman" w:cs="Times New Roman"/>
        </w:rPr>
        <w:tab/>
      </w:r>
      <w:r w:rsidRPr="00375621">
        <w:rPr>
          <w:rFonts w:ascii="Times New Roman" w:hAnsi="Times New Roman" w:cs="Times New Roman"/>
          <w:b/>
          <w:bCs/>
          <w:i/>
          <w:iCs/>
        </w:rPr>
        <w:t>In Matter of Kimberly T. v. Rafael M</w:t>
      </w:r>
      <w:r w:rsidRPr="00BB2EF7">
        <w:rPr>
          <w:rFonts w:ascii="Times New Roman" w:hAnsi="Times New Roman" w:cs="Times New Roman"/>
        </w:rPr>
        <w:t>.</w:t>
      </w:r>
      <w:r>
        <w:rPr>
          <w:rFonts w:ascii="Times New Roman" w:hAnsi="Times New Roman" w:cs="Times New Roman"/>
        </w:rPr>
        <w:t>, 2025 Westlaw 3672183 (1</w:t>
      </w:r>
      <w:r w:rsidRPr="0040286B">
        <w:rPr>
          <w:rFonts w:ascii="Times New Roman" w:hAnsi="Times New Roman" w:cs="Times New Roman"/>
          <w:vertAlign w:val="superscript"/>
        </w:rPr>
        <w:t>st</w:t>
      </w:r>
      <w:r>
        <w:rPr>
          <w:rFonts w:ascii="Times New Roman" w:hAnsi="Times New Roman" w:cs="Times New Roman"/>
        </w:rPr>
        <w:t xml:space="preserve"> Dept. Dec. 18, 2025), the father appealed from a September 2024 Family Court order, which, after a hearing, directed him to arrange and pay for the subject child’s return transportation following his summer and holiday visitation trips to the mother in North Carolina. The First Department affirmed, holding that “the record was adequate for Family Court to determine the parties’ capacity to bear the costs of the child’s transportation.” The Appellate Division noted: “both parties were working for rideshare services; the father was the child’s main provider; and the mother was missing” her time because she could not afford the costs.</w:t>
      </w:r>
    </w:p>
    <w:p w14:paraId="6EE9A644" w14:textId="77777777" w:rsidR="00D4629A" w:rsidRDefault="00D4629A" w:rsidP="00BB2EF7">
      <w:pPr>
        <w:pStyle w:val="Heading2"/>
        <w:numPr>
          <w:ilvl w:val="0"/>
          <w:numId w:val="0"/>
        </w:numPr>
        <w:spacing w:line="240" w:lineRule="auto"/>
        <w:contextualSpacing/>
        <w:jc w:val="both"/>
        <w:rPr>
          <w:rFonts w:ascii="Times New Roman" w:hAnsi="Times New Roman" w:cs="Times New Roman"/>
        </w:rPr>
      </w:pPr>
    </w:p>
    <w:p w14:paraId="51A688A6" w14:textId="0C263565" w:rsidR="00D4629A" w:rsidRDefault="00D4629A" w:rsidP="00BB2EF7">
      <w:pPr>
        <w:pStyle w:val="Heading2"/>
        <w:numPr>
          <w:ilvl w:val="0"/>
          <w:numId w:val="0"/>
        </w:numPr>
        <w:spacing w:line="240" w:lineRule="auto"/>
        <w:contextualSpacing/>
        <w:jc w:val="both"/>
        <w:rPr>
          <w:rFonts w:ascii="Times New Roman" w:hAnsi="Times New Roman" w:cs="Times New Roman"/>
          <w:b/>
          <w:bCs/>
        </w:rPr>
      </w:pPr>
      <w:r w:rsidRPr="00D4629A">
        <w:rPr>
          <w:rFonts w:ascii="Times New Roman" w:hAnsi="Times New Roman" w:cs="Times New Roman"/>
          <w:b/>
          <w:bCs/>
        </w:rPr>
        <w:t>Custody – UCCJEA – Home State</w:t>
      </w:r>
      <w:r>
        <w:rPr>
          <w:rFonts w:ascii="Times New Roman" w:hAnsi="Times New Roman" w:cs="Times New Roman"/>
          <w:b/>
          <w:bCs/>
        </w:rPr>
        <w:t xml:space="preserve"> (MA)</w:t>
      </w:r>
    </w:p>
    <w:p w14:paraId="5F62664F" w14:textId="77777777" w:rsidR="00D4629A" w:rsidRDefault="00D4629A" w:rsidP="00BB2EF7">
      <w:pPr>
        <w:pStyle w:val="Heading2"/>
        <w:numPr>
          <w:ilvl w:val="0"/>
          <w:numId w:val="0"/>
        </w:numPr>
        <w:spacing w:line="240" w:lineRule="auto"/>
        <w:contextualSpacing/>
        <w:jc w:val="both"/>
        <w:rPr>
          <w:rFonts w:ascii="Times New Roman" w:hAnsi="Times New Roman" w:cs="Times New Roman"/>
          <w:b/>
          <w:bCs/>
        </w:rPr>
      </w:pPr>
    </w:p>
    <w:p w14:paraId="628E65D2" w14:textId="7F8902BE" w:rsidR="00D4629A" w:rsidRPr="00D4629A" w:rsidRDefault="00D4629A" w:rsidP="00BB2EF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D4629A">
        <w:rPr>
          <w:rFonts w:ascii="Times New Roman" w:hAnsi="Times New Roman" w:cs="Times New Roman"/>
          <w:b/>
          <w:bCs/>
          <w:i/>
          <w:iCs/>
        </w:rPr>
        <w:t>Matter of Sarah RR. v. Andrew SS</w:t>
      </w:r>
      <w:r w:rsidRPr="00D4629A">
        <w:rPr>
          <w:rFonts w:ascii="Times New Roman" w:hAnsi="Times New Roman" w:cs="Times New Roman"/>
        </w:rPr>
        <w:t>.</w:t>
      </w:r>
      <w:r>
        <w:rPr>
          <w:rFonts w:ascii="Times New Roman" w:hAnsi="Times New Roman" w:cs="Times New Roman"/>
        </w:rPr>
        <w:t xml:space="preserve">, 2025 Westlaw 3768111 (3d Dept. Dec. 31, 2025), the mother appealed from a September 2024 Family Court order which, after a hearing upon the issue of subject matter jurisdiction, dismissed her February 2024 petition seeking custody of the parties’ child born in Massachusetts (MA) in 2020. The parties and child first lived together in Rhode Island until the parents’ separation in September 2021, at which time the mother and child moved to MA. The parents thereafter reconciled and in April 2023, and the parties and child departed from Mexico upon an extended sailing trip, which was intended to last until April 2024. </w:t>
      </w:r>
      <w:r>
        <w:rPr>
          <w:rFonts w:ascii="Times New Roman" w:hAnsi="Times New Roman" w:cs="Times New Roman"/>
        </w:rPr>
        <w:lastRenderedPageBreak/>
        <w:t>In December 2023, the parties were in MA on hiatus from the sailing trip. The mother then traveled to Tompkins County with the child and did not return. In February 2024, the father filed for custody in MA, and days later, after being served with the MA proceeding, the mother filed for custody in Tompkins County. The Third Department affirmed Family Court’s dismissal, holding that it was “undisputed that the child resided in Massachusetts for at least six months immediately prior to the family setting sail on their extended voyage,” citing DRL 75-a(7), and finding that “the record amply supports a finding that the parties had intended their trip – and thus, the child’s absence from Massachusetts – to be temporary (citations omitted).” The Appellate Division noted: “prior to embarking upon their extended sailing voyage in April 2023, the parties left the family’s possessions and various personal files and documentation in Massachusetts”; the mother “had investigated schooling and [special needs] therapy options for the child in Massachusetts”; “during the sailing trip, the parties and the child returned to Massachusetts to celebrate Christmas with extended family”; the father’s testimony that “given the parties’ limited financial resources and occupations as commercial fishers, he had purchased a fishing vessel in December 2023 in Massachusetts for the parties to use to earn income upon their anticipated return that spring”; and “the child’s contacts with New York began at the very end of December 2023, approximately two months before the mother’s custody petition was filed.”</w:t>
      </w:r>
      <w:r>
        <w:rPr>
          <w:rFonts w:ascii="Times New Roman" w:hAnsi="Times New Roman" w:cs="Times New Roman"/>
          <w:b/>
          <w:bCs/>
        </w:rPr>
        <w:tab/>
      </w:r>
    </w:p>
    <w:p w14:paraId="12A6D6F7" w14:textId="77777777" w:rsidR="004B14D5" w:rsidRDefault="004B14D5" w:rsidP="00BB2EF7">
      <w:pPr>
        <w:pStyle w:val="Heading2"/>
        <w:numPr>
          <w:ilvl w:val="0"/>
          <w:numId w:val="0"/>
        </w:numPr>
        <w:spacing w:line="240" w:lineRule="auto"/>
        <w:contextualSpacing/>
        <w:jc w:val="both"/>
        <w:rPr>
          <w:rFonts w:ascii="Times New Roman" w:hAnsi="Times New Roman" w:cs="Times New Roman"/>
        </w:rPr>
      </w:pPr>
    </w:p>
    <w:p w14:paraId="25986924" w14:textId="77777777" w:rsidR="00BB2EF7" w:rsidRPr="00BB2EF7" w:rsidRDefault="00BB2EF7" w:rsidP="00BB2EF7">
      <w:pPr>
        <w:pStyle w:val="Heading2"/>
        <w:numPr>
          <w:ilvl w:val="0"/>
          <w:numId w:val="0"/>
        </w:numPr>
        <w:jc w:val="both"/>
        <w:rPr>
          <w:rFonts w:ascii="Times New Roman" w:hAnsi="Times New Roman" w:cs="Times New Roman"/>
          <w:b/>
          <w:bCs/>
        </w:rPr>
      </w:pPr>
      <w:r w:rsidRPr="00BB2EF7">
        <w:rPr>
          <w:rFonts w:ascii="Times New Roman" w:hAnsi="Times New Roman" w:cs="Times New Roman"/>
          <w:b/>
          <w:bCs/>
        </w:rPr>
        <w:t>Custody - UCCJEA – Substituted Service Invalid – Petition Dismissed</w:t>
      </w:r>
    </w:p>
    <w:p w14:paraId="728959D1" w14:textId="120FA1A6" w:rsidR="00677776" w:rsidRDefault="00BB2EF7" w:rsidP="0085574B">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BB2EF7">
        <w:rPr>
          <w:rFonts w:ascii="Times New Roman" w:hAnsi="Times New Roman" w:cs="Times New Roman"/>
          <w:b/>
          <w:bCs/>
          <w:i/>
          <w:iCs/>
        </w:rPr>
        <w:t>Matter of John F. B. v. Maria U</w:t>
      </w:r>
      <w:r>
        <w:rPr>
          <w:rFonts w:ascii="Times New Roman" w:hAnsi="Times New Roman" w:cs="Times New Roman"/>
        </w:rPr>
        <w:t>., 2025 Westlaw 3545526 (1</w:t>
      </w:r>
      <w:r w:rsidRPr="00A24960">
        <w:rPr>
          <w:rFonts w:ascii="Times New Roman" w:hAnsi="Times New Roman" w:cs="Times New Roman"/>
          <w:vertAlign w:val="superscript"/>
        </w:rPr>
        <w:t>st</w:t>
      </w:r>
      <w:r>
        <w:rPr>
          <w:rFonts w:ascii="Times New Roman" w:hAnsi="Times New Roman" w:cs="Times New Roman"/>
        </w:rPr>
        <w:t xml:space="preserve"> Dept. Dec. 11, 2025), the mother appealed from a November 2024 Family Court order, which denied her motion to dismiss and to vacate a June 2023 Order of the same Court granting, upon her default, the father’s petition to modify a March 2013 Minnesota Custody Order</w:t>
      </w:r>
      <w:r w:rsidR="00375621">
        <w:rPr>
          <w:rFonts w:ascii="Times New Roman" w:hAnsi="Times New Roman" w:cs="Times New Roman"/>
        </w:rPr>
        <w:t>, by</w:t>
      </w:r>
      <w:r>
        <w:rPr>
          <w:rFonts w:ascii="Times New Roman" w:hAnsi="Times New Roman" w:cs="Times New Roman"/>
        </w:rPr>
        <w:t xml:space="preserve"> awarding him sole legal and physical custody of the subject child. The First Department reversed, on the law, dismissed the petition for lack of personal jurisdiction, CPLR Rule 3211(a)(8), and vacated all prior determinations, including the June 2023 order, as null and void. The Appellate Division found that the father’s March 2023 Order to Show Cause (OTSC), which directed the father to serve the mother by email and by initiating international service through the US Central Authority, did not comply with DRL 75-g, which requires that service be made by personal delivery or by any form of mail requesting a receipt, and further provides that the court may only direct substituted service upon a finding that personal delivery or receipted mail is impracticable. The Court found that the father’s OTSC “contained no indication that personal service or service by *** [receipted] mail” was “impracticable” within the meaning of DRL 75-g(1)(c) and concluded that Family Court “never acquired personal jurisdiction over the mother ***.”  The First Department noted in closing that the mother’s alleged awareness of the proceeding in April 2023 “does not confer jurisdiction if there has not been compliance with the statutorily prescribed methods of service of process (citations omitted).”</w:t>
      </w:r>
    </w:p>
    <w:p w14:paraId="1CF6159E" w14:textId="77777777" w:rsidR="00FD6C82" w:rsidRDefault="00FD6C82" w:rsidP="0085574B">
      <w:pPr>
        <w:pStyle w:val="Heading2"/>
        <w:numPr>
          <w:ilvl w:val="0"/>
          <w:numId w:val="0"/>
        </w:numPr>
        <w:spacing w:line="240" w:lineRule="auto"/>
        <w:contextualSpacing/>
        <w:jc w:val="both"/>
        <w:rPr>
          <w:rFonts w:ascii="Times New Roman" w:hAnsi="Times New Roman" w:cs="Times New Roman"/>
        </w:rPr>
      </w:pPr>
    </w:p>
    <w:p w14:paraId="7708B5C1" w14:textId="5EF4198B" w:rsidR="00FD6C82" w:rsidRDefault="00FD6C82" w:rsidP="0085574B">
      <w:pPr>
        <w:pStyle w:val="Heading2"/>
        <w:numPr>
          <w:ilvl w:val="0"/>
          <w:numId w:val="0"/>
        </w:numPr>
        <w:spacing w:line="240" w:lineRule="auto"/>
        <w:contextualSpacing/>
        <w:jc w:val="both"/>
        <w:rPr>
          <w:rFonts w:ascii="Times New Roman" w:hAnsi="Times New Roman" w:cs="Times New Roman"/>
          <w:b/>
          <w:bCs/>
        </w:rPr>
      </w:pPr>
      <w:r w:rsidRPr="00FD6C82">
        <w:rPr>
          <w:rFonts w:ascii="Times New Roman" w:hAnsi="Times New Roman" w:cs="Times New Roman"/>
          <w:b/>
          <w:bCs/>
        </w:rPr>
        <w:t>Enforcement - Child Support and Maintenance – Contempt Found – CSSA Noncompliance Not a Defense</w:t>
      </w:r>
    </w:p>
    <w:p w14:paraId="5A02813E" w14:textId="77777777" w:rsidR="00FD6C82" w:rsidRDefault="00FD6C82" w:rsidP="0085574B">
      <w:pPr>
        <w:pStyle w:val="Heading2"/>
        <w:numPr>
          <w:ilvl w:val="0"/>
          <w:numId w:val="0"/>
        </w:numPr>
        <w:spacing w:line="240" w:lineRule="auto"/>
        <w:contextualSpacing/>
        <w:jc w:val="both"/>
        <w:rPr>
          <w:rFonts w:ascii="Times New Roman" w:hAnsi="Times New Roman" w:cs="Times New Roman"/>
          <w:b/>
          <w:bCs/>
        </w:rPr>
      </w:pPr>
    </w:p>
    <w:p w14:paraId="7F9B1F7D" w14:textId="5A9EFAB1" w:rsidR="00FD6C82" w:rsidRPr="00FD6C82" w:rsidRDefault="00FD6C82" w:rsidP="0085574B">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FD6C82">
        <w:rPr>
          <w:rFonts w:ascii="Times New Roman" w:hAnsi="Times New Roman" w:cs="Times New Roman"/>
          <w:b/>
          <w:bCs/>
          <w:i/>
          <w:iCs/>
        </w:rPr>
        <w:t>Naser v Naser</w:t>
      </w:r>
      <w:r>
        <w:rPr>
          <w:rFonts w:ascii="Times New Roman" w:hAnsi="Times New Roman" w:cs="Times New Roman"/>
        </w:rPr>
        <w:t>, 2025 Westlaw</w:t>
      </w:r>
      <w:r w:rsidR="00030500">
        <w:rPr>
          <w:rFonts w:ascii="Times New Roman" w:hAnsi="Times New Roman" w:cs="Times New Roman"/>
        </w:rPr>
        <w:t xml:space="preserve"> 3769780</w:t>
      </w:r>
      <w:r>
        <w:rPr>
          <w:rFonts w:ascii="Times New Roman" w:hAnsi="Times New Roman" w:cs="Times New Roman"/>
        </w:rPr>
        <w:t xml:space="preserve"> (2d Dept. Dec. 31, 2025), the parties were divorced by a December 2019 judgment, which incorporated a stipulation of settlement requiring the father to pay the mother child support and maintenance. The mother moved in April 2021 for a finding of civil contempt based upon the father’s noncompliance. The father contended in </w:t>
      </w:r>
      <w:r>
        <w:rPr>
          <w:rFonts w:ascii="Times New Roman" w:hAnsi="Times New Roman" w:cs="Times New Roman"/>
        </w:rPr>
        <w:lastRenderedPageBreak/>
        <w:t>defense that the child support provisions were invalid based upon the stipulation’s failure to adhere to the CSSA opt out provisions of DRL 240(1-</w:t>
      </w:r>
      <w:proofErr w:type="gramStart"/>
      <w:r>
        <w:rPr>
          <w:rFonts w:ascii="Times New Roman" w:hAnsi="Times New Roman" w:cs="Times New Roman"/>
        </w:rPr>
        <w:t>b)(</w:t>
      </w:r>
      <w:proofErr w:type="gramEnd"/>
      <w:r>
        <w:rPr>
          <w:rFonts w:ascii="Times New Roman" w:hAnsi="Times New Roman" w:cs="Times New Roman"/>
        </w:rPr>
        <w:t>h). The father appealed from Supreme Court’s November 2022 Order finding him to be in contempt. The Second Department affirmed, holding that the mother “established by clear and convincing evidence that the [father] violated the child support and maintenance provisions of the stipulation of settlement and the judgment of divorce” and the father “did not refute the [mother’s] showing or offer evidence establishing a defense.” The Appellate Division rejected the father’s CSSA noncompliance argument, holding that the father’s remedy to challenge the stipulation was “either commencing a separate plenary action *** or by motion within the context of an enforcement proceeding.” The Court concluded: the father did commence a prior plenary action, but failed to oppose the mother’s motion to dismiss, resulting in dismissal of his action; and the father “could have cross-moved to vacate the child support provisions *** but failed to do so.”</w:t>
      </w:r>
    </w:p>
    <w:p w14:paraId="62B45B1A" w14:textId="77777777" w:rsidR="0085574B" w:rsidRDefault="0085574B" w:rsidP="0085574B">
      <w:pPr>
        <w:pStyle w:val="Heading2"/>
        <w:numPr>
          <w:ilvl w:val="0"/>
          <w:numId w:val="0"/>
        </w:numPr>
        <w:spacing w:line="240" w:lineRule="auto"/>
        <w:contextualSpacing/>
        <w:jc w:val="both"/>
        <w:rPr>
          <w:rFonts w:ascii="Times New Roman" w:hAnsi="Times New Roman" w:cs="Times New Roman"/>
          <w:b/>
          <w:bCs/>
        </w:rPr>
      </w:pPr>
    </w:p>
    <w:p w14:paraId="14C5A74F" w14:textId="54DB0CDD" w:rsidR="00022EF5" w:rsidRPr="005A16DE" w:rsidRDefault="00BB2EF7" w:rsidP="00022EF5">
      <w:pPr>
        <w:pStyle w:val="Heading2"/>
        <w:numPr>
          <w:ilvl w:val="0"/>
          <w:numId w:val="0"/>
        </w:numPr>
        <w:jc w:val="both"/>
      </w:pPr>
      <w:r>
        <w:rPr>
          <w:rFonts w:ascii="Times New Roman" w:hAnsi="Times New Roman" w:cs="Times New Roman"/>
          <w:b/>
          <w:bCs/>
        </w:rPr>
        <w:t xml:space="preserve">Enforcement </w:t>
      </w:r>
      <w:r w:rsidR="00022EF5" w:rsidRPr="00022EF5">
        <w:rPr>
          <w:rFonts w:ascii="Times New Roman" w:hAnsi="Times New Roman" w:cs="Times New Roman"/>
          <w:b/>
          <w:bCs/>
        </w:rPr>
        <w:t>- Custody -Violation Dismissed</w:t>
      </w:r>
    </w:p>
    <w:p w14:paraId="45640164" w14:textId="675F4192" w:rsidR="007F1921" w:rsidRDefault="00022EF5" w:rsidP="00022EF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022EF5">
        <w:rPr>
          <w:rFonts w:ascii="Times New Roman" w:hAnsi="Times New Roman" w:cs="Times New Roman"/>
          <w:b/>
          <w:bCs/>
          <w:i/>
          <w:iCs/>
        </w:rPr>
        <w:t>Matter of David ZZ. v. Amanda YY.</w:t>
      </w:r>
      <w:r>
        <w:rPr>
          <w:rFonts w:ascii="Times New Roman" w:hAnsi="Times New Roman" w:cs="Times New Roman"/>
        </w:rPr>
        <w:t>, 2025 Westlaw 3480661 (3d Dept. Dec. 4, 2025), the father appealed from an August 2024 Family Court order which, after a hearing, dismissed his March 2022 petition seeking a finding that the mother had willfully violated a 2019 order (sole legal and primary custody to mother, supervised o</w:t>
      </w:r>
      <w:r w:rsidR="00375621">
        <w:rPr>
          <w:rFonts w:ascii="Times New Roman" w:hAnsi="Times New Roman" w:cs="Times New Roman"/>
        </w:rPr>
        <w:t>r</w:t>
      </w:r>
      <w:r>
        <w:rPr>
          <w:rFonts w:ascii="Times New Roman" w:hAnsi="Times New Roman" w:cs="Times New Roman"/>
        </w:rPr>
        <w:t xml:space="preserve"> therapeutic time to the father) pertaining to the parties’ children born in 2013 and 2016. The Third Department affirmed, observing that “the parties could not agree on an individual or provider to supervise” the father’s time. The father’s petition alleged that the mother “was unreasonably refusing to approve any of the supervisors o</w:t>
      </w:r>
      <w:r w:rsidR="00375621">
        <w:rPr>
          <w:rFonts w:ascii="Times New Roman" w:hAnsi="Times New Roman" w:cs="Times New Roman"/>
        </w:rPr>
        <w:t>r</w:t>
      </w:r>
      <w:r>
        <w:rPr>
          <w:rFonts w:ascii="Times New Roman" w:hAnsi="Times New Roman" w:cs="Times New Roman"/>
        </w:rPr>
        <w:t xml:space="preserve"> providers that he had proposed.” The Appellate Division noted</w:t>
      </w:r>
      <w:r w:rsidRPr="00570D5B">
        <w:rPr>
          <w:rFonts w:ascii="Times New Roman" w:hAnsi="Times New Roman" w:cs="Times New Roman"/>
        </w:rPr>
        <w:t xml:space="preserve">: “When asked why he rejected the individuals that the mother proposed, the father testified that each of them </w:t>
      </w:r>
      <w:proofErr w:type="gramStart"/>
      <w:r w:rsidRPr="00570D5B">
        <w:rPr>
          <w:rFonts w:ascii="Times New Roman" w:hAnsi="Times New Roman" w:cs="Times New Roman"/>
        </w:rPr>
        <w:t>were</w:t>
      </w:r>
      <w:proofErr w:type="gramEnd"/>
      <w:r w:rsidRPr="00570D5B">
        <w:rPr>
          <w:rFonts w:ascii="Times New Roman" w:hAnsi="Times New Roman" w:cs="Times New Roman"/>
        </w:rPr>
        <w:t xml:space="preserve"> either, or a combination of, the following: a liar, mentally sick, racist, fraudulent therapeutic therapists, evil or biased just like the mother. In contrast, the mother testified that she declined the individuals proposed by the father because one </w:t>
      </w:r>
      <w:proofErr w:type="gramStart"/>
      <w:r w:rsidRPr="00570D5B">
        <w:rPr>
          <w:rFonts w:ascii="Times New Roman" w:hAnsi="Times New Roman" w:cs="Times New Roman"/>
        </w:rPr>
        <w:t>was located in</w:t>
      </w:r>
      <w:proofErr w:type="gramEnd"/>
      <w:r w:rsidRPr="00570D5B">
        <w:rPr>
          <w:rFonts w:ascii="Times New Roman" w:hAnsi="Times New Roman" w:cs="Times New Roman"/>
        </w:rPr>
        <w:t xml:space="preserve"> Utah that the father had never spoken to and would only be able to supervise sessions virtually, one was the father's ex-girlfriend who had no experience with therapeutic visitation, and another had no experience with either supervised or therapeutic visitation. She further testified that, after consulting with one of the children's healthcare providers, therapeutic supervision with a professional and a formal re-introduction between the children and the father would be the most appropriate setting to resume parenting time with him — particularly given the special needs of one of the children, the length of time since the father had last seen the children, and due to the father's prior conduct during his parenting time where he would berate them. The mother further explained that she remained willing to split the costs, and had even proposed another individual that would not charge, but that the father refused to pay and ultimately told her to stop contacting him because he moved to another country in South Asia.</w:t>
      </w:r>
      <w:r>
        <w:rPr>
          <w:rFonts w:ascii="Times New Roman" w:hAnsi="Times New Roman" w:cs="Times New Roman"/>
        </w:rPr>
        <w:t xml:space="preserve"> (Internal quotation marks omitted).” The Court concluded that it was “</w:t>
      </w:r>
      <w:r w:rsidRPr="00570D5B">
        <w:rPr>
          <w:rFonts w:ascii="Times New Roman" w:hAnsi="Times New Roman" w:cs="Times New Roman"/>
        </w:rPr>
        <w:t xml:space="preserve">satisfied that the record supports, that the mother's actions were not intended to defeat, impair, impede or prejudice the father's rights. Indeed, a violation does not arise from a failure of the parties to agree </w:t>
      </w:r>
      <w:r>
        <w:rPr>
          <w:rFonts w:ascii="Times New Roman" w:hAnsi="Times New Roman" w:cs="Times New Roman"/>
        </w:rPr>
        <w:t>(citations omitted).”</w:t>
      </w:r>
    </w:p>
    <w:p w14:paraId="243FE010" w14:textId="77777777" w:rsidR="00243BBC" w:rsidRDefault="00243BBC" w:rsidP="00022EF5">
      <w:pPr>
        <w:pStyle w:val="Heading1"/>
        <w:numPr>
          <w:ilvl w:val="0"/>
          <w:numId w:val="0"/>
        </w:numPr>
        <w:spacing w:line="240" w:lineRule="auto"/>
        <w:contextualSpacing/>
        <w:jc w:val="both"/>
        <w:rPr>
          <w:rFonts w:ascii="Times New Roman" w:hAnsi="Times New Roman" w:cs="Times New Roman"/>
        </w:rPr>
      </w:pPr>
    </w:p>
    <w:p w14:paraId="4091971A" w14:textId="7BF4EE49" w:rsidR="00022EF5" w:rsidRDefault="00022EF5" w:rsidP="00022EF5">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Family Offense</w:t>
      </w:r>
      <w:r w:rsidRPr="00022EF5">
        <w:rPr>
          <w:rFonts w:ascii="Times New Roman" w:hAnsi="Times New Roman" w:cs="Times New Roman"/>
          <w:b/>
          <w:bCs/>
        </w:rPr>
        <w:t xml:space="preserve"> - Assault 2d and 3d, Criminal Obstruction, </w:t>
      </w:r>
      <w:proofErr w:type="gramStart"/>
      <w:r w:rsidRPr="00022EF5">
        <w:rPr>
          <w:rFonts w:ascii="Times New Roman" w:hAnsi="Times New Roman" w:cs="Times New Roman"/>
          <w:b/>
          <w:bCs/>
        </w:rPr>
        <w:t>Menacing</w:t>
      </w:r>
      <w:proofErr w:type="gramEnd"/>
      <w:r w:rsidR="0085574B">
        <w:rPr>
          <w:rFonts w:ascii="Times New Roman" w:hAnsi="Times New Roman" w:cs="Times New Roman"/>
          <w:b/>
          <w:bCs/>
        </w:rPr>
        <w:t xml:space="preserve"> </w:t>
      </w:r>
      <w:r w:rsidRPr="00022EF5">
        <w:rPr>
          <w:rFonts w:ascii="Times New Roman" w:hAnsi="Times New Roman" w:cs="Times New Roman"/>
          <w:b/>
          <w:bCs/>
        </w:rPr>
        <w:t>3d, Harassment 1</w:t>
      </w:r>
      <w:r w:rsidRPr="00022EF5">
        <w:rPr>
          <w:rFonts w:ascii="Times New Roman" w:hAnsi="Times New Roman" w:cs="Times New Roman"/>
          <w:b/>
          <w:bCs/>
          <w:vertAlign w:val="superscript"/>
        </w:rPr>
        <w:t>st</w:t>
      </w:r>
      <w:r w:rsidRPr="00022EF5">
        <w:rPr>
          <w:rFonts w:ascii="Times New Roman" w:hAnsi="Times New Roman" w:cs="Times New Roman"/>
          <w:b/>
          <w:bCs/>
        </w:rPr>
        <w:t xml:space="preserve"> – Found; 5-year Order of Protection</w:t>
      </w:r>
    </w:p>
    <w:p w14:paraId="10E88E21" w14:textId="77777777" w:rsidR="00022EF5" w:rsidRPr="00590375" w:rsidRDefault="00022EF5" w:rsidP="00022EF5">
      <w:pPr>
        <w:pStyle w:val="Heading2"/>
        <w:numPr>
          <w:ilvl w:val="0"/>
          <w:numId w:val="0"/>
        </w:numPr>
        <w:spacing w:line="240" w:lineRule="auto"/>
        <w:jc w:val="both"/>
      </w:pPr>
    </w:p>
    <w:p w14:paraId="15D61628" w14:textId="2C5EA839" w:rsidR="00022EF5" w:rsidRDefault="00022EF5" w:rsidP="00022EF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022EF5">
        <w:rPr>
          <w:rFonts w:ascii="Times New Roman" w:hAnsi="Times New Roman" w:cs="Times New Roman"/>
          <w:b/>
          <w:bCs/>
          <w:i/>
          <w:iCs/>
        </w:rPr>
        <w:t>Matter of A.K. v. P.C.</w:t>
      </w:r>
      <w:r>
        <w:rPr>
          <w:rFonts w:ascii="Times New Roman" w:hAnsi="Times New Roman" w:cs="Times New Roman"/>
        </w:rPr>
        <w:t>, 2025 Westlaw 3454539 (1</w:t>
      </w:r>
      <w:r w:rsidRPr="00DC3758">
        <w:rPr>
          <w:rFonts w:ascii="Times New Roman" w:hAnsi="Times New Roman" w:cs="Times New Roman"/>
          <w:vertAlign w:val="superscript"/>
        </w:rPr>
        <w:t>st</w:t>
      </w:r>
      <w:r>
        <w:rPr>
          <w:rFonts w:ascii="Times New Roman" w:hAnsi="Times New Roman" w:cs="Times New Roman"/>
        </w:rPr>
        <w:t xml:space="preserve"> Dept. Dec. 2, 2025), the father </w:t>
      </w:r>
      <w:r>
        <w:rPr>
          <w:rFonts w:ascii="Times New Roman" w:hAnsi="Times New Roman" w:cs="Times New Roman"/>
        </w:rPr>
        <w:lastRenderedPageBreak/>
        <w:t>appealed from a January 2025 Family Court Order which, after a hearing, determined that he had committed: Assault 2d and 3d, Criminal Obstruction of Breathing or Blood Circulation, Menacing 3d, Harassment 1</w:t>
      </w:r>
      <w:r w:rsidRPr="00DC3758">
        <w:rPr>
          <w:rFonts w:ascii="Times New Roman" w:hAnsi="Times New Roman" w:cs="Times New Roman"/>
          <w:vertAlign w:val="superscript"/>
        </w:rPr>
        <w:t>st</w:t>
      </w:r>
      <w:r>
        <w:rPr>
          <w:rFonts w:ascii="Times New Roman" w:hAnsi="Times New Roman" w:cs="Times New Roman"/>
        </w:rPr>
        <w:t xml:space="preserve">, and issued a 5-year Order of Protection in favor of the mother and the parties’ child. The First Department affirmed, noting the mother testified that </w:t>
      </w:r>
      <w:r w:rsidRPr="00AD733F">
        <w:rPr>
          <w:rFonts w:ascii="Times New Roman" w:hAnsi="Times New Roman" w:cs="Times New Roman"/>
        </w:rPr>
        <w:t>“in July 2019, the father attacked her in an incinerator room, threatened her life, choked her and lifted her by the neck, slammed her head into the concrete wall multiple times, bit her finger, and stepped on her bare foot with his heavy construction boots, all while the parties' two-year-old child was outside in a hallway”; during “two incidents in 2021 *** the father slapped her during an argument and later threatened her life in their child's presence,” which “was sufficient to establish that the father committed the family offenses of assault in the second degree (Penal Law § 120.05[4]), assault in the third degree (Penal Law § 120.00[1]), menacing in the third degree (Penal Law § 120.15), and criminal obstruction of breathing or blood circulation (Penal Law § 121.11).” The Appellate Division observed that: the mother’s photographic evidence “</w:t>
      </w:r>
      <w:r w:rsidRPr="00DC3758">
        <w:rPr>
          <w:rFonts w:ascii="Times New Roman" w:hAnsi="Times New Roman" w:cs="Times New Roman"/>
        </w:rPr>
        <w:t>depicted wounds to her fingertip, a swollen and bloody lip, and a deep bruise to her toe</w:t>
      </w:r>
      <w:r w:rsidRPr="00AD733F">
        <w:rPr>
          <w:rFonts w:ascii="Times New Roman" w:hAnsi="Times New Roman" w:cs="Times New Roman"/>
        </w:rPr>
        <w:t>”; “</w:t>
      </w:r>
      <w:r w:rsidRPr="00DC3758">
        <w:rPr>
          <w:rFonts w:ascii="Times New Roman" w:hAnsi="Times New Roman" w:cs="Times New Roman"/>
        </w:rPr>
        <w:t>her medical records established that her toe had been fractured, causing her to suffer pain and ongoing impairment and ultimately requiring surgical repair</w:t>
      </w:r>
      <w:r w:rsidRPr="00AD733F">
        <w:rPr>
          <w:rFonts w:ascii="Times New Roman" w:hAnsi="Times New Roman" w:cs="Times New Roman"/>
        </w:rPr>
        <w:t>”; “</w:t>
      </w:r>
      <w:r w:rsidRPr="00DC3758">
        <w:rPr>
          <w:rFonts w:ascii="Times New Roman" w:hAnsi="Times New Roman" w:cs="Times New Roman"/>
        </w:rPr>
        <w:t>an email exchange with the father, sent days after the incident,</w:t>
      </w:r>
      <w:r w:rsidRPr="00AD733F">
        <w:rPr>
          <w:rFonts w:ascii="Times New Roman" w:hAnsi="Times New Roman" w:cs="Times New Roman"/>
        </w:rPr>
        <w:t xml:space="preserve"> *** [showed that the father] </w:t>
      </w:r>
      <w:r w:rsidRPr="00DC3758">
        <w:rPr>
          <w:rFonts w:ascii="Times New Roman" w:hAnsi="Times New Roman" w:cs="Times New Roman"/>
        </w:rPr>
        <w:t xml:space="preserve">apologized for harming the family, acknowledging that he had caused problems by </w:t>
      </w:r>
      <w:r w:rsidRPr="00AD733F">
        <w:rPr>
          <w:rFonts w:ascii="Times New Roman" w:hAnsi="Times New Roman" w:cs="Times New Roman"/>
        </w:rPr>
        <w:t>‘</w:t>
      </w:r>
      <w:r w:rsidRPr="00DC3758">
        <w:rPr>
          <w:rFonts w:ascii="Times New Roman" w:hAnsi="Times New Roman" w:cs="Times New Roman"/>
        </w:rPr>
        <w:t>putting hands</w:t>
      </w:r>
      <w:r w:rsidRPr="00AD733F">
        <w:rPr>
          <w:rFonts w:ascii="Times New Roman" w:hAnsi="Times New Roman" w:cs="Times New Roman"/>
        </w:rPr>
        <w:t>’</w:t>
      </w:r>
      <w:r w:rsidRPr="00DC3758">
        <w:rPr>
          <w:rFonts w:ascii="Times New Roman" w:hAnsi="Times New Roman" w:cs="Times New Roman"/>
        </w:rPr>
        <w:t xml:space="preserve"> on her</w:t>
      </w:r>
      <w:r w:rsidRPr="00AD733F">
        <w:rPr>
          <w:rFonts w:ascii="Times New Roman" w:hAnsi="Times New Roman" w:cs="Times New Roman"/>
        </w:rPr>
        <w:t xml:space="preserve">”; </w:t>
      </w:r>
      <w:r w:rsidRPr="00DC3758">
        <w:rPr>
          <w:rFonts w:ascii="Times New Roman" w:hAnsi="Times New Roman" w:cs="Times New Roman"/>
        </w:rPr>
        <w:t xml:space="preserve"> </w:t>
      </w:r>
      <w:r w:rsidRPr="00AD733F">
        <w:rPr>
          <w:rFonts w:ascii="Times New Roman" w:hAnsi="Times New Roman" w:cs="Times New Roman"/>
        </w:rPr>
        <w:t>and the fact that “</w:t>
      </w:r>
      <w:r w:rsidRPr="00DC3758">
        <w:rPr>
          <w:rFonts w:ascii="Times New Roman" w:hAnsi="Times New Roman" w:cs="Times New Roman"/>
        </w:rPr>
        <w:t>the mother did not immediately seek medical attention or report the 2019 incident does not discredit her testimony (</w:t>
      </w:r>
      <w:r w:rsidRPr="00AD733F">
        <w:rPr>
          <w:rFonts w:ascii="Times New Roman" w:hAnsi="Times New Roman" w:cs="Times New Roman"/>
        </w:rPr>
        <w:t>citations omitted). The Court concluded that “</w:t>
      </w:r>
      <w:r w:rsidRPr="00DC3758">
        <w:rPr>
          <w:rFonts w:ascii="Times New Roman" w:hAnsi="Times New Roman" w:cs="Times New Roman"/>
        </w:rPr>
        <w:t xml:space="preserve">Family Court providently exercised its discretion in finding aggravating circumstances warranting a five-year order of protection based on the father's July 2019 attack, which caused the mother to sustain both physical injury and serious physical injury </w:t>
      </w:r>
      <w:r w:rsidRPr="00AD733F">
        <w:rPr>
          <w:rFonts w:ascii="Times New Roman" w:hAnsi="Times New Roman" w:cs="Times New Roman"/>
        </w:rPr>
        <w:t>(citations omitted)” and</w:t>
      </w:r>
      <w:r w:rsidRPr="00DC3758">
        <w:rPr>
          <w:rFonts w:ascii="Times New Roman" w:hAnsi="Times New Roman" w:cs="Times New Roman"/>
        </w:rPr>
        <w:t xml:space="preserve"> </w:t>
      </w:r>
      <w:r w:rsidRPr="00AD733F">
        <w:rPr>
          <w:rFonts w:ascii="Times New Roman" w:hAnsi="Times New Roman" w:cs="Times New Roman"/>
        </w:rPr>
        <w:t>“</w:t>
      </w:r>
      <w:r w:rsidRPr="00DC3758">
        <w:rPr>
          <w:rFonts w:ascii="Times New Roman" w:hAnsi="Times New Roman" w:cs="Times New Roman"/>
        </w:rPr>
        <w:t>reasonably included the parties</w:t>
      </w:r>
      <w:r w:rsidRPr="00AD733F">
        <w:rPr>
          <w:rFonts w:ascii="Times New Roman" w:hAnsi="Times New Roman" w:cs="Times New Roman"/>
        </w:rPr>
        <w:t>’</w:t>
      </w:r>
      <w:r w:rsidRPr="00DC3758">
        <w:rPr>
          <w:rFonts w:ascii="Times New Roman" w:hAnsi="Times New Roman" w:cs="Times New Roman"/>
        </w:rPr>
        <w:t xml:space="preserve"> child in the order of protection, as the father committed violent acts and issued threats in the child's presence </w:t>
      </w:r>
      <w:r w:rsidRPr="00AD733F">
        <w:rPr>
          <w:rFonts w:ascii="Times New Roman" w:hAnsi="Times New Roman" w:cs="Times New Roman"/>
        </w:rPr>
        <w:t>(citations omitted).”</w:t>
      </w:r>
      <w:r>
        <w:rPr>
          <w:rFonts w:ascii="Times New Roman" w:hAnsi="Times New Roman" w:cs="Times New Roman"/>
        </w:rPr>
        <w:t xml:space="preserve"> The First Department did not specifically address the proof of Harassment 1</w:t>
      </w:r>
      <w:r w:rsidRPr="00AD733F">
        <w:rPr>
          <w:rFonts w:ascii="Times New Roman" w:hAnsi="Times New Roman" w:cs="Times New Roman"/>
          <w:vertAlign w:val="superscript"/>
        </w:rPr>
        <w:t>st</w:t>
      </w:r>
      <w:r>
        <w:rPr>
          <w:rFonts w:ascii="Times New Roman" w:hAnsi="Times New Roman" w:cs="Times New Roman"/>
        </w:rPr>
        <w:t>, other than stating that “[t]he mother established by a fair preponderance of the evidence that the father engaged in the family offenses alleged in the petition (citations omitted).”</w:t>
      </w:r>
    </w:p>
    <w:p w14:paraId="7C1C2BBD" w14:textId="77777777" w:rsidR="00022EF5" w:rsidRDefault="00022EF5" w:rsidP="00022EF5">
      <w:pPr>
        <w:pStyle w:val="Heading1"/>
        <w:numPr>
          <w:ilvl w:val="0"/>
          <w:numId w:val="0"/>
        </w:numPr>
        <w:spacing w:line="240" w:lineRule="auto"/>
        <w:contextualSpacing/>
        <w:jc w:val="both"/>
        <w:rPr>
          <w:rFonts w:ascii="Times New Roman" w:hAnsi="Times New Roman" w:cs="Times New Roman"/>
        </w:rPr>
      </w:pPr>
    </w:p>
    <w:p w14:paraId="28B5912E" w14:textId="77777777" w:rsidR="00022EF5" w:rsidRPr="00022EF5" w:rsidRDefault="00022EF5" w:rsidP="00022EF5">
      <w:pPr>
        <w:pStyle w:val="Heading2"/>
        <w:numPr>
          <w:ilvl w:val="0"/>
          <w:numId w:val="0"/>
        </w:numPr>
        <w:jc w:val="both"/>
        <w:rPr>
          <w:b/>
          <w:bCs/>
        </w:rPr>
      </w:pPr>
      <w:r w:rsidRPr="00022EF5">
        <w:rPr>
          <w:rFonts w:ascii="Times New Roman" w:hAnsi="Times New Roman" w:cs="Times New Roman"/>
          <w:b/>
          <w:bCs/>
        </w:rPr>
        <w:t>Family Offense - Assault 3d, Criminal Mischief 3d</w:t>
      </w:r>
    </w:p>
    <w:p w14:paraId="478AA9D7" w14:textId="463B3B2B" w:rsidR="00677776" w:rsidRDefault="00022EF5" w:rsidP="00D4629A">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022EF5">
        <w:rPr>
          <w:rFonts w:ascii="Times New Roman" w:hAnsi="Times New Roman" w:cs="Times New Roman"/>
          <w:b/>
          <w:bCs/>
          <w:i/>
          <w:iCs/>
        </w:rPr>
        <w:t>Matter of McCants-Baskin v. Mack</w:t>
      </w:r>
      <w:r>
        <w:rPr>
          <w:rFonts w:ascii="Times New Roman" w:hAnsi="Times New Roman" w:cs="Times New Roman"/>
        </w:rPr>
        <w:t>, 2025 Westlaw 3717978 (4</w:t>
      </w:r>
      <w:r w:rsidRPr="00DC3117">
        <w:rPr>
          <w:rFonts w:ascii="Times New Roman" w:hAnsi="Times New Roman" w:cs="Times New Roman"/>
          <w:vertAlign w:val="superscript"/>
        </w:rPr>
        <w:t>th</w:t>
      </w:r>
      <w:r>
        <w:rPr>
          <w:rFonts w:ascii="Times New Roman" w:hAnsi="Times New Roman" w:cs="Times New Roman"/>
        </w:rPr>
        <w:t xml:space="preserve"> Dept. Dec. 23, 2025), respondent appealed from a November 2023 Family Court order, which directed him to stay away from petitioner, based upon findings that he committed Assault 3d and Criminal Mischief 3d. The Fourth Department affirmed, noting: “</w:t>
      </w:r>
      <w:r w:rsidRPr="00DC3117">
        <w:rPr>
          <w:rFonts w:ascii="Times New Roman" w:hAnsi="Times New Roman" w:cs="Times New Roman"/>
        </w:rPr>
        <w:t xml:space="preserve">Petitioner testified that, during an altercation, respondent placed his fingers inside her cheeks and ripped her mouth open, causing bleeding. Petitioner further testified that she sought medical attention and was in severe pain for several months. Petitioner's testimony is sufficient to establish that respondent committed the family offense of assault in the third degree, including the element of physical injury </w:t>
      </w:r>
      <w:r>
        <w:rPr>
          <w:rFonts w:ascii="Times New Roman" w:hAnsi="Times New Roman" w:cs="Times New Roman"/>
        </w:rPr>
        <w:t xml:space="preserve">(citations omitted). </w:t>
      </w:r>
      <w:r w:rsidRPr="00DC3117">
        <w:rPr>
          <w:rFonts w:ascii="Times New Roman" w:hAnsi="Times New Roman" w:cs="Times New Roman"/>
        </w:rPr>
        <w:t>Petitioner further testified that respondent broke her television, valued at between $200 and $300, and damaged her apartment, resulting in the loss of her $700 security deposit. Her testimony is sufficient to establish that respondent committed the family offense of criminal mischief in the third degree, including the element of damage in the amount exceeding $250</w:t>
      </w:r>
      <w:r>
        <w:rPr>
          <w:rFonts w:ascii="Times New Roman" w:hAnsi="Times New Roman" w:cs="Times New Roman"/>
        </w:rPr>
        <w:t xml:space="preserve"> (citations omitted).”</w:t>
      </w:r>
    </w:p>
    <w:p w14:paraId="235557A4" w14:textId="77777777" w:rsidR="005A11BF" w:rsidRDefault="005A11BF" w:rsidP="00D4629A">
      <w:pPr>
        <w:pStyle w:val="Heading1"/>
        <w:numPr>
          <w:ilvl w:val="0"/>
          <w:numId w:val="0"/>
        </w:numPr>
        <w:spacing w:line="240" w:lineRule="auto"/>
        <w:contextualSpacing/>
        <w:jc w:val="both"/>
        <w:rPr>
          <w:rFonts w:ascii="Times New Roman" w:hAnsi="Times New Roman" w:cs="Times New Roman"/>
        </w:rPr>
      </w:pPr>
    </w:p>
    <w:p w14:paraId="463BB6C8" w14:textId="1A479779" w:rsidR="00022EF5" w:rsidRPr="00022EF5" w:rsidRDefault="00022EF5" w:rsidP="00022EF5">
      <w:pPr>
        <w:pStyle w:val="Heading2"/>
        <w:numPr>
          <w:ilvl w:val="0"/>
          <w:numId w:val="0"/>
        </w:numPr>
        <w:jc w:val="both"/>
        <w:rPr>
          <w:b/>
          <w:bCs/>
        </w:rPr>
      </w:pPr>
      <w:r w:rsidRPr="00022EF5">
        <w:rPr>
          <w:rFonts w:ascii="Times New Roman" w:hAnsi="Times New Roman" w:cs="Times New Roman"/>
          <w:b/>
          <w:bCs/>
        </w:rPr>
        <w:t>Family Offense – Disorderly Conduct and Harassment 2d – Not Found</w:t>
      </w:r>
    </w:p>
    <w:p w14:paraId="752234D2" w14:textId="7BDFFEE1" w:rsidR="00022EF5" w:rsidRDefault="00022EF5" w:rsidP="00022EF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022EF5">
        <w:rPr>
          <w:rFonts w:ascii="Times New Roman" w:hAnsi="Times New Roman" w:cs="Times New Roman"/>
          <w:b/>
          <w:bCs/>
          <w:i/>
          <w:iCs/>
        </w:rPr>
        <w:t>Matter of Riley v. Turner</w:t>
      </w:r>
      <w:r>
        <w:rPr>
          <w:rFonts w:ascii="Times New Roman" w:hAnsi="Times New Roman" w:cs="Times New Roman"/>
        </w:rPr>
        <w:t>, 2025 Westlaw 3717945 (4</w:t>
      </w:r>
      <w:r w:rsidRPr="00727B1E">
        <w:rPr>
          <w:rFonts w:ascii="Times New Roman" w:hAnsi="Times New Roman" w:cs="Times New Roman"/>
          <w:vertAlign w:val="superscript"/>
        </w:rPr>
        <w:t>th</w:t>
      </w:r>
      <w:r>
        <w:rPr>
          <w:rFonts w:ascii="Times New Roman" w:hAnsi="Times New Roman" w:cs="Times New Roman"/>
        </w:rPr>
        <w:t xml:space="preserve"> Dept. Dec. 23, 2025), the mother </w:t>
      </w:r>
      <w:r>
        <w:rPr>
          <w:rFonts w:ascii="Times New Roman" w:hAnsi="Times New Roman" w:cs="Times New Roman"/>
        </w:rPr>
        <w:lastRenderedPageBreak/>
        <w:t>appealed from a September 2024 Family Court order which, after a hearing, dismissed her family offense petition to the extent that it alleged that the father committed disorderly conduct and harassment 2d. The Fourth Department affirmed, holding that “</w:t>
      </w:r>
      <w:r w:rsidRPr="00727B1E">
        <w:rPr>
          <w:rFonts w:ascii="Times New Roman" w:hAnsi="Times New Roman" w:cs="Times New Roman"/>
        </w:rPr>
        <w:t>the record does not support the conclusion that</w:t>
      </w:r>
      <w:r>
        <w:rPr>
          <w:rFonts w:ascii="Times New Roman" w:hAnsi="Times New Roman" w:cs="Times New Roman"/>
        </w:rPr>
        <w:t xml:space="preserve"> [the father]</w:t>
      </w:r>
      <w:r w:rsidRPr="00727B1E">
        <w:rPr>
          <w:rFonts w:ascii="Times New Roman" w:hAnsi="Times New Roman" w:cs="Times New Roman"/>
        </w:rPr>
        <w:t xml:space="preserve">, in his attempts to have </w:t>
      </w:r>
      <w:r>
        <w:rPr>
          <w:rFonts w:ascii="Times New Roman" w:hAnsi="Times New Roman" w:cs="Times New Roman"/>
        </w:rPr>
        <w:t xml:space="preserve">[the mother] </w:t>
      </w:r>
      <w:r w:rsidRPr="00727B1E">
        <w:rPr>
          <w:rFonts w:ascii="Times New Roman" w:hAnsi="Times New Roman" w:cs="Times New Roman"/>
        </w:rPr>
        <w:t xml:space="preserve">allow him to hold their child during a church service pursuant to their established practice, </w:t>
      </w:r>
      <w:proofErr w:type="spellStart"/>
      <w:r w:rsidRPr="00727B1E">
        <w:rPr>
          <w:rFonts w:ascii="Times New Roman" w:hAnsi="Times New Roman" w:cs="Times New Roman"/>
        </w:rPr>
        <w:t>inten</w:t>
      </w:r>
      <w:proofErr w:type="spellEnd"/>
      <w:r w:rsidRPr="00727B1E">
        <w:rPr>
          <w:rFonts w:ascii="Times New Roman" w:hAnsi="Times New Roman" w:cs="Times New Roman"/>
        </w:rPr>
        <w:t>[</w:t>
      </w:r>
      <w:proofErr w:type="spellStart"/>
      <w:r w:rsidRPr="00727B1E">
        <w:rPr>
          <w:rFonts w:ascii="Times New Roman" w:hAnsi="Times New Roman" w:cs="Times New Roman"/>
        </w:rPr>
        <w:t>ded</w:t>
      </w:r>
      <w:proofErr w:type="spellEnd"/>
      <w:r w:rsidRPr="00727B1E">
        <w:rPr>
          <w:rFonts w:ascii="Times New Roman" w:hAnsi="Times New Roman" w:cs="Times New Roman"/>
        </w:rPr>
        <w:t>] to harass, annoy or alarm [</w:t>
      </w:r>
      <w:r>
        <w:rPr>
          <w:rFonts w:ascii="Times New Roman" w:hAnsi="Times New Roman" w:cs="Times New Roman"/>
        </w:rPr>
        <w:t>her</w:t>
      </w:r>
      <w:r w:rsidRPr="00727B1E">
        <w:rPr>
          <w:rFonts w:ascii="Times New Roman" w:hAnsi="Times New Roman" w:cs="Times New Roman"/>
        </w:rPr>
        <w:t xml:space="preserve">] or </w:t>
      </w:r>
      <w:proofErr w:type="spellStart"/>
      <w:r w:rsidRPr="00727B1E">
        <w:rPr>
          <w:rFonts w:ascii="Times New Roman" w:hAnsi="Times New Roman" w:cs="Times New Roman"/>
        </w:rPr>
        <w:t>inten</w:t>
      </w:r>
      <w:proofErr w:type="spellEnd"/>
      <w:r w:rsidRPr="00727B1E">
        <w:rPr>
          <w:rFonts w:ascii="Times New Roman" w:hAnsi="Times New Roman" w:cs="Times New Roman"/>
        </w:rPr>
        <w:t>[</w:t>
      </w:r>
      <w:proofErr w:type="spellStart"/>
      <w:r w:rsidRPr="00727B1E">
        <w:rPr>
          <w:rFonts w:ascii="Times New Roman" w:hAnsi="Times New Roman" w:cs="Times New Roman"/>
        </w:rPr>
        <w:t>ded</w:t>
      </w:r>
      <w:proofErr w:type="spellEnd"/>
      <w:r w:rsidRPr="00727B1E">
        <w:rPr>
          <w:rFonts w:ascii="Times New Roman" w:hAnsi="Times New Roman" w:cs="Times New Roman"/>
        </w:rPr>
        <w:t xml:space="preserve">] to cause public inconvenience, annoyance or alarm, or recklessly </w:t>
      </w:r>
      <w:proofErr w:type="spellStart"/>
      <w:r w:rsidRPr="00727B1E">
        <w:rPr>
          <w:rFonts w:ascii="Times New Roman" w:hAnsi="Times New Roman" w:cs="Times New Roman"/>
        </w:rPr>
        <w:t>creat</w:t>
      </w:r>
      <w:proofErr w:type="spellEnd"/>
      <w:r w:rsidRPr="00727B1E">
        <w:rPr>
          <w:rFonts w:ascii="Times New Roman" w:hAnsi="Times New Roman" w:cs="Times New Roman"/>
        </w:rPr>
        <w:t>[ed] a risk thereof (</w:t>
      </w:r>
      <w:r>
        <w:rPr>
          <w:rFonts w:ascii="Times New Roman" w:hAnsi="Times New Roman" w:cs="Times New Roman"/>
        </w:rPr>
        <w:t>internal quotation marks and citations omitted).”</w:t>
      </w:r>
    </w:p>
    <w:p w14:paraId="2FEFA63B" w14:textId="77777777" w:rsidR="00022EF5" w:rsidRDefault="00022EF5" w:rsidP="00022EF5">
      <w:pPr>
        <w:pStyle w:val="Heading1"/>
        <w:numPr>
          <w:ilvl w:val="0"/>
          <w:numId w:val="0"/>
        </w:numPr>
        <w:spacing w:line="240" w:lineRule="auto"/>
        <w:contextualSpacing/>
        <w:jc w:val="both"/>
        <w:rPr>
          <w:rFonts w:ascii="Times New Roman" w:hAnsi="Times New Roman" w:cs="Times New Roman"/>
        </w:rPr>
      </w:pPr>
    </w:p>
    <w:p w14:paraId="7B759943" w14:textId="77777777" w:rsidR="00022EF5" w:rsidRPr="00022EF5" w:rsidRDefault="00022EF5" w:rsidP="00022EF5">
      <w:pPr>
        <w:pStyle w:val="Heading2"/>
        <w:numPr>
          <w:ilvl w:val="0"/>
          <w:numId w:val="0"/>
        </w:numPr>
        <w:jc w:val="both"/>
        <w:rPr>
          <w:b/>
          <w:bCs/>
        </w:rPr>
      </w:pPr>
      <w:r w:rsidRPr="00022EF5">
        <w:rPr>
          <w:rFonts w:ascii="Times New Roman" w:hAnsi="Times New Roman" w:cs="Times New Roman"/>
          <w:b/>
          <w:bCs/>
        </w:rPr>
        <w:t>Family Offense - Harassment 2d – Dismissed</w:t>
      </w:r>
    </w:p>
    <w:p w14:paraId="5AC2A779" w14:textId="6C57F779" w:rsidR="004B14D5" w:rsidRDefault="00022EF5" w:rsidP="00243BBC">
      <w:pPr>
        <w:pStyle w:val="Heading1"/>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022EF5">
        <w:rPr>
          <w:rFonts w:ascii="Times New Roman" w:hAnsi="Times New Roman" w:cs="Times New Roman"/>
          <w:b/>
          <w:bCs/>
          <w:i/>
          <w:iCs/>
        </w:rPr>
        <w:t>Matter of I.M. v. I.M.</w:t>
      </w:r>
      <w:r>
        <w:rPr>
          <w:rFonts w:ascii="Times New Roman" w:hAnsi="Times New Roman" w:cs="Times New Roman"/>
        </w:rPr>
        <w:t>, 2025 Westlaw 3454531 (1</w:t>
      </w:r>
      <w:r w:rsidRPr="009343A7">
        <w:rPr>
          <w:rFonts w:ascii="Times New Roman" w:hAnsi="Times New Roman" w:cs="Times New Roman"/>
          <w:vertAlign w:val="superscript"/>
        </w:rPr>
        <w:t>st</w:t>
      </w:r>
      <w:r>
        <w:rPr>
          <w:rFonts w:ascii="Times New Roman" w:hAnsi="Times New Roman" w:cs="Times New Roman"/>
        </w:rPr>
        <w:t xml:space="preserve"> Dept. Dec. 2, 2025), petitioner son appealed from a January 2025 Family Court order which, after a hearing, dismissed his family offense petition against respondent, his father, and vacated all orders of protection issued pursuant to his petition. The First Department affirmed, holding that the son failed “</w:t>
      </w:r>
      <w:r w:rsidRPr="009343A7">
        <w:rPr>
          <w:rFonts w:ascii="Times New Roman" w:hAnsi="Times New Roman" w:cs="Times New Roman"/>
        </w:rPr>
        <w:t>to establish by a preponderance of the evidence that respondent's actions constituted the family offense of harassment in the second degree (</w:t>
      </w:r>
      <w:r>
        <w:rPr>
          <w:rFonts w:ascii="Times New Roman" w:hAnsi="Times New Roman" w:cs="Times New Roman"/>
        </w:rPr>
        <w:t>citations omitted)” and similarly failed to establish that the</w:t>
      </w:r>
      <w:r w:rsidRPr="009343A7">
        <w:rPr>
          <w:rFonts w:ascii="Times New Roman" w:hAnsi="Times New Roman" w:cs="Times New Roman"/>
        </w:rPr>
        <w:t xml:space="preserve"> father</w:t>
      </w:r>
      <w:r>
        <w:rPr>
          <w:rFonts w:ascii="Times New Roman" w:hAnsi="Times New Roman" w:cs="Times New Roman"/>
        </w:rPr>
        <w:t xml:space="preserve"> “</w:t>
      </w:r>
      <w:r w:rsidRPr="009343A7">
        <w:rPr>
          <w:rFonts w:ascii="Times New Roman" w:hAnsi="Times New Roman" w:cs="Times New Roman"/>
        </w:rPr>
        <w:t>engaged in a course of conduct that was intended to harass, annoy, or alarm petitioner, or that respondent's conduct served no legitimate purpose (</w:t>
      </w:r>
      <w:r>
        <w:rPr>
          <w:rFonts w:ascii="Times New Roman" w:hAnsi="Times New Roman" w:cs="Times New Roman"/>
        </w:rPr>
        <w:t>citations omitted).” The Appellate Division further observed that: the son’s testimony that the father, with whom he was living “</w:t>
      </w:r>
      <w:r w:rsidRPr="009343A7">
        <w:rPr>
          <w:rFonts w:ascii="Times New Roman" w:hAnsi="Times New Roman" w:cs="Times New Roman"/>
        </w:rPr>
        <w:t>intercepted his mail between November 2021 and March 2022 was not sufficient, without more, to establish that respondent had engaged in the requisite course of conduct to warrant a finding of harassment in the second degree</w:t>
      </w:r>
      <w:r>
        <w:rPr>
          <w:rFonts w:ascii="Times New Roman" w:hAnsi="Times New Roman" w:cs="Times New Roman"/>
        </w:rPr>
        <w:t>” while noting that “</w:t>
      </w:r>
      <w:r w:rsidRPr="009343A7">
        <w:rPr>
          <w:rFonts w:ascii="Times New Roman" w:hAnsi="Times New Roman" w:cs="Times New Roman"/>
        </w:rPr>
        <w:t xml:space="preserve">because the parties have the same first name and surname, and the mail </w:t>
      </w:r>
      <w:r>
        <w:rPr>
          <w:rFonts w:ascii="Times New Roman" w:hAnsi="Times New Roman" w:cs="Times New Roman"/>
        </w:rPr>
        <w:t xml:space="preserve">that [the father] </w:t>
      </w:r>
      <w:r w:rsidRPr="009343A7">
        <w:rPr>
          <w:rFonts w:ascii="Times New Roman" w:hAnsi="Times New Roman" w:cs="Times New Roman"/>
        </w:rPr>
        <w:t xml:space="preserve"> is alleged to have improperly opened did not specify whether it was addressed to </w:t>
      </w:r>
      <w:r>
        <w:rPr>
          <w:rFonts w:ascii="Times New Roman" w:hAnsi="Times New Roman" w:cs="Times New Roman"/>
        </w:rPr>
        <w:t>‘</w:t>
      </w:r>
      <w:r w:rsidRPr="009343A7">
        <w:rPr>
          <w:rFonts w:ascii="Times New Roman" w:hAnsi="Times New Roman" w:cs="Times New Roman"/>
        </w:rPr>
        <w:t>Jr.</w:t>
      </w:r>
      <w:r>
        <w:rPr>
          <w:rFonts w:ascii="Times New Roman" w:hAnsi="Times New Roman" w:cs="Times New Roman"/>
        </w:rPr>
        <w:t>”</w:t>
      </w:r>
      <w:r w:rsidRPr="009343A7">
        <w:rPr>
          <w:rFonts w:ascii="Times New Roman" w:hAnsi="Times New Roman" w:cs="Times New Roman"/>
        </w:rPr>
        <w:t xml:space="preserve"> or </w:t>
      </w:r>
      <w:r>
        <w:rPr>
          <w:rFonts w:ascii="Times New Roman" w:hAnsi="Times New Roman" w:cs="Times New Roman"/>
        </w:rPr>
        <w:t>‘</w:t>
      </w:r>
      <w:r w:rsidRPr="009343A7">
        <w:rPr>
          <w:rFonts w:ascii="Times New Roman" w:hAnsi="Times New Roman" w:cs="Times New Roman"/>
        </w:rPr>
        <w:t>Sr.</w:t>
      </w:r>
      <w:r>
        <w:rPr>
          <w:rFonts w:ascii="Times New Roman" w:hAnsi="Times New Roman" w:cs="Times New Roman"/>
        </w:rPr>
        <w:t>’,” the son “</w:t>
      </w:r>
      <w:r w:rsidRPr="009343A7">
        <w:rPr>
          <w:rFonts w:ascii="Times New Roman" w:hAnsi="Times New Roman" w:cs="Times New Roman"/>
        </w:rPr>
        <w:t xml:space="preserve">did not establish that </w:t>
      </w:r>
      <w:r>
        <w:rPr>
          <w:rFonts w:ascii="Times New Roman" w:hAnsi="Times New Roman" w:cs="Times New Roman"/>
        </w:rPr>
        <w:t xml:space="preserve">[the father] </w:t>
      </w:r>
      <w:r w:rsidRPr="009343A7">
        <w:rPr>
          <w:rFonts w:ascii="Times New Roman" w:hAnsi="Times New Roman" w:cs="Times New Roman"/>
        </w:rPr>
        <w:t>did not have a legitimate purpose for opening the mail</w:t>
      </w:r>
      <w:r>
        <w:rPr>
          <w:rFonts w:ascii="Times New Roman" w:hAnsi="Times New Roman" w:cs="Times New Roman"/>
        </w:rPr>
        <w:t>”;  “</w:t>
      </w:r>
      <w:r w:rsidRPr="009343A7">
        <w:rPr>
          <w:rFonts w:ascii="Times New Roman" w:hAnsi="Times New Roman" w:cs="Times New Roman"/>
        </w:rPr>
        <w:t xml:space="preserve">although </w:t>
      </w:r>
      <w:r>
        <w:rPr>
          <w:rFonts w:ascii="Times New Roman" w:hAnsi="Times New Roman" w:cs="Times New Roman"/>
        </w:rPr>
        <w:t xml:space="preserve">[the son] </w:t>
      </w:r>
      <w:r w:rsidRPr="009343A7">
        <w:rPr>
          <w:rFonts w:ascii="Times New Roman" w:hAnsi="Times New Roman" w:cs="Times New Roman"/>
        </w:rPr>
        <w:t xml:space="preserve">testified that </w:t>
      </w:r>
      <w:r>
        <w:rPr>
          <w:rFonts w:ascii="Times New Roman" w:hAnsi="Times New Roman" w:cs="Times New Roman"/>
        </w:rPr>
        <w:t>[the father]</w:t>
      </w:r>
      <w:r w:rsidRPr="009343A7">
        <w:rPr>
          <w:rFonts w:ascii="Times New Roman" w:hAnsi="Times New Roman" w:cs="Times New Roman"/>
        </w:rPr>
        <w:t xml:space="preserve"> posted a notice asking </w:t>
      </w:r>
      <w:r>
        <w:rPr>
          <w:rFonts w:ascii="Times New Roman" w:hAnsi="Times New Roman" w:cs="Times New Roman"/>
        </w:rPr>
        <w:t xml:space="preserve">[him] </w:t>
      </w:r>
      <w:r w:rsidRPr="009343A7">
        <w:rPr>
          <w:rFonts w:ascii="Times New Roman" w:hAnsi="Times New Roman" w:cs="Times New Roman"/>
        </w:rPr>
        <w:t xml:space="preserve">to vacate </w:t>
      </w:r>
      <w:r>
        <w:rPr>
          <w:rFonts w:ascii="Times New Roman" w:hAnsi="Times New Roman" w:cs="Times New Roman"/>
        </w:rPr>
        <w:t>[the father’s]</w:t>
      </w:r>
      <w:r w:rsidRPr="009343A7">
        <w:rPr>
          <w:rFonts w:ascii="Times New Roman" w:hAnsi="Times New Roman" w:cs="Times New Roman"/>
        </w:rPr>
        <w:t xml:space="preserve"> apartment on November 8, 2021, and that he later posted two more notices telling </w:t>
      </w:r>
      <w:r>
        <w:rPr>
          <w:rFonts w:ascii="Times New Roman" w:hAnsi="Times New Roman" w:cs="Times New Roman"/>
        </w:rPr>
        <w:t>[the son]</w:t>
      </w:r>
      <w:r w:rsidRPr="009343A7">
        <w:rPr>
          <w:rFonts w:ascii="Times New Roman" w:hAnsi="Times New Roman" w:cs="Times New Roman"/>
        </w:rPr>
        <w:t xml:space="preserve"> that the utilities were going to be shut off, none of the evidence suggests that </w:t>
      </w:r>
      <w:r>
        <w:rPr>
          <w:rFonts w:ascii="Times New Roman" w:hAnsi="Times New Roman" w:cs="Times New Roman"/>
        </w:rPr>
        <w:t xml:space="preserve">[the father] </w:t>
      </w:r>
      <w:r w:rsidRPr="009343A7">
        <w:rPr>
          <w:rFonts w:ascii="Times New Roman" w:hAnsi="Times New Roman" w:cs="Times New Roman"/>
        </w:rPr>
        <w:t>had no legitimate purpose for communicating that information</w:t>
      </w:r>
      <w:r>
        <w:rPr>
          <w:rFonts w:ascii="Times New Roman" w:hAnsi="Times New Roman" w:cs="Times New Roman"/>
        </w:rPr>
        <w:t>”; the son</w:t>
      </w:r>
      <w:r w:rsidRPr="009343A7">
        <w:rPr>
          <w:rFonts w:ascii="Times New Roman" w:hAnsi="Times New Roman" w:cs="Times New Roman"/>
        </w:rPr>
        <w:t xml:space="preserve"> </w:t>
      </w:r>
      <w:r>
        <w:rPr>
          <w:rFonts w:ascii="Times New Roman" w:hAnsi="Times New Roman" w:cs="Times New Roman"/>
        </w:rPr>
        <w:t>“</w:t>
      </w:r>
      <w:r w:rsidRPr="009343A7">
        <w:rPr>
          <w:rFonts w:ascii="Times New Roman" w:hAnsi="Times New Roman" w:cs="Times New Roman"/>
        </w:rPr>
        <w:t xml:space="preserve">failed to establish that </w:t>
      </w:r>
      <w:r>
        <w:rPr>
          <w:rFonts w:ascii="Times New Roman" w:hAnsi="Times New Roman" w:cs="Times New Roman"/>
        </w:rPr>
        <w:t xml:space="preserve">[the father] </w:t>
      </w:r>
      <w:r w:rsidRPr="009343A7">
        <w:rPr>
          <w:rFonts w:ascii="Times New Roman" w:hAnsi="Times New Roman" w:cs="Times New Roman"/>
        </w:rPr>
        <w:t xml:space="preserve">did not summon the police to the apartment for the legitimate purpose of trying to recover his missing property, nor did his testimony demonstrate that </w:t>
      </w:r>
      <w:r>
        <w:rPr>
          <w:rFonts w:ascii="Times New Roman" w:hAnsi="Times New Roman" w:cs="Times New Roman"/>
        </w:rPr>
        <w:t>[the father</w:t>
      </w:r>
      <w:r w:rsidRPr="009343A7">
        <w:rPr>
          <w:rFonts w:ascii="Times New Roman" w:hAnsi="Times New Roman" w:cs="Times New Roman"/>
        </w:rPr>
        <w:t>'s</w:t>
      </w:r>
      <w:r>
        <w:rPr>
          <w:rFonts w:ascii="Times New Roman" w:hAnsi="Times New Roman" w:cs="Times New Roman"/>
        </w:rPr>
        <w:t>]</w:t>
      </w:r>
      <w:r w:rsidRPr="009343A7">
        <w:rPr>
          <w:rFonts w:ascii="Times New Roman" w:hAnsi="Times New Roman" w:cs="Times New Roman"/>
        </w:rPr>
        <w:t xml:space="preserve"> action of calling the police established the requisite course of conduct to prove harassment in the second degree (Penal Law § 240.26[3])</w:t>
      </w:r>
      <w:r>
        <w:rPr>
          <w:rFonts w:ascii="Times New Roman" w:hAnsi="Times New Roman" w:cs="Times New Roman"/>
        </w:rPr>
        <w:t>”; and the son’s</w:t>
      </w:r>
      <w:r w:rsidRPr="009343A7">
        <w:rPr>
          <w:rFonts w:ascii="Times New Roman" w:hAnsi="Times New Roman" w:cs="Times New Roman"/>
        </w:rPr>
        <w:t xml:space="preserve"> testimony that </w:t>
      </w:r>
      <w:r>
        <w:rPr>
          <w:rFonts w:ascii="Times New Roman" w:hAnsi="Times New Roman" w:cs="Times New Roman"/>
        </w:rPr>
        <w:t xml:space="preserve">“[the father] </w:t>
      </w:r>
      <w:r w:rsidRPr="009343A7">
        <w:rPr>
          <w:rFonts w:ascii="Times New Roman" w:hAnsi="Times New Roman" w:cs="Times New Roman"/>
        </w:rPr>
        <w:t xml:space="preserve">was playing loud music, turning the television up to a loud volume, banging the wall, and taking the metal burners off the stove so that </w:t>
      </w:r>
      <w:r>
        <w:rPr>
          <w:rFonts w:ascii="Times New Roman" w:hAnsi="Times New Roman" w:cs="Times New Roman"/>
        </w:rPr>
        <w:t xml:space="preserve">[the son] </w:t>
      </w:r>
      <w:r w:rsidRPr="009343A7">
        <w:rPr>
          <w:rFonts w:ascii="Times New Roman" w:hAnsi="Times New Roman" w:cs="Times New Roman"/>
        </w:rPr>
        <w:t>could not cook, does not, without more, rise to the level of harassment in the second degree</w:t>
      </w:r>
      <w:r>
        <w:rPr>
          <w:rFonts w:ascii="Times New Roman" w:hAnsi="Times New Roman" w:cs="Times New Roman"/>
        </w:rPr>
        <w:t>.”</w:t>
      </w:r>
    </w:p>
    <w:p w14:paraId="21D9DA3F" w14:textId="77777777" w:rsidR="004B14D5" w:rsidRDefault="004B14D5" w:rsidP="00620B69">
      <w:pPr>
        <w:pStyle w:val="Heading2"/>
        <w:numPr>
          <w:ilvl w:val="0"/>
          <w:numId w:val="0"/>
        </w:numPr>
        <w:spacing w:line="240" w:lineRule="auto"/>
        <w:contextualSpacing/>
        <w:jc w:val="both"/>
        <w:rPr>
          <w:rFonts w:ascii="Times New Roman" w:hAnsi="Times New Roman" w:cs="Times New Roman"/>
          <w:b/>
          <w:bCs/>
        </w:rPr>
      </w:pPr>
    </w:p>
    <w:p w14:paraId="1C2E4C1C" w14:textId="76B5CFBD" w:rsidR="00D4629A" w:rsidRDefault="00D4629A" w:rsidP="00620B69">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 xml:space="preserve">Family Offense – Intimate Relationship </w:t>
      </w:r>
      <w:r w:rsidRPr="00D4629A">
        <w:rPr>
          <w:rFonts w:ascii="Times New Roman" w:hAnsi="Times New Roman" w:cs="Times New Roman"/>
          <w:b/>
          <w:bCs/>
        </w:rPr>
        <w:t>– Dismissal Without Hearing Reversed</w:t>
      </w:r>
    </w:p>
    <w:p w14:paraId="46CB9232" w14:textId="77777777" w:rsidR="00D4629A" w:rsidRDefault="00D4629A" w:rsidP="00620B69">
      <w:pPr>
        <w:pStyle w:val="Heading2"/>
        <w:numPr>
          <w:ilvl w:val="0"/>
          <w:numId w:val="0"/>
        </w:numPr>
        <w:spacing w:line="240" w:lineRule="auto"/>
        <w:contextualSpacing/>
        <w:jc w:val="both"/>
        <w:rPr>
          <w:rFonts w:ascii="Times New Roman" w:hAnsi="Times New Roman" w:cs="Times New Roman"/>
          <w:b/>
          <w:bCs/>
        </w:rPr>
      </w:pPr>
    </w:p>
    <w:p w14:paraId="465FA3AE" w14:textId="1A4680F5" w:rsidR="00D4629A" w:rsidRDefault="00D4629A" w:rsidP="00620B69">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D4629A">
        <w:rPr>
          <w:rFonts w:ascii="Times New Roman" w:hAnsi="Times New Roman" w:cs="Times New Roman"/>
          <w:b/>
          <w:bCs/>
          <w:i/>
          <w:iCs/>
        </w:rPr>
        <w:t>McCarra v Chiaramonte</w:t>
      </w:r>
      <w:r>
        <w:rPr>
          <w:rFonts w:ascii="Times New Roman" w:hAnsi="Times New Roman" w:cs="Times New Roman"/>
        </w:rPr>
        <w:t xml:space="preserve">, 2025 Westlaw 3768021 (3d Dept. Dec. 31, 2025), petitioner appealed from an August 2024 Family Court order which, without a hearing, dismissed her October 2023 petition alleging that respondent had committed identity theft against her in 2021-2022. The petition identified respondent as petitioner’s “uncle.” It was undisputed that there was no blood relationship, and that “respondent’s brother is married to petitioner’s mother’s sister.” In other words, respondent’s brother is an uncle by marriage to petitioner, and respondent is a brother-in-law of petitioner’s maternal aunt. Petitioner argued in opposition to dismissal that the parties had an “intimate relationship” as defined by FCA 812(1)(e), based upon her claim that she had </w:t>
      </w:r>
      <w:r>
        <w:rPr>
          <w:rFonts w:ascii="Times New Roman" w:hAnsi="Times New Roman" w:cs="Times New Roman"/>
        </w:rPr>
        <w:lastRenderedPageBreak/>
        <w:t>“grown up with [respondent] as an uncle figure,” and further, that “the parties attended family events together until 2021, when petitioner’s relationship with her family deteriorated.” In granting respondent’s oral motion to dismiss, Family Court explained that “even if the parties’ relationship was deemed intimate, the frequency of contact here is not such that it would rise to the level of a familiar relationship to allow for … a family offense.” (Internal quotation marks omitted).  The Third Department reversed, on the law, and remitted to Family Court, holding that “Family Court erred in summarily dismissing the petition.” The Appellate Division found “petitioner’s assertions that she had known respondent throughout her life, that he acted as an uncle figure who helped raise her and that she had frequent contact with him until 2021, sufficiently alleged a longstanding and direct association that, if credited, could constitute an intimate relationship as defined by the statute (internal quotation marks and citation omitted).” The Court concluded that “Family Court failed to employ the multifactorial inquiry prescribed by the Legislature *** [and] should have conducted a hearing ***.” (Internal quotation marks and citation omitted).</w:t>
      </w:r>
    </w:p>
    <w:p w14:paraId="775770F8" w14:textId="77777777" w:rsidR="00D4629A" w:rsidRDefault="00D4629A" w:rsidP="00620B69">
      <w:pPr>
        <w:pStyle w:val="Heading2"/>
        <w:numPr>
          <w:ilvl w:val="0"/>
          <w:numId w:val="0"/>
        </w:numPr>
        <w:spacing w:line="240" w:lineRule="auto"/>
        <w:contextualSpacing/>
        <w:jc w:val="both"/>
        <w:rPr>
          <w:rFonts w:ascii="Times New Roman" w:hAnsi="Times New Roman" w:cs="Times New Roman"/>
          <w:b/>
          <w:bCs/>
        </w:rPr>
      </w:pPr>
    </w:p>
    <w:p w14:paraId="02259D4D" w14:textId="372A9308" w:rsidR="00022EF5" w:rsidRDefault="00022EF5" w:rsidP="00620B69">
      <w:pPr>
        <w:pStyle w:val="Heading2"/>
        <w:numPr>
          <w:ilvl w:val="0"/>
          <w:numId w:val="0"/>
        </w:numPr>
        <w:spacing w:line="240" w:lineRule="auto"/>
        <w:contextualSpacing/>
        <w:jc w:val="both"/>
        <w:rPr>
          <w:rFonts w:ascii="Times New Roman" w:hAnsi="Times New Roman" w:cs="Times New Roman"/>
          <w:b/>
          <w:bCs/>
        </w:rPr>
      </w:pPr>
      <w:r w:rsidRPr="00620B69">
        <w:rPr>
          <w:rFonts w:ascii="Times New Roman" w:hAnsi="Times New Roman" w:cs="Times New Roman"/>
          <w:b/>
          <w:bCs/>
        </w:rPr>
        <w:t>Pendente Lite - Counsel Fees, Household Expenses, Prenuptial Agreement Terms Followed, Vacatur of Automatic Stay – Reversed</w:t>
      </w:r>
    </w:p>
    <w:p w14:paraId="3A38D30D" w14:textId="77777777" w:rsidR="00620B69" w:rsidRPr="00620B69" w:rsidRDefault="00620B69" w:rsidP="00620B69">
      <w:pPr>
        <w:pStyle w:val="Heading2"/>
        <w:numPr>
          <w:ilvl w:val="0"/>
          <w:numId w:val="0"/>
        </w:numPr>
        <w:spacing w:line="240" w:lineRule="auto"/>
        <w:contextualSpacing/>
        <w:rPr>
          <w:b/>
          <w:bCs/>
        </w:rPr>
      </w:pPr>
    </w:p>
    <w:p w14:paraId="4DFFE27D" w14:textId="020C0943" w:rsidR="004B14D5" w:rsidRDefault="00022EF5" w:rsidP="00243BBC">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Pr="004212A0">
        <w:rPr>
          <w:rFonts w:ascii="Times New Roman" w:hAnsi="Times New Roman" w:cs="Times New Roman"/>
        </w:rPr>
        <w:t xml:space="preserve">In </w:t>
      </w:r>
      <w:r w:rsidRPr="00620B69">
        <w:rPr>
          <w:rFonts w:ascii="Times New Roman" w:hAnsi="Times New Roman" w:cs="Times New Roman"/>
          <w:b/>
          <w:bCs/>
          <w:i/>
          <w:iCs/>
        </w:rPr>
        <w:t>Panos v. Panos</w:t>
      </w:r>
      <w:r w:rsidRPr="004212A0">
        <w:rPr>
          <w:rFonts w:ascii="Times New Roman" w:hAnsi="Times New Roman" w:cs="Times New Roman"/>
        </w:rPr>
        <w:t>, 2025 Westlaw</w:t>
      </w:r>
      <w:r>
        <w:rPr>
          <w:rFonts w:ascii="Times New Roman" w:hAnsi="Times New Roman" w:cs="Times New Roman"/>
        </w:rPr>
        <w:t xml:space="preserve"> 3520879</w:t>
      </w:r>
      <w:r w:rsidRPr="004212A0">
        <w:rPr>
          <w:rFonts w:ascii="Times New Roman" w:hAnsi="Times New Roman" w:cs="Times New Roman"/>
        </w:rPr>
        <w:t xml:space="preserve"> (1</w:t>
      </w:r>
      <w:r w:rsidRPr="004212A0">
        <w:rPr>
          <w:rFonts w:ascii="Times New Roman" w:hAnsi="Times New Roman" w:cs="Times New Roman"/>
          <w:vertAlign w:val="superscript"/>
        </w:rPr>
        <w:t>st</w:t>
      </w:r>
      <w:r w:rsidRPr="004212A0">
        <w:rPr>
          <w:rFonts w:ascii="Times New Roman" w:hAnsi="Times New Roman" w:cs="Times New Roman"/>
        </w:rPr>
        <w:t xml:space="preserve"> Dept. Dec. 9, 2025), the husband appealed from an April 2025 Supreme Court order</w:t>
      </w:r>
      <w:r>
        <w:rPr>
          <w:rFonts w:ascii="Times New Roman" w:hAnsi="Times New Roman" w:cs="Times New Roman"/>
        </w:rPr>
        <w:t>,</w:t>
      </w:r>
      <w:r w:rsidRPr="004212A0">
        <w:rPr>
          <w:rFonts w:ascii="Times New Roman" w:hAnsi="Times New Roman" w:cs="Times New Roman"/>
        </w:rPr>
        <w:t xml:space="preserve"> which</w:t>
      </w:r>
      <w:r>
        <w:rPr>
          <w:rFonts w:ascii="Times New Roman" w:hAnsi="Times New Roman" w:cs="Times New Roman"/>
        </w:rPr>
        <w:t>:</w:t>
      </w:r>
      <w:r w:rsidRPr="004212A0">
        <w:rPr>
          <w:rFonts w:ascii="Times New Roman" w:hAnsi="Times New Roman" w:cs="Times New Roman"/>
        </w:rPr>
        <w:t xml:space="preserve"> granted </w:t>
      </w:r>
      <w:r>
        <w:rPr>
          <w:rFonts w:ascii="Times New Roman" w:hAnsi="Times New Roman" w:cs="Times New Roman"/>
        </w:rPr>
        <w:t xml:space="preserve">the </w:t>
      </w:r>
      <w:r w:rsidRPr="004212A0">
        <w:rPr>
          <w:rFonts w:ascii="Times New Roman" w:hAnsi="Times New Roman" w:cs="Times New Roman"/>
        </w:rPr>
        <w:t>wife's motion for $1,000,000 as reimbursement of accrued and paid interim counsel fees subject to reallocation after trial</w:t>
      </w:r>
      <w:r>
        <w:rPr>
          <w:rFonts w:ascii="Times New Roman" w:hAnsi="Times New Roman" w:cs="Times New Roman"/>
        </w:rPr>
        <w:t>;</w:t>
      </w:r>
      <w:r w:rsidRPr="004212A0">
        <w:rPr>
          <w:rFonts w:ascii="Times New Roman" w:hAnsi="Times New Roman" w:cs="Times New Roman"/>
        </w:rPr>
        <w:t xml:space="preserve"> directed that the wife was to utilize the parties</w:t>
      </w:r>
      <w:r>
        <w:rPr>
          <w:rFonts w:ascii="Times New Roman" w:hAnsi="Times New Roman" w:cs="Times New Roman"/>
        </w:rPr>
        <w:t>’</w:t>
      </w:r>
      <w:r w:rsidRPr="004212A0">
        <w:rPr>
          <w:rFonts w:ascii="Times New Roman" w:hAnsi="Times New Roman" w:cs="Times New Roman"/>
        </w:rPr>
        <w:t xml:space="preserve"> accounts to pay customary and usual household expenses</w:t>
      </w:r>
      <w:r>
        <w:rPr>
          <w:rFonts w:ascii="Times New Roman" w:hAnsi="Times New Roman" w:cs="Times New Roman"/>
        </w:rPr>
        <w:t>;</w:t>
      </w:r>
      <w:r w:rsidRPr="004212A0">
        <w:rPr>
          <w:rFonts w:ascii="Times New Roman" w:hAnsi="Times New Roman" w:cs="Times New Roman"/>
        </w:rPr>
        <w:t xml:space="preserve"> directed </w:t>
      </w:r>
      <w:r>
        <w:rPr>
          <w:rFonts w:ascii="Times New Roman" w:hAnsi="Times New Roman" w:cs="Times New Roman"/>
        </w:rPr>
        <w:t xml:space="preserve">the </w:t>
      </w:r>
      <w:r w:rsidRPr="004212A0">
        <w:rPr>
          <w:rFonts w:ascii="Times New Roman" w:hAnsi="Times New Roman" w:cs="Times New Roman"/>
        </w:rPr>
        <w:t>husband to continue paying for all family expenses for the duration of the litigation, reserving for trial what constitutes "family expenses"</w:t>
      </w:r>
      <w:r>
        <w:rPr>
          <w:rFonts w:ascii="Times New Roman" w:hAnsi="Times New Roman" w:cs="Times New Roman"/>
        </w:rPr>
        <w:t>;</w:t>
      </w:r>
      <w:r w:rsidRPr="004212A0">
        <w:rPr>
          <w:rFonts w:ascii="Times New Roman" w:hAnsi="Times New Roman" w:cs="Times New Roman"/>
        </w:rPr>
        <w:t xml:space="preserve"> and </w:t>
      </w:r>
      <w:r w:rsidRPr="00392616">
        <w:rPr>
          <w:rFonts w:ascii="Times New Roman" w:hAnsi="Times New Roman" w:cs="Times New Roman"/>
          <w:i/>
          <w:iCs/>
        </w:rPr>
        <w:t>de facto</w:t>
      </w:r>
      <w:r w:rsidRPr="004212A0">
        <w:rPr>
          <w:rFonts w:ascii="Times New Roman" w:hAnsi="Times New Roman" w:cs="Times New Roman"/>
        </w:rPr>
        <w:t xml:space="preserve"> directed the parties to engage in an appraisal process for valuing marital furniture, furnishings, and artwork</w:t>
      </w:r>
      <w:r>
        <w:rPr>
          <w:rFonts w:ascii="Times New Roman" w:hAnsi="Times New Roman" w:cs="Times New Roman"/>
        </w:rPr>
        <w:t xml:space="preserve">. The First Department </w:t>
      </w:r>
      <w:r w:rsidRPr="004212A0">
        <w:rPr>
          <w:rFonts w:ascii="Times New Roman" w:hAnsi="Times New Roman" w:cs="Times New Roman"/>
        </w:rPr>
        <w:t>modified, on the law, the facts, and as a matter of discretion in the interest of justice, to apply the terms of the parties' prenuptial agreement regarding the distribution of the parties</w:t>
      </w:r>
      <w:r>
        <w:rPr>
          <w:rFonts w:ascii="Times New Roman" w:hAnsi="Times New Roman" w:cs="Times New Roman"/>
        </w:rPr>
        <w:t>’</w:t>
      </w:r>
      <w:r w:rsidRPr="004212A0">
        <w:rPr>
          <w:rFonts w:ascii="Times New Roman" w:hAnsi="Times New Roman" w:cs="Times New Roman"/>
        </w:rPr>
        <w:t xml:space="preserve"> remaining marital property; vacate the portion of the order directing the husband to continue paying for all family expenses for the duration of the </w:t>
      </w:r>
      <w:proofErr w:type="gramStart"/>
      <w:r w:rsidRPr="004212A0">
        <w:rPr>
          <w:rFonts w:ascii="Times New Roman" w:hAnsi="Times New Roman" w:cs="Times New Roman"/>
        </w:rPr>
        <w:t>litigation, and</w:t>
      </w:r>
      <w:proofErr w:type="gramEnd"/>
      <w:r w:rsidRPr="004212A0">
        <w:rPr>
          <w:rFonts w:ascii="Times New Roman" w:hAnsi="Times New Roman" w:cs="Times New Roman"/>
        </w:rPr>
        <w:t xml:space="preserve"> otherwise affirmed</w:t>
      </w:r>
      <w:r>
        <w:rPr>
          <w:rFonts w:ascii="Times New Roman" w:hAnsi="Times New Roman" w:cs="Times New Roman"/>
        </w:rPr>
        <w:t>. The husband also appealed from a June 2025 Order of the same Court,</w:t>
      </w:r>
      <w:r w:rsidRPr="004212A0">
        <w:rPr>
          <w:rFonts w:ascii="Times New Roman" w:hAnsi="Times New Roman" w:cs="Times New Roman"/>
        </w:rPr>
        <w:t xml:space="preserve"> which vacated the CPLR 5519 automatic stay obtained by the husband in posting a bond for the counsel fees imposed in the April 8, </w:t>
      </w:r>
      <w:proofErr w:type="gramStart"/>
      <w:r w:rsidRPr="004212A0">
        <w:rPr>
          <w:rFonts w:ascii="Times New Roman" w:hAnsi="Times New Roman" w:cs="Times New Roman"/>
        </w:rPr>
        <w:t>2025</w:t>
      </w:r>
      <w:proofErr w:type="gramEnd"/>
      <w:r w:rsidRPr="004212A0">
        <w:rPr>
          <w:rFonts w:ascii="Times New Roman" w:hAnsi="Times New Roman" w:cs="Times New Roman"/>
        </w:rPr>
        <w:t xml:space="preserve"> order and awarded the wife $40,000 in counsel fees for making the motion</w:t>
      </w:r>
      <w:r>
        <w:rPr>
          <w:rFonts w:ascii="Times New Roman" w:hAnsi="Times New Roman" w:cs="Times New Roman"/>
        </w:rPr>
        <w:t>. The First Department</w:t>
      </w:r>
      <w:r w:rsidRPr="004212A0">
        <w:rPr>
          <w:rFonts w:ascii="Times New Roman" w:hAnsi="Times New Roman" w:cs="Times New Roman"/>
        </w:rPr>
        <w:t xml:space="preserve"> reversed</w:t>
      </w:r>
      <w:r>
        <w:rPr>
          <w:rFonts w:ascii="Times New Roman" w:hAnsi="Times New Roman" w:cs="Times New Roman"/>
        </w:rPr>
        <w:t xml:space="preserve"> the April 2025 Order</w:t>
      </w:r>
      <w:r w:rsidRPr="004212A0">
        <w:rPr>
          <w:rFonts w:ascii="Times New Roman" w:hAnsi="Times New Roman" w:cs="Times New Roman"/>
        </w:rPr>
        <w:t>, on the law,</w:t>
      </w:r>
      <w:r>
        <w:rPr>
          <w:rFonts w:ascii="Times New Roman" w:hAnsi="Times New Roman" w:cs="Times New Roman"/>
        </w:rPr>
        <w:t xml:space="preserve"> and vacated </w:t>
      </w:r>
      <w:r w:rsidRPr="004212A0">
        <w:rPr>
          <w:rFonts w:ascii="Times New Roman" w:hAnsi="Times New Roman" w:cs="Times New Roman"/>
        </w:rPr>
        <w:t>the award of counsel fees</w:t>
      </w:r>
      <w:r>
        <w:rPr>
          <w:rFonts w:ascii="Times New Roman" w:hAnsi="Times New Roman" w:cs="Times New Roman"/>
        </w:rPr>
        <w:t>. The Appellate Division held: Supreme Court “</w:t>
      </w:r>
      <w:r w:rsidRPr="004212A0">
        <w:rPr>
          <w:rFonts w:ascii="Times New Roman" w:hAnsi="Times New Roman" w:cs="Times New Roman"/>
        </w:rPr>
        <w:t xml:space="preserve">providently exercised its discretion in awarding the wife $1 million in interim counsel fees, subject to reallocation after trial, given the significant financial disparity between the parties, an issue that does not vanish even when considering the wife's considerable assets, income, and annual support payments </w:t>
      </w:r>
      <w:r>
        <w:rPr>
          <w:rFonts w:ascii="Times New Roman" w:hAnsi="Times New Roman" w:cs="Times New Roman"/>
        </w:rPr>
        <w:t>(citations omitted)”; and “[t]</w:t>
      </w:r>
      <w:r w:rsidRPr="004212A0">
        <w:rPr>
          <w:rFonts w:ascii="Times New Roman" w:hAnsi="Times New Roman" w:cs="Times New Roman"/>
        </w:rPr>
        <w:t>here is no requirement that</w:t>
      </w:r>
      <w:r>
        <w:rPr>
          <w:rFonts w:ascii="Times New Roman" w:hAnsi="Times New Roman" w:cs="Times New Roman"/>
        </w:rPr>
        <w:t xml:space="preserve"> [the wife]</w:t>
      </w:r>
      <w:r w:rsidRPr="004212A0">
        <w:rPr>
          <w:rFonts w:ascii="Times New Roman" w:hAnsi="Times New Roman" w:cs="Times New Roman"/>
        </w:rPr>
        <w:t xml:space="preserve"> spend down a substantial portion of her assets in order to qualify for an award of counsel fees (</w:t>
      </w:r>
      <w:r>
        <w:rPr>
          <w:rFonts w:ascii="Times New Roman" w:hAnsi="Times New Roman" w:cs="Times New Roman"/>
        </w:rPr>
        <w:t>citations omitted)”; and the fact that “</w:t>
      </w:r>
      <w:r w:rsidRPr="004212A0">
        <w:rPr>
          <w:rFonts w:ascii="Times New Roman" w:hAnsi="Times New Roman" w:cs="Times New Roman"/>
        </w:rPr>
        <w:t xml:space="preserve">the counsel fees in question were already incurred and paid for by the wife with her own money is of no moment </w:t>
      </w:r>
      <w:r>
        <w:rPr>
          <w:rFonts w:ascii="Times New Roman" w:hAnsi="Times New Roman" w:cs="Times New Roman"/>
        </w:rPr>
        <w:t>(citations omitted).” The First Department held that Supreme Court “</w:t>
      </w:r>
      <w:r w:rsidRPr="004212A0">
        <w:rPr>
          <w:rFonts w:ascii="Times New Roman" w:hAnsi="Times New Roman" w:cs="Times New Roman"/>
        </w:rPr>
        <w:t xml:space="preserve">incorrectly directed the husband to continue paying for all </w:t>
      </w:r>
      <w:r>
        <w:rPr>
          <w:rFonts w:ascii="Times New Roman" w:hAnsi="Times New Roman" w:cs="Times New Roman"/>
        </w:rPr>
        <w:t>‘</w:t>
      </w:r>
      <w:r w:rsidRPr="004212A0">
        <w:rPr>
          <w:rFonts w:ascii="Times New Roman" w:hAnsi="Times New Roman" w:cs="Times New Roman"/>
        </w:rPr>
        <w:t>family expenses</w:t>
      </w:r>
      <w:r>
        <w:rPr>
          <w:rFonts w:ascii="Times New Roman" w:hAnsi="Times New Roman" w:cs="Times New Roman"/>
        </w:rPr>
        <w:t>’</w:t>
      </w:r>
      <w:r w:rsidRPr="004212A0">
        <w:rPr>
          <w:rFonts w:ascii="Times New Roman" w:hAnsi="Times New Roman" w:cs="Times New Roman"/>
        </w:rPr>
        <w:t xml:space="preserve"> for the duration of this litigation</w:t>
      </w:r>
      <w:r>
        <w:rPr>
          <w:rFonts w:ascii="Times New Roman" w:hAnsi="Times New Roman" w:cs="Times New Roman"/>
        </w:rPr>
        <w:t>[,] which “</w:t>
      </w:r>
      <w:r w:rsidRPr="004212A0">
        <w:rPr>
          <w:rFonts w:ascii="Times New Roman" w:hAnsi="Times New Roman" w:cs="Times New Roman"/>
        </w:rPr>
        <w:t xml:space="preserve"> directive is inconsistent with the unambiguous and uncontested terms of the parties' prenuptial agreemen</w:t>
      </w:r>
      <w:r>
        <w:rPr>
          <w:rFonts w:ascii="Times New Roman" w:hAnsi="Times New Roman" w:cs="Times New Roman"/>
        </w:rPr>
        <w:t>t,</w:t>
      </w:r>
      <w:r w:rsidRPr="004212A0">
        <w:rPr>
          <w:rFonts w:ascii="Times New Roman" w:hAnsi="Times New Roman" w:cs="Times New Roman"/>
        </w:rPr>
        <w:t xml:space="preserve"> which expressly waived the wife's entitlement to temporary and permanent spousal maintenance above the $100,000 in annual support payments by the husband </w:t>
      </w:r>
      <w:r>
        <w:rPr>
          <w:rFonts w:ascii="Times New Roman" w:hAnsi="Times New Roman" w:cs="Times New Roman"/>
        </w:rPr>
        <w:t>(citation omitted).” The Appellate Division further found: “</w:t>
      </w:r>
      <w:r w:rsidRPr="004212A0">
        <w:rPr>
          <w:rFonts w:ascii="Times New Roman" w:hAnsi="Times New Roman" w:cs="Times New Roman"/>
        </w:rPr>
        <w:t xml:space="preserve">A review of the parties' prenuptial agreement reflects that the court may have also misinterpreted its terms with respect to distribution of certain marital property exclusive of </w:t>
      </w:r>
      <w:r w:rsidRPr="004212A0">
        <w:rPr>
          <w:rFonts w:ascii="Times New Roman" w:hAnsi="Times New Roman" w:cs="Times New Roman"/>
        </w:rPr>
        <w:lastRenderedPageBreak/>
        <w:t xml:space="preserve">residences and accounts. Paragraph 5(a)(iii) provides the framework for the sale of the items neither party wants and further provides a process by which the parties essentially bid on items that both parties </w:t>
      </w:r>
      <w:proofErr w:type="gramStart"/>
      <w:r w:rsidRPr="004212A0">
        <w:rPr>
          <w:rFonts w:ascii="Times New Roman" w:hAnsi="Times New Roman" w:cs="Times New Roman"/>
        </w:rPr>
        <w:t>want,</w:t>
      </w:r>
      <w:r w:rsidR="00367183">
        <w:rPr>
          <w:rFonts w:ascii="Times New Roman" w:hAnsi="Times New Roman" w:cs="Times New Roman"/>
        </w:rPr>
        <w:t xml:space="preserve"> </w:t>
      </w:r>
      <w:r w:rsidRPr="004212A0">
        <w:rPr>
          <w:rFonts w:ascii="Times New Roman" w:hAnsi="Times New Roman" w:cs="Times New Roman"/>
        </w:rPr>
        <w:t>and</w:t>
      </w:r>
      <w:proofErr w:type="gramEnd"/>
      <w:r w:rsidRPr="004212A0">
        <w:rPr>
          <w:rFonts w:ascii="Times New Roman" w:hAnsi="Times New Roman" w:cs="Times New Roman"/>
        </w:rPr>
        <w:t xml:space="preserve"> gives the party making the higher </w:t>
      </w:r>
      <w:r>
        <w:rPr>
          <w:rFonts w:ascii="Times New Roman" w:hAnsi="Times New Roman" w:cs="Times New Roman"/>
        </w:rPr>
        <w:t>‘</w:t>
      </w:r>
      <w:r w:rsidRPr="004212A0">
        <w:rPr>
          <w:rFonts w:ascii="Times New Roman" w:hAnsi="Times New Roman" w:cs="Times New Roman"/>
        </w:rPr>
        <w:t>bid</w:t>
      </w:r>
      <w:r>
        <w:rPr>
          <w:rFonts w:ascii="Times New Roman" w:hAnsi="Times New Roman" w:cs="Times New Roman"/>
        </w:rPr>
        <w:t>’</w:t>
      </w:r>
      <w:r w:rsidRPr="004212A0">
        <w:rPr>
          <w:rFonts w:ascii="Times New Roman" w:hAnsi="Times New Roman" w:cs="Times New Roman"/>
        </w:rPr>
        <w:t xml:space="preserve"> the right to buy the item. No appraisals are necessary. Paragraph 5(b) of the prenuptial agreement provides that if there is a dispute about the fair market value of any item of marital property, the parties agree to a procedure by which appraisers are selected to determine the value. The order is therefore modified to the extent of incorporating the terms of the prenuptial agreement </w:t>
      </w:r>
      <w:proofErr w:type="gramStart"/>
      <w:r w:rsidRPr="004212A0">
        <w:rPr>
          <w:rFonts w:ascii="Times New Roman" w:hAnsi="Times New Roman" w:cs="Times New Roman"/>
        </w:rPr>
        <w:t>with regard to</w:t>
      </w:r>
      <w:proofErr w:type="gramEnd"/>
      <w:r w:rsidRPr="004212A0">
        <w:rPr>
          <w:rFonts w:ascii="Times New Roman" w:hAnsi="Times New Roman" w:cs="Times New Roman"/>
        </w:rPr>
        <w:t xml:space="preserve"> the distribution of the parties' remaining marital property and the parties are directed to comply with its terms.</w:t>
      </w:r>
      <w:r>
        <w:rPr>
          <w:rFonts w:ascii="Times New Roman" w:hAnsi="Times New Roman" w:cs="Times New Roman"/>
        </w:rPr>
        <w:t>” Regarding the June 2025 Order, the First Department noted that “</w:t>
      </w:r>
      <w:r w:rsidRPr="004212A0">
        <w:rPr>
          <w:rFonts w:ascii="Times New Roman" w:hAnsi="Times New Roman" w:cs="Times New Roman"/>
        </w:rPr>
        <w:t>this Court has imposed a stay pending resolution of the appeal, which largely renders moot the court's vacatur</w:t>
      </w:r>
      <w:r>
        <w:rPr>
          <w:rFonts w:ascii="Times New Roman" w:hAnsi="Times New Roman" w:cs="Times New Roman"/>
        </w:rPr>
        <w:t>” and given the wife’s concession that “</w:t>
      </w:r>
      <w:r w:rsidRPr="004212A0">
        <w:rPr>
          <w:rFonts w:ascii="Times New Roman" w:hAnsi="Times New Roman" w:cs="Times New Roman"/>
        </w:rPr>
        <w:t>her fee application was faulty, we reverse and vacate the $40,000 counsel fee award imposed in connection with the wife's vacatur motion.</w:t>
      </w:r>
      <w:r>
        <w:rPr>
          <w:rFonts w:ascii="Times New Roman" w:hAnsi="Times New Roman" w:cs="Times New Roman"/>
        </w:rPr>
        <w:t>”</w:t>
      </w:r>
    </w:p>
    <w:p w14:paraId="1637DF1E" w14:textId="77777777" w:rsidR="00243BBC" w:rsidRDefault="00243BBC" w:rsidP="00243BBC">
      <w:pPr>
        <w:pStyle w:val="Heading1"/>
        <w:numPr>
          <w:ilvl w:val="0"/>
          <w:numId w:val="0"/>
        </w:numPr>
        <w:spacing w:line="240" w:lineRule="auto"/>
        <w:contextualSpacing/>
        <w:jc w:val="both"/>
        <w:rPr>
          <w:rFonts w:ascii="Times New Roman" w:hAnsi="Times New Roman" w:cs="Times New Roman"/>
          <w:b/>
          <w:bCs/>
        </w:rPr>
      </w:pPr>
    </w:p>
    <w:p w14:paraId="5A7E9E33" w14:textId="3D966726" w:rsidR="00620B69" w:rsidRPr="00620B69" w:rsidRDefault="00620B69" w:rsidP="00620B69">
      <w:pPr>
        <w:pStyle w:val="Heading2"/>
        <w:numPr>
          <w:ilvl w:val="0"/>
          <w:numId w:val="0"/>
        </w:numPr>
        <w:jc w:val="both"/>
        <w:rPr>
          <w:b/>
          <w:bCs/>
        </w:rPr>
      </w:pPr>
      <w:r w:rsidRPr="00620B69">
        <w:rPr>
          <w:rFonts w:ascii="Times New Roman" w:hAnsi="Times New Roman" w:cs="Times New Roman"/>
          <w:b/>
          <w:bCs/>
        </w:rPr>
        <w:t>Procedure - Article – Divorce Law and Civil Procedure</w:t>
      </w:r>
    </w:p>
    <w:p w14:paraId="1DE9C718" w14:textId="0CB0AD2B" w:rsidR="00620B69" w:rsidRDefault="00620B69" w:rsidP="00620B69">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For an informative article, </w:t>
      </w:r>
      <w:r w:rsidRPr="00774DED">
        <w:rPr>
          <w:rFonts w:ascii="Times New Roman" w:hAnsi="Times New Roman" w:cs="Times New Roman"/>
          <w:i/>
          <w:iCs/>
        </w:rPr>
        <w:t>see</w:t>
      </w:r>
      <w:r>
        <w:rPr>
          <w:rFonts w:ascii="Times New Roman" w:hAnsi="Times New Roman" w:cs="Times New Roman"/>
        </w:rPr>
        <w:t xml:space="preserve"> Alan Feigenbaum, “Divorce Law and Civil Procedure: The Dynamic Duo,” </w:t>
      </w:r>
      <w:r w:rsidRPr="00774DED">
        <w:rPr>
          <w:rFonts w:ascii="Times New Roman" w:hAnsi="Times New Roman" w:cs="Times New Roman"/>
          <w:i/>
          <w:iCs/>
        </w:rPr>
        <w:t>NY Law Journal</w:t>
      </w:r>
      <w:r>
        <w:rPr>
          <w:rFonts w:ascii="Times New Roman" w:hAnsi="Times New Roman" w:cs="Times New Roman"/>
        </w:rPr>
        <w:t>, December 11, 2025.</w:t>
      </w:r>
    </w:p>
    <w:p w14:paraId="53977879" w14:textId="77777777" w:rsidR="00022EF5" w:rsidRPr="005854D5" w:rsidRDefault="00022EF5" w:rsidP="00022EF5">
      <w:pPr>
        <w:pStyle w:val="Heading1"/>
        <w:numPr>
          <w:ilvl w:val="0"/>
          <w:numId w:val="0"/>
        </w:numPr>
        <w:spacing w:line="240" w:lineRule="auto"/>
        <w:contextualSpacing/>
        <w:jc w:val="both"/>
        <w:rPr>
          <w:rFonts w:ascii="Times New Roman" w:hAnsi="Times New Roman" w:cs="Times New Roman"/>
          <w:b/>
          <w:bCs/>
        </w:rPr>
      </w:pPr>
    </w:p>
    <w:p w14:paraId="26086FBF" w14:textId="00CC7128" w:rsidR="003B59AD" w:rsidRPr="007555CE" w:rsidRDefault="003B59AD" w:rsidP="007555CE">
      <w:pPr>
        <w:pStyle w:val="Heading1"/>
        <w:numPr>
          <w:ilvl w:val="0"/>
          <w:numId w:val="0"/>
        </w:numPr>
        <w:ind w:left="720" w:hanging="720"/>
        <w:rPr>
          <w:b/>
          <w:bCs/>
          <w:u w:val="single"/>
        </w:rPr>
      </w:pPr>
      <w:r w:rsidRPr="007555CE">
        <w:rPr>
          <w:rFonts w:ascii="Times New Roman" w:hAnsi="Times New Roman" w:cs="Times New Roman"/>
          <w:b/>
          <w:bCs/>
          <w:u w:val="single"/>
        </w:rPr>
        <w:t>LEGISLATIVE AND COURT RULE ITEMS</w:t>
      </w:r>
    </w:p>
    <w:p w14:paraId="7789D19F" w14:textId="77777777" w:rsidR="00620B69" w:rsidRPr="00F30285" w:rsidRDefault="00620B69" w:rsidP="00620B69">
      <w:pPr>
        <w:pStyle w:val="Heading2"/>
        <w:numPr>
          <w:ilvl w:val="0"/>
          <w:numId w:val="0"/>
        </w:numPr>
        <w:rPr>
          <w:b/>
          <w:bCs/>
        </w:rPr>
      </w:pPr>
      <w:r>
        <w:rPr>
          <w:rFonts w:ascii="Times New Roman" w:hAnsi="Times New Roman" w:cs="Times New Roman"/>
          <w:b/>
          <w:bCs/>
        </w:rPr>
        <w:t xml:space="preserve">Assigned Counsel Expansion - </w:t>
      </w:r>
      <w:r w:rsidRPr="006C211C">
        <w:rPr>
          <w:rFonts w:ascii="Times New Roman" w:hAnsi="Times New Roman" w:cs="Times New Roman"/>
          <w:b/>
          <w:bCs/>
          <w:u w:val="single"/>
        </w:rPr>
        <w:t>VETOED</w:t>
      </w:r>
    </w:p>
    <w:p w14:paraId="6309A3C4" w14:textId="77777777" w:rsidR="00620B69" w:rsidRDefault="00620B69" w:rsidP="00620B69">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sidRPr="006C211C">
        <w:rPr>
          <w:rFonts w:ascii="Times New Roman" w:hAnsi="Times New Roman" w:cs="Times New Roman"/>
          <w:b/>
          <w:bCs/>
          <w:u w:val="single"/>
        </w:rPr>
        <w:t>This legislation was vetoed December 5, 2025</w:t>
      </w:r>
      <w:r>
        <w:rPr>
          <w:rFonts w:ascii="Times New Roman" w:hAnsi="Times New Roman" w:cs="Times New Roman"/>
          <w:b/>
          <w:bCs/>
        </w:rPr>
        <w:t xml:space="preserve">. </w:t>
      </w:r>
      <w:r>
        <w:rPr>
          <w:rFonts w:ascii="Times New Roman" w:hAnsi="Times New Roman" w:cs="Times New Roman"/>
        </w:rPr>
        <w:t xml:space="preserve">Passed by both houses of the Legislature </w:t>
      </w:r>
      <w:r w:rsidRPr="00F30285">
        <w:rPr>
          <w:rFonts w:ascii="Times New Roman" w:hAnsi="Times New Roman" w:cs="Times New Roman"/>
          <w:b/>
          <w:bCs/>
          <w:u w:val="single"/>
        </w:rPr>
        <w:t>as of June 17, 2025</w:t>
      </w:r>
      <w:r>
        <w:rPr>
          <w:rFonts w:ascii="Times New Roman" w:hAnsi="Times New Roman" w:cs="Times New Roman"/>
        </w:rPr>
        <w:t xml:space="preserve">, this bill </w:t>
      </w:r>
      <w:r w:rsidRPr="00F30285">
        <w:rPr>
          <w:rFonts w:ascii="Times New Roman" w:hAnsi="Times New Roman" w:cs="Times New Roman"/>
          <w:b/>
          <w:bCs/>
          <w:u w:val="single"/>
        </w:rPr>
        <w:t xml:space="preserve">would </w:t>
      </w:r>
      <w:r>
        <w:rPr>
          <w:rFonts w:ascii="Times New Roman" w:hAnsi="Times New Roman" w:cs="Times New Roman"/>
          <w:b/>
          <w:bCs/>
          <w:u w:val="single"/>
        </w:rPr>
        <w:t xml:space="preserve">have </w:t>
      </w:r>
      <w:r w:rsidRPr="00F30285">
        <w:rPr>
          <w:rFonts w:ascii="Times New Roman" w:hAnsi="Times New Roman" w:cs="Times New Roman"/>
          <w:b/>
          <w:bCs/>
          <w:u w:val="single"/>
        </w:rPr>
        <w:t>amend</w:t>
      </w:r>
      <w:r>
        <w:rPr>
          <w:rFonts w:ascii="Times New Roman" w:hAnsi="Times New Roman" w:cs="Times New Roman"/>
          <w:b/>
          <w:bCs/>
          <w:u w:val="single"/>
        </w:rPr>
        <w:t>ed</w:t>
      </w:r>
      <w:r>
        <w:rPr>
          <w:rFonts w:ascii="Times New Roman" w:hAnsi="Times New Roman" w:cs="Times New Roman"/>
        </w:rPr>
        <w:t xml:space="preserve"> FCA </w:t>
      </w:r>
      <w:r w:rsidRPr="00A370B4">
        <w:rPr>
          <w:rFonts w:ascii="Times New Roman" w:hAnsi="Times New Roman" w:cs="Times New Roman"/>
        </w:rPr>
        <w:t>§§</w:t>
      </w:r>
      <w:r w:rsidRPr="002A724E">
        <w:rPr>
          <w:rFonts w:ascii="Times New Roman" w:hAnsi="Times New Roman" w:cs="Times New Roman"/>
        </w:rPr>
        <w:t xml:space="preserve">249, 262, 453, 522 </w:t>
      </w:r>
      <w:r>
        <w:rPr>
          <w:rFonts w:ascii="Times New Roman" w:hAnsi="Times New Roman" w:cs="Times New Roman"/>
        </w:rPr>
        <w:t xml:space="preserve">and </w:t>
      </w:r>
      <w:r w:rsidRPr="002A724E">
        <w:rPr>
          <w:rFonts w:ascii="Times New Roman" w:hAnsi="Times New Roman" w:cs="Times New Roman"/>
        </w:rPr>
        <w:t>524</w:t>
      </w:r>
      <w:r>
        <w:rPr>
          <w:rFonts w:ascii="Times New Roman" w:hAnsi="Times New Roman" w:cs="Times New Roman"/>
        </w:rPr>
        <w:t xml:space="preserve">, effective 90 days after becoming law (subject to certain sunset, reversion and substitution provisions explained in </w:t>
      </w:r>
      <w:r w:rsidRPr="00A370B4">
        <w:rPr>
          <w:rFonts w:ascii="Times New Roman" w:hAnsi="Times New Roman" w:cs="Times New Roman"/>
        </w:rPr>
        <w:t>§</w:t>
      </w:r>
      <w:r>
        <w:rPr>
          <w:rFonts w:ascii="Times New Roman" w:hAnsi="Times New Roman" w:cs="Times New Roman"/>
        </w:rPr>
        <w:t>7 of the bill), to provide for assigned counsel to all parties in any willful violation or contempt proceeding and to all parties and intervenors in parentage and paternity proceedings. A.08271/S.08197.</w:t>
      </w:r>
    </w:p>
    <w:p w14:paraId="70D792DD" w14:textId="77777777" w:rsidR="00C018AE" w:rsidRDefault="00C018AE" w:rsidP="00620B69">
      <w:pPr>
        <w:pStyle w:val="Heading2"/>
        <w:numPr>
          <w:ilvl w:val="0"/>
          <w:numId w:val="0"/>
        </w:numPr>
        <w:spacing w:line="240" w:lineRule="auto"/>
        <w:contextualSpacing/>
        <w:jc w:val="both"/>
        <w:rPr>
          <w:rFonts w:ascii="Times New Roman" w:hAnsi="Times New Roman" w:cs="Times New Roman"/>
        </w:rPr>
      </w:pPr>
    </w:p>
    <w:p w14:paraId="57CBEE8C" w14:textId="77777777" w:rsidR="00C018AE" w:rsidRPr="00F6349E" w:rsidRDefault="00C018AE" w:rsidP="00C018AE">
      <w:pPr>
        <w:pStyle w:val="Heading2"/>
        <w:numPr>
          <w:ilvl w:val="0"/>
          <w:numId w:val="0"/>
        </w:numPr>
        <w:rPr>
          <w:b/>
          <w:bCs/>
        </w:rPr>
      </w:pPr>
      <w:r w:rsidRPr="00F6349E">
        <w:rPr>
          <w:rFonts w:ascii="Times New Roman" w:hAnsi="Times New Roman" w:cs="Times New Roman"/>
          <w:b/>
          <w:bCs/>
        </w:rPr>
        <w:t>Custody and Visitation – Kyra’s Law</w:t>
      </w:r>
    </w:p>
    <w:p w14:paraId="01AAD1CC" w14:textId="16596D9B" w:rsidR="00C018AE" w:rsidRDefault="00C018AE" w:rsidP="00C018AE">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As reported in the July 2025 </w:t>
      </w:r>
      <w:r w:rsidR="0053306F">
        <w:rPr>
          <w:rFonts w:ascii="Times New Roman" w:hAnsi="Times New Roman" w:cs="Times New Roman"/>
          <w:b/>
          <w:bCs/>
          <w:i/>
          <w:iCs/>
        </w:rPr>
        <w:t>Update</w:t>
      </w:r>
      <w:r>
        <w:rPr>
          <w:rFonts w:ascii="Times New Roman" w:hAnsi="Times New Roman" w:cs="Times New Roman"/>
        </w:rPr>
        <w:t>, t</w:t>
      </w:r>
      <w:r w:rsidRPr="00F6349E">
        <w:rPr>
          <w:rFonts w:ascii="Times New Roman" w:hAnsi="Times New Roman" w:cs="Times New Roman"/>
        </w:rPr>
        <w:t xml:space="preserve">his bill </w:t>
      </w:r>
      <w:r w:rsidRPr="00F6349E">
        <w:rPr>
          <w:rFonts w:ascii="Times New Roman" w:hAnsi="Times New Roman" w:cs="Times New Roman"/>
          <w:b/>
          <w:bCs/>
        </w:rPr>
        <w:t>passed in the Senate on June 13, 2025</w:t>
      </w:r>
      <w:r w:rsidRPr="00F6349E">
        <w:rPr>
          <w:rFonts w:ascii="Times New Roman" w:hAnsi="Times New Roman" w:cs="Times New Roman"/>
        </w:rPr>
        <w:t>, whereupon it was delivered to the Assembly and referred to its Judiciary Committee on the same date. S.05998B</w:t>
      </w:r>
      <w:r>
        <w:rPr>
          <w:rFonts w:ascii="Times New Roman" w:hAnsi="Times New Roman" w:cs="Times New Roman"/>
        </w:rPr>
        <w:t xml:space="preserve">/A.06194B. It was recently reported that supporters of the legislation seek passage thereof by both Houses in the 2026 budget. </w:t>
      </w:r>
      <w:r w:rsidRPr="00C018AE">
        <w:rPr>
          <w:rFonts w:ascii="Times New Roman" w:hAnsi="Times New Roman" w:cs="Times New Roman"/>
          <w:i/>
          <w:iCs/>
        </w:rPr>
        <w:t>See</w:t>
      </w:r>
      <w:r>
        <w:rPr>
          <w:rFonts w:ascii="Times New Roman" w:hAnsi="Times New Roman" w:cs="Times New Roman"/>
          <w:i/>
          <w:iCs/>
        </w:rPr>
        <w:t xml:space="preserve"> </w:t>
      </w:r>
      <w:r>
        <w:rPr>
          <w:rFonts w:ascii="Times New Roman" w:hAnsi="Times New Roman" w:cs="Times New Roman"/>
        </w:rPr>
        <w:t xml:space="preserve">Capital Tonight Staff, State of Politics, “Advocates want bill aimed to protect children during custody battles included in N.Y. state budget,”  December 24, 2025 </w:t>
      </w:r>
      <w:hyperlink r:id="rId9" w:history="1">
        <w:r w:rsidRPr="00C018AE">
          <w:rPr>
            <w:rStyle w:val="Hyperlink"/>
            <w:rFonts w:ascii="Times New Roman" w:hAnsi="Times New Roman" w:cs="Times New Roman"/>
          </w:rPr>
          <w:t>Some push N.Y. bill to protect children in custody battles</w:t>
        </w:r>
      </w:hyperlink>
    </w:p>
    <w:p w14:paraId="3BB77CAD" w14:textId="77777777" w:rsidR="00620B69" w:rsidRDefault="00620B69" w:rsidP="00620B69">
      <w:pPr>
        <w:pStyle w:val="Heading2"/>
        <w:numPr>
          <w:ilvl w:val="0"/>
          <w:numId w:val="0"/>
        </w:numPr>
        <w:spacing w:line="240" w:lineRule="auto"/>
        <w:contextualSpacing/>
        <w:jc w:val="both"/>
        <w:rPr>
          <w:rFonts w:ascii="Times New Roman" w:hAnsi="Times New Roman" w:cs="Times New Roman"/>
        </w:rPr>
      </w:pPr>
    </w:p>
    <w:p w14:paraId="26FE5654" w14:textId="52C64531" w:rsidR="00620B69" w:rsidRPr="00F76AC6" w:rsidRDefault="00620B69" w:rsidP="00620B69">
      <w:pPr>
        <w:pStyle w:val="Heading2"/>
        <w:numPr>
          <w:ilvl w:val="0"/>
          <w:numId w:val="0"/>
        </w:numPr>
        <w:rPr>
          <w:b/>
          <w:bCs/>
        </w:rPr>
      </w:pPr>
      <w:r>
        <w:rPr>
          <w:rFonts w:ascii="Times New Roman" w:hAnsi="Times New Roman" w:cs="Times New Roman"/>
          <w:b/>
          <w:bCs/>
        </w:rPr>
        <w:t>Fee Arbitration</w:t>
      </w:r>
      <w:r w:rsidR="004B14D5">
        <w:rPr>
          <w:rFonts w:ascii="Times New Roman" w:hAnsi="Times New Roman" w:cs="Times New Roman"/>
          <w:b/>
          <w:bCs/>
        </w:rPr>
        <w:t xml:space="preserve"> – Recent Article</w:t>
      </w:r>
    </w:p>
    <w:p w14:paraId="39E1D03C" w14:textId="09C66E32" w:rsidR="00620B69" w:rsidRDefault="00620B69" w:rsidP="00620B69">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sidRPr="00620B69">
        <w:rPr>
          <w:rFonts w:ascii="Times New Roman" w:hAnsi="Times New Roman" w:cs="Times New Roman"/>
        </w:rPr>
        <w:t>As reported in the December 2025</w:t>
      </w:r>
      <w:r>
        <w:rPr>
          <w:rFonts w:ascii="Times New Roman" w:hAnsi="Times New Roman" w:cs="Times New Roman"/>
          <w:b/>
          <w:bCs/>
        </w:rPr>
        <w:t xml:space="preserve"> </w:t>
      </w:r>
      <w:r w:rsidR="0053306F">
        <w:rPr>
          <w:rFonts w:ascii="Times New Roman" w:hAnsi="Times New Roman" w:cs="Times New Roman"/>
          <w:b/>
          <w:bCs/>
          <w:i/>
          <w:iCs/>
        </w:rPr>
        <w:t>Update</w:t>
      </w:r>
      <w:r>
        <w:rPr>
          <w:rFonts w:ascii="Times New Roman" w:hAnsi="Times New Roman" w:cs="Times New Roman"/>
          <w:b/>
          <w:bCs/>
        </w:rPr>
        <w:t xml:space="preserve">, </w:t>
      </w:r>
      <w:r w:rsidRPr="00F76AC6">
        <w:rPr>
          <w:rFonts w:ascii="Times New Roman" w:hAnsi="Times New Roman" w:cs="Times New Roman"/>
        </w:rPr>
        <w:t xml:space="preserve">22 NYCRR §137.1(b)(6) </w:t>
      </w:r>
      <w:r>
        <w:rPr>
          <w:rFonts w:ascii="Times New Roman" w:hAnsi="Times New Roman" w:cs="Times New Roman"/>
          <w:b/>
          <w:bCs/>
          <w:u w:val="single"/>
        </w:rPr>
        <w:t>wa</w:t>
      </w:r>
      <w:r w:rsidRPr="00F76AC6">
        <w:rPr>
          <w:rFonts w:ascii="Times New Roman" w:hAnsi="Times New Roman" w:cs="Times New Roman"/>
          <w:b/>
          <w:bCs/>
          <w:u w:val="single"/>
        </w:rPr>
        <w:t>s amended, effective November 10, 2025</w:t>
      </w:r>
      <w:r w:rsidRPr="00F76AC6">
        <w:rPr>
          <w:rFonts w:ascii="Times New Roman" w:hAnsi="Times New Roman" w:cs="Times New Roman"/>
        </w:rPr>
        <w:t xml:space="preserve"> “to permit the filing of attorney fee dispute claims where an attorney has not received payment for more than 12 months, even if the attorney has not rendered legal services to the client for more than two years.” Section 11(j) of the Standards and Guidelines for the Attorney-Fee Dispute Resolution Program </w:t>
      </w:r>
      <w:r w:rsidR="00105466">
        <w:rPr>
          <w:rFonts w:ascii="Times New Roman" w:hAnsi="Times New Roman" w:cs="Times New Roman"/>
        </w:rPr>
        <w:t xml:space="preserve">was </w:t>
      </w:r>
      <w:r w:rsidRPr="00F76AC6">
        <w:rPr>
          <w:rFonts w:ascii="Times New Roman" w:hAnsi="Times New Roman" w:cs="Times New Roman"/>
        </w:rPr>
        <w:t xml:space="preserve">amended “to permit court attorney referees to mediate fee disputes as part of their salaried duties.” (Memorandum of David </w:t>
      </w:r>
      <w:proofErr w:type="spellStart"/>
      <w:r w:rsidRPr="00F76AC6">
        <w:rPr>
          <w:rFonts w:ascii="Times New Roman" w:hAnsi="Times New Roman" w:cs="Times New Roman"/>
        </w:rPr>
        <w:t>Nocenti</w:t>
      </w:r>
      <w:proofErr w:type="spellEnd"/>
      <w:r w:rsidRPr="00F76AC6">
        <w:rPr>
          <w:rFonts w:ascii="Times New Roman" w:hAnsi="Times New Roman" w:cs="Times New Roman"/>
        </w:rPr>
        <w:t xml:space="preserve">, Esq., </w:t>
      </w:r>
      <w:r w:rsidRPr="00F76AC6">
        <w:rPr>
          <w:rFonts w:ascii="Times New Roman" w:hAnsi="Times New Roman" w:cs="Times New Roman"/>
        </w:rPr>
        <w:lastRenderedPageBreak/>
        <w:t xml:space="preserve">Counsel, NYS Unified Court System dated June 11, </w:t>
      </w:r>
      <w:proofErr w:type="gramStart"/>
      <w:r w:rsidRPr="00F76AC6">
        <w:rPr>
          <w:rFonts w:ascii="Times New Roman" w:hAnsi="Times New Roman" w:cs="Times New Roman"/>
        </w:rPr>
        <w:t>2025</w:t>
      </w:r>
      <w:proofErr w:type="gramEnd"/>
      <w:r w:rsidRPr="00F76AC6">
        <w:rPr>
          <w:rFonts w:ascii="Times New Roman" w:hAnsi="Times New Roman" w:cs="Times New Roman"/>
        </w:rPr>
        <w:t xml:space="preserve"> at 1). AO/277/25, signed September 30, 2025.</w:t>
      </w:r>
      <w:r>
        <w:rPr>
          <w:rFonts w:ascii="Times New Roman" w:hAnsi="Times New Roman" w:cs="Times New Roman"/>
        </w:rPr>
        <w:t xml:space="preserve"> </w:t>
      </w:r>
      <w:hyperlink r:id="rId10" w:history="1">
        <w:r w:rsidRPr="00F76AC6">
          <w:rPr>
            <w:rStyle w:val="Hyperlink"/>
            <w:rFonts w:ascii="Times New Roman" w:hAnsi="Times New Roman" w:cs="Times New Roman"/>
          </w:rPr>
          <w:t>AdministrativeOrder-CAJ-277-2025-AttorneyClientFeeDisputes-093025.pdf</w:t>
        </w:r>
      </w:hyperlink>
      <w:r>
        <w:t xml:space="preserve">  </w:t>
      </w:r>
      <w:r>
        <w:rPr>
          <w:rFonts w:ascii="Times New Roman" w:hAnsi="Times New Roman" w:cs="Times New Roman"/>
          <w:b/>
          <w:bCs/>
          <w:u w:val="single"/>
        </w:rPr>
        <w:t xml:space="preserve">For an </w:t>
      </w:r>
      <w:r w:rsidRPr="00F76AC6">
        <w:rPr>
          <w:rFonts w:ascii="Times New Roman" w:hAnsi="Times New Roman" w:cs="Times New Roman"/>
          <w:b/>
          <w:bCs/>
          <w:u w:val="single"/>
        </w:rPr>
        <w:t>informative article</w:t>
      </w:r>
      <w:r>
        <w:rPr>
          <w:rFonts w:ascii="Times New Roman" w:hAnsi="Times New Roman" w:cs="Times New Roman"/>
          <w:b/>
          <w:bCs/>
        </w:rPr>
        <w:t xml:space="preserve">, </w:t>
      </w:r>
      <w:r w:rsidRPr="00F76AC6">
        <w:rPr>
          <w:rFonts w:ascii="Times New Roman" w:hAnsi="Times New Roman" w:cs="Times New Roman"/>
          <w:i/>
          <w:iCs/>
        </w:rPr>
        <w:t>see</w:t>
      </w:r>
      <w:r>
        <w:rPr>
          <w:rFonts w:ascii="Times New Roman" w:hAnsi="Times New Roman" w:cs="Times New Roman"/>
        </w:rPr>
        <w:t xml:space="preserve"> Brian Lee, “NY Court System Stresses Rule Change Aimed at Incentivizing Attorneys to Offer Installment Payments,” </w:t>
      </w:r>
      <w:r>
        <w:rPr>
          <w:rFonts w:ascii="Times New Roman" w:hAnsi="Times New Roman" w:cs="Times New Roman"/>
          <w:i/>
          <w:iCs/>
        </w:rPr>
        <w:t>NY Law Journal</w:t>
      </w:r>
      <w:r>
        <w:rPr>
          <w:rFonts w:ascii="Times New Roman" w:hAnsi="Times New Roman" w:cs="Times New Roman"/>
        </w:rPr>
        <w:t>, Dec. 5, 2025.</w:t>
      </w:r>
    </w:p>
    <w:p w14:paraId="2983938E" w14:textId="77777777" w:rsidR="00FD6C82" w:rsidRDefault="00FD6C82" w:rsidP="00620B69">
      <w:pPr>
        <w:pStyle w:val="Heading2"/>
        <w:numPr>
          <w:ilvl w:val="0"/>
          <w:numId w:val="0"/>
        </w:numPr>
        <w:spacing w:line="240" w:lineRule="auto"/>
        <w:contextualSpacing/>
        <w:jc w:val="both"/>
        <w:rPr>
          <w:rFonts w:ascii="Times New Roman" w:hAnsi="Times New Roman" w:cs="Times New Roman"/>
        </w:rPr>
      </w:pPr>
    </w:p>
    <w:p w14:paraId="082834BF" w14:textId="77777777" w:rsidR="00FD6C82" w:rsidRPr="00A8228A" w:rsidRDefault="00FD6C82" w:rsidP="00FD6C82">
      <w:pPr>
        <w:pStyle w:val="Heading2"/>
        <w:numPr>
          <w:ilvl w:val="0"/>
          <w:numId w:val="0"/>
        </w:numPr>
        <w:tabs>
          <w:tab w:val="clear" w:pos="720"/>
        </w:tabs>
        <w:jc w:val="both"/>
        <w:rPr>
          <w:b/>
          <w:bCs/>
        </w:rPr>
      </w:pPr>
      <w:r w:rsidRPr="00A8228A">
        <w:rPr>
          <w:rFonts w:ascii="Times New Roman" w:hAnsi="Times New Roman" w:cs="Times New Roman"/>
          <w:b/>
          <w:bCs/>
        </w:rPr>
        <w:t>Rules of Professional Conduct – Attorney Advertising and Solicitation – NYSBA Proposal</w:t>
      </w:r>
    </w:p>
    <w:p w14:paraId="705B4DF9" w14:textId="097C2688" w:rsidR="00FD6C82" w:rsidRDefault="00FD6C82" w:rsidP="00FD6C82">
      <w:pPr>
        <w:pStyle w:val="Heading2"/>
        <w:numPr>
          <w:ilvl w:val="0"/>
          <w:numId w:val="0"/>
        </w:numPr>
        <w:spacing w:line="240" w:lineRule="auto"/>
        <w:contextualSpacing/>
        <w:jc w:val="both"/>
        <w:rPr>
          <w:rFonts w:ascii="Times New Roman" w:hAnsi="Times New Roman" w:cs="Times New Roman"/>
          <w:b/>
          <w:bCs/>
          <w:u w:val="single"/>
        </w:rPr>
      </w:pPr>
      <w:r>
        <w:rPr>
          <w:rFonts w:ascii="Times New Roman" w:hAnsi="Times New Roman" w:cs="Times New Roman"/>
          <w:b/>
          <w:bCs/>
        </w:rPr>
        <w:tab/>
      </w:r>
      <w:r>
        <w:rPr>
          <w:rFonts w:ascii="Times New Roman" w:hAnsi="Times New Roman" w:cs="Times New Roman"/>
        </w:rPr>
        <w:t>The Administrative Board of the Courts is seeking public comment upon a NYSBA proposal to amend Rules 1.0, 7.1, 7.2, 7.3 and 7.4 of the Rules of Professional Conduct relating to attorney advertising and solicitation. (</w:t>
      </w:r>
      <w:r w:rsidRPr="00CB0AE2">
        <w:rPr>
          <w:rFonts w:ascii="Times New Roman" w:hAnsi="Times New Roman" w:cs="Times New Roman"/>
          <w:i/>
          <w:iCs/>
        </w:rPr>
        <w:t>See</w:t>
      </w:r>
      <w:r>
        <w:rPr>
          <w:rFonts w:ascii="Times New Roman" w:hAnsi="Times New Roman" w:cs="Times New Roman"/>
        </w:rPr>
        <w:t xml:space="preserve"> </w:t>
      </w:r>
      <w:r w:rsidRPr="008D7D4C">
        <w:rPr>
          <w:rFonts w:ascii="Times New Roman" w:hAnsi="Times New Roman" w:cs="Times New Roman"/>
        </w:rPr>
        <w:t xml:space="preserve">Memorandum of David </w:t>
      </w:r>
      <w:proofErr w:type="spellStart"/>
      <w:r w:rsidRPr="008D7D4C">
        <w:rPr>
          <w:rFonts w:ascii="Times New Roman" w:hAnsi="Times New Roman" w:cs="Times New Roman"/>
        </w:rPr>
        <w:t>Nocenti</w:t>
      </w:r>
      <w:proofErr w:type="spellEnd"/>
      <w:r w:rsidRPr="008D7D4C">
        <w:rPr>
          <w:rFonts w:ascii="Times New Roman" w:hAnsi="Times New Roman" w:cs="Times New Roman"/>
        </w:rPr>
        <w:t xml:space="preserve">, Esq., Counsel, NYS Unified Court System, dated </w:t>
      </w:r>
      <w:r>
        <w:rPr>
          <w:rFonts w:ascii="Times New Roman" w:hAnsi="Times New Roman" w:cs="Times New Roman"/>
        </w:rPr>
        <w:t>December 30</w:t>
      </w:r>
      <w:r w:rsidRPr="008D7D4C">
        <w:rPr>
          <w:rFonts w:ascii="Times New Roman" w:hAnsi="Times New Roman" w:cs="Times New Roman"/>
        </w:rPr>
        <w:t xml:space="preserve">, </w:t>
      </w:r>
      <w:proofErr w:type="gramStart"/>
      <w:r w:rsidRPr="008D7D4C">
        <w:rPr>
          <w:rFonts w:ascii="Times New Roman" w:hAnsi="Times New Roman" w:cs="Times New Roman"/>
        </w:rPr>
        <w:t>2025</w:t>
      </w:r>
      <w:proofErr w:type="gramEnd"/>
      <w:r w:rsidRPr="008D7D4C">
        <w:rPr>
          <w:rFonts w:ascii="Times New Roman" w:hAnsi="Times New Roman" w:cs="Times New Roman"/>
        </w:rPr>
        <w:t xml:space="preserve"> at 1). For the complete text and proposed amendments</w:t>
      </w:r>
      <w:r>
        <w:rPr>
          <w:rFonts w:ascii="Times New Roman" w:hAnsi="Times New Roman" w:cs="Times New Roman"/>
        </w:rPr>
        <w:t xml:space="preserve"> showing all revisions</w:t>
      </w:r>
      <w:r w:rsidRPr="008D7D4C">
        <w:rPr>
          <w:rFonts w:ascii="Times New Roman" w:hAnsi="Times New Roman" w:cs="Times New Roman"/>
        </w:rPr>
        <w:t>,</w:t>
      </w:r>
      <w:r>
        <w:rPr>
          <w:rFonts w:ascii="Times New Roman" w:hAnsi="Times New Roman" w:cs="Times New Roman"/>
        </w:rPr>
        <w:t xml:space="preserve"> see </w:t>
      </w:r>
      <w:hyperlink r:id="rId11" w:history="1">
        <w:r w:rsidRPr="00CB0AE2">
          <w:rPr>
            <w:rStyle w:val="Hyperlink"/>
            <w:rFonts w:ascii="Times New Roman" w:hAnsi="Times New Roman" w:cs="Times New Roman"/>
          </w:rPr>
          <w:t>RequestForPublicComment-RulesOfProfessionalConduct-AttorneyAdvertising-123025.pdf</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is requested by </w:t>
      </w:r>
      <w:r>
        <w:rPr>
          <w:rFonts w:ascii="Times New Roman" w:hAnsi="Times New Roman" w:cs="Times New Roman"/>
          <w:b/>
          <w:bCs/>
          <w:u w:val="single"/>
        </w:rPr>
        <w:t>February 20, 2026</w:t>
      </w:r>
      <w:r w:rsidRPr="008D7D4C">
        <w:rPr>
          <w:rFonts w:ascii="Times New Roman" w:hAnsi="Times New Roman" w:cs="Times New Roman"/>
          <w:b/>
          <w:bCs/>
          <w:u w:val="single"/>
        </w:rPr>
        <w:t>.</w:t>
      </w:r>
    </w:p>
    <w:p w14:paraId="16D1EB5D" w14:textId="77777777" w:rsidR="00FD6C82" w:rsidRDefault="00FD6C82" w:rsidP="00FD6C82">
      <w:pPr>
        <w:pStyle w:val="Heading2"/>
        <w:numPr>
          <w:ilvl w:val="0"/>
          <w:numId w:val="0"/>
        </w:numPr>
        <w:spacing w:line="240" w:lineRule="auto"/>
        <w:contextualSpacing/>
        <w:jc w:val="both"/>
        <w:rPr>
          <w:rFonts w:ascii="Times New Roman" w:hAnsi="Times New Roman" w:cs="Times New Roman"/>
          <w:b/>
          <w:bCs/>
          <w:u w:val="single"/>
        </w:rPr>
      </w:pPr>
    </w:p>
    <w:p w14:paraId="3629A53B" w14:textId="77777777" w:rsidR="00FD6C82" w:rsidRDefault="00FD6C82" w:rsidP="00FD6C82">
      <w:pPr>
        <w:pStyle w:val="Heading2"/>
        <w:numPr>
          <w:ilvl w:val="0"/>
          <w:numId w:val="0"/>
        </w:numPr>
        <w:spacing w:line="240" w:lineRule="auto"/>
        <w:jc w:val="both"/>
        <w:rPr>
          <w:rFonts w:ascii="Times New Roman" w:hAnsi="Times New Roman" w:cs="Times New Roman"/>
          <w:b/>
          <w:bCs/>
        </w:rPr>
      </w:pPr>
      <w:r w:rsidRPr="00CB0AE2">
        <w:rPr>
          <w:rFonts w:ascii="Times New Roman" w:hAnsi="Times New Roman" w:cs="Times New Roman"/>
          <w:b/>
          <w:bCs/>
        </w:rPr>
        <w:t>Rules of Professional Conduct – Duty of Inquiry When Accepting, Declining or Terminating an Engagement – NYSBA Proposal</w:t>
      </w:r>
    </w:p>
    <w:p w14:paraId="119B5B4C" w14:textId="77777777" w:rsidR="00FD6C82" w:rsidRPr="00CB0AE2" w:rsidRDefault="00FD6C82" w:rsidP="00FD6C82">
      <w:pPr>
        <w:pStyle w:val="Heading2"/>
        <w:numPr>
          <w:ilvl w:val="0"/>
          <w:numId w:val="0"/>
        </w:numPr>
        <w:spacing w:line="240" w:lineRule="auto"/>
        <w:jc w:val="both"/>
        <w:rPr>
          <w:b/>
          <w:bCs/>
        </w:rPr>
      </w:pPr>
    </w:p>
    <w:p w14:paraId="22D08FCE" w14:textId="76B4A8A3" w:rsidR="00FD6C82" w:rsidRDefault="00FD6C82" w:rsidP="00FD6C82">
      <w:pPr>
        <w:pStyle w:val="Heading2"/>
        <w:numPr>
          <w:ilvl w:val="0"/>
          <w:numId w:val="0"/>
        </w:numPr>
        <w:spacing w:line="240" w:lineRule="auto"/>
        <w:contextualSpacing/>
        <w:jc w:val="both"/>
        <w:rPr>
          <w:rFonts w:ascii="Times New Roman" w:hAnsi="Times New Roman" w:cs="Times New Roman"/>
          <w:b/>
          <w:bCs/>
          <w:u w:val="single"/>
        </w:rPr>
      </w:pPr>
      <w:r>
        <w:rPr>
          <w:rFonts w:ascii="Times New Roman" w:hAnsi="Times New Roman" w:cs="Times New Roman"/>
          <w:b/>
          <w:bCs/>
        </w:rPr>
        <w:tab/>
      </w:r>
      <w:r>
        <w:rPr>
          <w:rFonts w:ascii="Times New Roman" w:hAnsi="Times New Roman" w:cs="Times New Roman"/>
        </w:rPr>
        <w:t>The Administrative Board of the Courts is seeking public comment upon a NYSBA proposal to amend Rule 1.16 of the Rules of Professional Conduct relating to imposing “a duty of inquiry, including a risk assessment, regarding the propriety of each engagement, when a lawyer (or law firm) is determining whether to take on or continue the engagement.” (</w:t>
      </w:r>
      <w:r w:rsidRPr="008D7D4C">
        <w:rPr>
          <w:rFonts w:ascii="Times New Roman" w:hAnsi="Times New Roman" w:cs="Times New Roman"/>
        </w:rPr>
        <w:t xml:space="preserve">Memorandum of David </w:t>
      </w:r>
      <w:proofErr w:type="spellStart"/>
      <w:r w:rsidRPr="008D7D4C">
        <w:rPr>
          <w:rFonts w:ascii="Times New Roman" w:hAnsi="Times New Roman" w:cs="Times New Roman"/>
        </w:rPr>
        <w:t>Nocenti</w:t>
      </w:r>
      <w:proofErr w:type="spellEnd"/>
      <w:r w:rsidRPr="008D7D4C">
        <w:rPr>
          <w:rFonts w:ascii="Times New Roman" w:hAnsi="Times New Roman" w:cs="Times New Roman"/>
        </w:rPr>
        <w:t xml:space="preserve">, Esq., Counsel, NYS Unified Court System, dated </w:t>
      </w:r>
      <w:r>
        <w:rPr>
          <w:rFonts w:ascii="Times New Roman" w:hAnsi="Times New Roman" w:cs="Times New Roman"/>
        </w:rPr>
        <w:t>December 30</w:t>
      </w:r>
      <w:r w:rsidRPr="008D7D4C">
        <w:rPr>
          <w:rFonts w:ascii="Times New Roman" w:hAnsi="Times New Roman" w:cs="Times New Roman"/>
        </w:rPr>
        <w:t xml:space="preserve">, </w:t>
      </w:r>
      <w:proofErr w:type="gramStart"/>
      <w:r w:rsidRPr="008D7D4C">
        <w:rPr>
          <w:rFonts w:ascii="Times New Roman" w:hAnsi="Times New Roman" w:cs="Times New Roman"/>
        </w:rPr>
        <w:t>2025</w:t>
      </w:r>
      <w:proofErr w:type="gramEnd"/>
      <w:r w:rsidRPr="008D7D4C">
        <w:rPr>
          <w:rFonts w:ascii="Times New Roman" w:hAnsi="Times New Roman" w:cs="Times New Roman"/>
        </w:rPr>
        <w:t xml:space="preserve"> at 1). For the complete text and proposed amendments,</w:t>
      </w:r>
      <w:r>
        <w:rPr>
          <w:rFonts w:ascii="Times New Roman" w:hAnsi="Times New Roman" w:cs="Times New Roman"/>
        </w:rPr>
        <w:t xml:space="preserve"> see </w:t>
      </w:r>
      <w:hyperlink r:id="rId12" w:history="1">
        <w:r w:rsidRPr="00CB0AE2">
          <w:rPr>
            <w:rStyle w:val="Hyperlink"/>
            <w:rFonts w:ascii="Times New Roman" w:hAnsi="Times New Roman" w:cs="Times New Roman"/>
          </w:rPr>
          <w:t>RequestForPublicComment-RulesOfProfessionalConduct-RiskAssessments-123025.pdf</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is requested by </w:t>
      </w:r>
      <w:r>
        <w:rPr>
          <w:rFonts w:ascii="Times New Roman" w:hAnsi="Times New Roman" w:cs="Times New Roman"/>
          <w:b/>
          <w:bCs/>
          <w:u w:val="single"/>
        </w:rPr>
        <w:t>February 20, 2026</w:t>
      </w:r>
      <w:r w:rsidRPr="008D7D4C">
        <w:rPr>
          <w:rFonts w:ascii="Times New Roman" w:hAnsi="Times New Roman" w:cs="Times New Roman"/>
          <w:b/>
          <w:bCs/>
          <w:u w:val="single"/>
        </w:rPr>
        <w:t>.</w:t>
      </w:r>
    </w:p>
    <w:sectPr w:rsidR="00FD6C82" w:rsidSect="00817AF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7CED" w14:textId="77777777" w:rsidR="008A3BB9" w:rsidRDefault="008A3BB9" w:rsidP="0013568D">
      <w:pPr>
        <w:spacing w:after="0" w:line="240" w:lineRule="auto"/>
      </w:pPr>
      <w:r>
        <w:separator/>
      </w:r>
    </w:p>
  </w:endnote>
  <w:endnote w:type="continuationSeparator" w:id="0">
    <w:p w14:paraId="39B6354E" w14:textId="77777777" w:rsidR="008A3BB9" w:rsidRDefault="008A3BB9"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rPr>
            <w:b/>
            <w:bCs/>
            <w:i/>
            <w:iCs/>
          </w:rPr>
          <w:id w:val="-1769616900"/>
          <w:docPartObj>
            <w:docPartGallery w:val="Page Numbers (Top of Page)"/>
            <w:docPartUnique/>
          </w:docPartObj>
        </w:sdtPr>
        <w:sdtEndPr>
          <w:rPr>
            <w:b w:val="0"/>
            <w:bCs w:val="0"/>
            <w:i w:val="0"/>
            <w:iCs w:val="0"/>
          </w:rPr>
        </w:sdtEndPr>
        <w:sdtContent>
          <w:p w14:paraId="550BA402" w14:textId="2F8CC621" w:rsidR="0013568D" w:rsidRDefault="0053306F">
            <w:pPr>
              <w:pStyle w:val="Footer"/>
              <w:jc w:val="right"/>
            </w:pPr>
            <w:r>
              <w:rPr>
                <w:b/>
                <w:bCs/>
                <w:i/>
                <w:iCs/>
              </w:rPr>
              <w:t>NYSBA Family Law Section Update</w:t>
            </w:r>
            <w:r w:rsidR="00601F22">
              <w:rPr>
                <w:b/>
                <w:bCs/>
                <w:i/>
                <w:iCs/>
              </w:rPr>
              <w:t>,</w:t>
            </w:r>
            <w:r w:rsidR="00013D0E" w:rsidRPr="00351E36">
              <w:rPr>
                <w:b/>
                <w:bCs/>
                <w:i/>
                <w:iCs/>
              </w:rPr>
              <w:t xml:space="preserve"> </w:t>
            </w:r>
            <w:r w:rsidR="00053972">
              <w:rPr>
                <w:b/>
                <w:bCs/>
                <w:i/>
                <w:iCs/>
              </w:rPr>
              <w:t>January 2026</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486F" w14:textId="77777777" w:rsidR="008A3BB9" w:rsidRDefault="008A3BB9" w:rsidP="0013568D">
      <w:pPr>
        <w:spacing w:after="0" w:line="240" w:lineRule="auto"/>
      </w:pPr>
      <w:r>
        <w:separator/>
      </w:r>
    </w:p>
  </w:footnote>
  <w:footnote w:type="continuationSeparator" w:id="0">
    <w:p w14:paraId="734EACFF" w14:textId="77777777" w:rsidR="008A3BB9" w:rsidRDefault="008A3BB9"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466"/>
    <w:rsid w:val="00002FED"/>
    <w:rsid w:val="00013D0E"/>
    <w:rsid w:val="000213AD"/>
    <w:rsid w:val="00022EF5"/>
    <w:rsid w:val="000254B3"/>
    <w:rsid w:val="00026D0C"/>
    <w:rsid w:val="00030500"/>
    <w:rsid w:val="00030C5E"/>
    <w:rsid w:val="00030E7B"/>
    <w:rsid w:val="000322B8"/>
    <w:rsid w:val="00032EA3"/>
    <w:rsid w:val="00033C3A"/>
    <w:rsid w:val="000401CE"/>
    <w:rsid w:val="000404FD"/>
    <w:rsid w:val="00041C00"/>
    <w:rsid w:val="00047D19"/>
    <w:rsid w:val="00047F89"/>
    <w:rsid w:val="00051512"/>
    <w:rsid w:val="00051F5B"/>
    <w:rsid w:val="00052C0D"/>
    <w:rsid w:val="00053286"/>
    <w:rsid w:val="000532D9"/>
    <w:rsid w:val="00053972"/>
    <w:rsid w:val="000540AA"/>
    <w:rsid w:val="000551E0"/>
    <w:rsid w:val="0005543C"/>
    <w:rsid w:val="000567CA"/>
    <w:rsid w:val="00060F94"/>
    <w:rsid w:val="0006218A"/>
    <w:rsid w:val="000625A6"/>
    <w:rsid w:val="00062CD7"/>
    <w:rsid w:val="000654AE"/>
    <w:rsid w:val="00066217"/>
    <w:rsid w:val="00066226"/>
    <w:rsid w:val="000662E8"/>
    <w:rsid w:val="00066D9F"/>
    <w:rsid w:val="0006780C"/>
    <w:rsid w:val="000700E4"/>
    <w:rsid w:val="00071082"/>
    <w:rsid w:val="00071B05"/>
    <w:rsid w:val="00073930"/>
    <w:rsid w:val="0007559B"/>
    <w:rsid w:val="00076A51"/>
    <w:rsid w:val="00076AAD"/>
    <w:rsid w:val="0008087F"/>
    <w:rsid w:val="000827AF"/>
    <w:rsid w:val="00083375"/>
    <w:rsid w:val="00084F76"/>
    <w:rsid w:val="00085BF5"/>
    <w:rsid w:val="00086653"/>
    <w:rsid w:val="000905EB"/>
    <w:rsid w:val="0009096F"/>
    <w:rsid w:val="00091F6C"/>
    <w:rsid w:val="00093E1C"/>
    <w:rsid w:val="00095C78"/>
    <w:rsid w:val="00096BC4"/>
    <w:rsid w:val="00097CD9"/>
    <w:rsid w:val="000A116B"/>
    <w:rsid w:val="000A6E42"/>
    <w:rsid w:val="000B032A"/>
    <w:rsid w:val="000B21E3"/>
    <w:rsid w:val="000B536B"/>
    <w:rsid w:val="000B5F96"/>
    <w:rsid w:val="000B64E3"/>
    <w:rsid w:val="000C0C43"/>
    <w:rsid w:val="000C1A7B"/>
    <w:rsid w:val="000C5DFF"/>
    <w:rsid w:val="000C785E"/>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466"/>
    <w:rsid w:val="00105BF2"/>
    <w:rsid w:val="00105D6C"/>
    <w:rsid w:val="00107716"/>
    <w:rsid w:val="0011039E"/>
    <w:rsid w:val="00110B69"/>
    <w:rsid w:val="00111B35"/>
    <w:rsid w:val="0011428F"/>
    <w:rsid w:val="00116A8B"/>
    <w:rsid w:val="001248D2"/>
    <w:rsid w:val="001258E1"/>
    <w:rsid w:val="001261EF"/>
    <w:rsid w:val="001270FF"/>
    <w:rsid w:val="0013228F"/>
    <w:rsid w:val="001334B5"/>
    <w:rsid w:val="00133775"/>
    <w:rsid w:val="00135004"/>
    <w:rsid w:val="0013568D"/>
    <w:rsid w:val="001372A1"/>
    <w:rsid w:val="00137E75"/>
    <w:rsid w:val="0014019F"/>
    <w:rsid w:val="001423A0"/>
    <w:rsid w:val="00142D95"/>
    <w:rsid w:val="00144E14"/>
    <w:rsid w:val="00147B98"/>
    <w:rsid w:val="001611AD"/>
    <w:rsid w:val="001626DE"/>
    <w:rsid w:val="00162DC8"/>
    <w:rsid w:val="00164586"/>
    <w:rsid w:val="0016480B"/>
    <w:rsid w:val="00166C26"/>
    <w:rsid w:val="001710F3"/>
    <w:rsid w:val="00171E6E"/>
    <w:rsid w:val="001758DF"/>
    <w:rsid w:val="00176799"/>
    <w:rsid w:val="00177866"/>
    <w:rsid w:val="0018302A"/>
    <w:rsid w:val="00186704"/>
    <w:rsid w:val="001903F1"/>
    <w:rsid w:val="00191BDF"/>
    <w:rsid w:val="00191C80"/>
    <w:rsid w:val="001927B1"/>
    <w:rsid w:val="00192EA0"/>
    <w:rsid w:val="0019396E"/>
    <w:rsid w:val="00195367"/>
    <w:rsid w:val="00196B70"/>
    <w:rsid w:val="00197828"/>
    <w:rsid w:val="00197BE1"/>
    <w:rsid w:val="001A37A7"/>
    <w:rsid w:val="001A41F3"/>
    <w:rsid w:val="001A59EF"/>
    <w:rsid w:val="001A729B"/>
    <w:rsid w:val="001B09C1"/>
    <w:rsid w:val="001B1566"/>
    <w:rsid w:val="001B19AC"/>
    <w:rsid w:val="001B1BD5"/>
    <w:rsid w:val="001B28C0"/>
    <w:rsid w:val="001B5D93"/>
    <w:rsid w:val="001B66E4"/>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E7DE2"/>
    <w:rsid w:val="001F1D15"/>
    <w:rsid w:val="001F1EAC"/>
    <w:rsid w:val="001F3A03"/>
    <w:rsid w:val="001F4407"/>
    <w:rsid w:val="001F4CBA"/>
    <w:rsid w:val="001F4F0E"/>
    <w:rsid w:val="001F7222"/>
    <w:rsid w:val="00200A25"/>
    <w:rsid w:val="00200D26"/>
    <w:rsid w:val="00202830"/>
    <w:rsid w:val="00202B4F"/>
    <w:rsid w:val="0020543B"/>
    <w:rsid w:val="0020544D"/>
    <w:rsid w:val="00205554"/>
    <w:rsid w:val="00211262"/>
    <w:rsid w:val="00211575"/>
    <w:rsid w:val="00212037"/>
    <w:rsid w:val="0021394D"/>
    <w:rsid w:val="002140D9"/>
    <w:rsid w:val="00214CA3"/>
    <w:rsid w:val="0021690E"/>
    <w:rsid w:val="002178BA"/>
    <w:rsid w:val="00222428"/>
    <w:rsid w:val="002300D3"/>
    <w:rsid w:val="00231ABD"/>
    <w:rsid w:val="002359AD"/>
    <w:rsid w:val="002366B4"/>
    <w:rsid w:val="00236893"/>
    <w:rsid w:val="00240B7B"/>
    <w:rsid w:val="002416A0"/>
    <w:rsid w:val="002418FB"/>
    <w:rsid w:val="00243BBC"/>
    <w:rsid w:val="002442F7"/>
    <w:rsid w:val="00244B55"/>
    <w:rsid w:val="00245175"/>
    <w:rsid w:val="002476E7"/>
    <w:rsid w:val="00250F9D"/>
    <w:rsid w:val="002539EE"/>
    <w:rsid w:val="00255048"/>
    <w:rsid w:val="0025657B"/>
    <w:rsid w:val="002576B1"/>
    <w:rsid w:val="00260F81"/>
    <w:rsid w:val="00263553"/>
    <w:rsid w:val="002635EA"/>
    <w:rsid w:val="0026369F"/>
    <w:rsid w:val="002640C3"/>
    <w:rsid w:val="00264B31"/>
    <w:rsid w:val="00264D9B"/>
    <w:rsid w:val="00264DB3"/>
    <w:rsid w:val="00265850"/>
    <w:rsid w:val="0026604F"/>
    <w:rsid w:val="00266CF4"/>
    <w:rsid w:val="00274E69"/>
    <w:rsid w:val="00275787"/>
    <w:rsid w:val="0027645F"/>
    <w:rsid w:val="00277304"/>
    <w:rsid w:val="00277940"/>
    <w:rsid w:val="002803DE"/>
    <w:rsid w:val="002816E4"/>
    <w:rsid w:val="002844E5"/>
    <w:rsid w:val="00284525"/>
    <w:rsid w:val="00285163"/>
    <w:rsid w:val="0028627A"/>
    <w:rsid w:val="00286DA7"/>
    <w:rsid w:val="002875C4"/>
    <w:rsid w:val="00287C90"/>
    <w:rsid w:val="0029176C"/>
    <w:rsid w:val="00295975"/>
    <w:rsid w:val="00296312"/>
    <w:rsid w:val="00296407"/>
    <w:rsid w:val="002A00C7"/>
    <w:rsid w:val="002A0635"/>
    <w:rsid w:val="002A378A"/>
    <w:rsid w:val="002A417E"/>
    <w:rsid w:val="002B2655"/>
    <w:rsid w:val="002B3C7F"/>
    <w:rsid w:val="002C0242"/>
    <w:rsid w:val="002C0F9A"/>
    <w:rsid w:val="002C1D9B"/>
    <w:rsid w:val="002C34BB"/>
    <w:rsid w:val="002C371B"/>
    <w:rsid w:val="002C38DD"/>
    <w:rsid w:val="002C408C"/>
    <w:rsid w:val="002C4256"/>
    <w:rsid w:val="002C5EF0"/>
    <w:rsid w:val="002D194C"/>
    <w:rsid w:val="002D21B9"/>
    <w:rsid w:val="002D45D9"/>
    <w:rsid w:val="002D4C74"/>
    <w:rsid w:val="002D6348"/>
    <w:rsid w:val="002D78E1"/>
    <w:rsid w:val="002E01D4"/>
    <w:rsid w:val="002E0C8F"/>
    <w:rsid w:val="002E2596"/>
    <w:rsid w:val="002E493F"/>
    <w:rsid w:val="002E5AF2"/>
    <w:rsid w:val="002F03B1"/>
    <w:rsid w:val="002F1517"/>
    <w:rsid w:val="002F23FB"/>
    <w:rsid w:val="002F473E"/>
    <w:rsid w:val="002F50D8"/>
    <w:rsid w:val="002F7615"/>
    <w:rsid w:val="00300416"/>
    <w:rsid w:val="00300748"/>
    <w:rsid w:val="00302F0A"/>
    <w:rsid w:val="0030321A"/>
    <w:rsid w:val="00303952"/>
    <w:rsid w:val="00304190"/>
    <w:rsid w:val="003136B7"/>
    <w:rsid w:val="003155EB"/>
    <w:rsid w:val="00316AE4"/>
    <w:rsid w:val="00316B46"/>
    <w:rsid w:val="003208C8"/>
    <w:rsid w:val="00321869"/>
    <w:rsid w:val="003270F6"/>
    <w:rsid w:val="0032713C"/>
    <w:rsid w:val="00331173"/>
    <w:rsid w:val="00332ECF"/>
    <w:rsid w:val="00334BEE"/>
    <w:rsid w:val="00334D84"/>
    <w:rsid w:val="003374BD"/>
    <w:rsid w:val="003415F7"/>
    <w:rsid w:val="00341AB2"/>
    <w:rsid w:val="003433C5"/>
    <w:rsid w:val="00344411"/>
    <w:rsid w:val="0035026F"/>
    <w:rsid w:val="00351E36"/>
    <w:rsid w:val="00354A11"/>
    <w:rsid w:val="0035715C"/>
    <w:rsid w:val="0035791C"/>
    <w:rsid w:val="00362AAA"/>
    <w:rsid w:val="00362C17"/>
    <w:rsid w:val="0036502B"/>
    <w:rsid w:val="00365549"/>
    <w:rsid w:val="00367183"/>
    <w:rsid w:val="0037175C"/>
    <w:rsid w:val="00371823"/>
    <w:rsid w:val="00374C34"/>
    <w:rsid w:val="00375621"/>
    <w:rsid w:val="00375AF9"/>
    <w:rsid w:val="00375E4B"/>
    <w:rsid w:val="00381CBC"/>
    <w:rsid w:val="0038342C"/>
    <w:rsid w:val="003861E9"/>
    <w:rsid w:val="00387D11"/>
    <w:rsid w:val="0039326A"/>
    <w:rsid w:val="0039379B"/>
    <w:rsid w:val="00393A13"/>
    <w:rsid w:val="0039601B"/>
    <w:rsid w:val="00397713"/>
    <w:rsid w:val="003A0196"/>
    <w:rsid w:val="003A2DE0"/>
    <w:rsid w:val="003A3A37"/>
    <w:rsid w:val="003A4E0D"/>
    <w:rsid w:val="003A521A"/>
    <w:rsid w:val="003A58AF"/>
    <w:rsid w:val="003A6591"/>
    <w:rsid w:val="003A73BE"/>
    <w:rsid w:val="003B1027"/>
    <w:rsid w:val="003B3BC9"/>
    <w:rsid w:val="003B3D44"/>
    <w:rsid w:val="003B533E"/>
    <w:rsid w:val="003B59AD"/>
    <w:rsid w:val="003B7088"/>
    <w:rsid w:val="003C0C3C"/>
    <w:rsid w:val="003C2789"/>
    <w:rsid w:val="003C531D"/>
    <w:rsid w:val="003C5858"/>
    <w:rsid w:val="003C67FC"/>
    <w:rsid w:val="003C7137"/>
    <w:rsid w:val="003D151D"/>
    <w:rsid w:val="003D2FB1"/>
    <w:rsid w:val="003D7C08"/>
    <w:rsid w:val="003E12C1"/>
    <w:rsid w:val="003E2392"/>
    <w:rsid w:val="003E3A8A"/>
    <w:rsid w:val="003E5A82"/>
    <w:rsid w:val="003E5E58"/>
    <w:rsid w:val="003E618F"/>
    <w:rsid w:val="003F3EFE"/>
    <w:rsid w:val="003F4BBA"/>
    <w:rsid w:val="00401CF6"/>
    <w:rsid w:val="00402074"/>
    <w:rsid w:val="004027AB"/>
    <w:rsid w:val="00402A62"/>
    <w:rsid w:val="00403DB6"/>
    <w:rsid w:val="004055E6"/>
    <w:rsid w:val="00405D6A"/>
    <w:rsid w:val="00406B54"/>
    <w:rsid w:val="00412122"/>
    <w:rsid w:val="00412E43"/>
    <w:rsid w:val="0041565E"/>
    <w:rsid w:val="0042070D"/>
    <w:rsid w:val="0042173F"/>
    <w:rsid w:val="00423B86"/>
    <w:rsid w:val="00424D96"/>
    <w:rsid w:val="00427249"/>
    <w:rsid w:val="0043007A"/>
    <w:rsid w:val="00433165"/>
    <w:rsid w:val="00434674"/>
    <w:rsid w:val="004352EE"/>
    <w:rsid w:val="00436002"/>
    <w:rsid w:val="00436C6A"/>
    <w:rsid w:val="004403EA"/>
    <w:rsid w:val="0044154F"/>
    <w:rsid w:val="00441764"/>
    <w:rsid w:val="0044182D"/>
    <w:rsid w:val="00442151"/>
    <w:rsid w:val="00442B12"/>
    <w:rsid w:val="00442E95"/>
    <w:rsid w:val="00443DF1"/>
    <w:rsid w:val="00444E1C"/>
    <w:rsid w:val="00445701"/>
    <w:rsid w:val="00445B42"/>
    <w:rsid w:val="00447881"/>
    <w:rsid w:val="00447B0B"/>
    <w:rsid w:val="00455A34"/>
    <w:rsid w:val="004567BA"/>
    <w:rsid w:val="00456862"/>
    <w:rsid w:val="00456919"/>
    <w:rsid w:val="00460089"/>
    <w:rsid w:val="00460CF1"/>
    <w:rsid w:val="004617EF"/>
    <w:rsid w:val="00464212"/>
    <w:rsid w:val="0046490D"/>
    <w:rsid w:val="00466410"/>
    <w:rsid w:val="00470443"/>
    <w:rsid w:val="00472A91"/>
    <w:rsid w:val="00474065"/>
    <w:rsid w:val="004773F0"/>
    <w:rsid w:val="00480909"/>
    <w:rsid w:val="00480FC7"/>
    <w:rsid w:val="0048175B"/>
    <w:rsid w:val="004817E1"/>
    <w:rsid w:val="00485028"/>
    <w:rsid w:val="00487D28"/>
    <w:rsid w:val="00490C4F"/>
    <w:rsid w:val="0049268A"/>
    <w:rsid w:val="004937E4"/>
    <w:rsid w:val="004975B0"/>
    <w:rsid w:val="004A1A7F"/>
    <w:rsid w:val="004A26C8"/>
    <w:rsid w:val="004A40BC"/>
    <w:rsid w:val="004A55CA"/>
    <w:rsid w:val="004B14D5"/>
    <w:rsid w:val="004B1E3E"/>
    <w:rsid w:val="004B23DB"/>
    <w:rsid w:val="004B5BF7"/>
    <w:rsid w:val="004B6E26"/>
    <w:rsid w:val="004C11F7"/>
    <w:rsid w:val="004C1B2A"/>
    <w:rsid w:val="004C2690"/>
    <w:rsid w:val="004C2D8F"/>
    <w:rsid w:val="004C6309"/>
    <w:rsid w:val="004C6FEA"/>
    <w:rsid w:val="004D122F"/>
    <w:rsid w:val="004D1831"/>
    <w:rsid w:val="004D1B2F"/>
    <w:rsid w:val="004D2AAD"/>
    <w:rsid w:val="004D348C"/>
    <w:rsid w:val="004D3CD1"/>
    <w:rsid w:val="004D5479"/>
    <w:rsid w:val="004D7017"/>
    <w:rsid w:val="004E0119"/>
    <w:rsid w:val="004E02BA"/>
    <w:rsid w:val="004E0A2A"/>
    <w:rsid w:val="004E304C"/>
    <w:rsid w:val="004E3DE2"/>
    <w:rsid w:val="004E4A48"/>
    <w:rsid w:val="004E578D"/>
    <w:rsid w:val="004F183D"/>
    <w:rsid w:val="004F1E58"/>
    <w:rsid w:val="004F2B31"/>
    <w:rsid w:val="004F2D7B"/>
    <w:rsid w:val="004F34EE"/>
    <w:rsid w:val="004F46B1"/>
    <w:rsid w:val="004F71FB"/>
    <w:rsid w:val="0050045E"/>
    <w:rsid w:val="00503467"/>
    <w:rsid w:val="0050389F"/>
    <w:rsid w:val="00504AA4"/>
    <w:rsid w:val="005061E0"/>
    <w:rsid w:val="0051207C"/>
    <w:rsid w:val="005136EF"/>
    <w:rsid w:val="00514134"/>
    <w:rsid w:val="00520D3D"/>
    <w:rsid w:val="00523DA5"/>
    <w:rsid w:val="005244CF"/>
    <w:rsid w:val="005254EB"/>
    <w:rsid w:val="00525DC5"/>
    <w:rsid w:val="0052614B"/>
    <w:rsid w:val="00531535"/>
    <w:rsid w:val="00532B1B"/>
    <w:rsid w:val="00532BC6"/>
    <w:rsid w:val="0053306F"/>
    <w:rsid w:val="005335A2"/>
    <w:rsid w:val="00534D55"/>
    <w:rsid w:val="00534ECF"/>
    <w:rsid w:val="00540676"/>
    <w:rsid w:val="0054078A"/>
    <w:rsid w:val="005409A9"/>
    <w:rsid w:val="00540FC7"/>
    <w:rsid w:val="005428A6"/>
    <w:rsid w:val="0054330B"/>
    <w:rsid w:val="00543617"/>
    <w:rsid w:val="00543D1C"/>
    <w:rsid w:val="00545857"/>
    <w:rsid w:val="005507B6"/>
    <w:rsid w:val="00552BF3"/>
    <w:rsid w:val="005547A4"/>
    <w:rsid w:val="0055670A"/>
    <w:rsid w:val="00557CD2"/>
    <w:rsid w:val="00561B60"/>
    <w:rsid w:val="00561F6A"/>
    <w:rsid w:val="005636F9"/>
    <w:rsid w:val="00564040"/>
    <w:rsid w:val="0056461A"/>
    <w:rsid w:val="0057264C"/>
    <w:rsid w:val="00574051"/>
    <w:rsid w:val="00574618"/>
    <w:rsid w:val="005750C3"/>
    <w:rsid w:val="005764AE"/>
    <w:rsid w:val="005767B5"/>
    <w:rsid w:val="00581B3D"/>
    <w:rsid w:val="0058313B"/>
    <w:rsid w:val="005834BD"/>
    <w:rsid w:val="0058461B"/>
    <w:rsid w:val="005854D5"/>
    <w:rsid w:val="00587C83"/>
    <w:rsid w:val="00590397"/>
    <w:rsid w:val="00591B5A"/>
    <w:rsid w:val="00591FEA"/>
    <w:rsid w:val="00593428"/>
    <w:rsid w:val="005941DF"/>
    <w:rsid w:val="00596002"/>
    <w:rsid w:val="0059627F"/>
    <w:rsid w:val="0059679A"/>
    <w:rsid w:val="005A11BF"/>
    <w:rsid w:val="005A14E6"/>
    <w:rsid w:val="005A20B1"/>
    <w:rsid w:val="005A43BD"/>
    <w:rsid w:val="005A63C9"/>
    <w:rsid w:val="005B0F11"/>
    <w:rsid w:val="005B1C52"/>
    <w:rsid w:val="005B3F80"/>
    <w:rsid w:val="005B40E1"/>
    <w:rsid w:val="005B4A10"/>
    <w:rsid w:val="005B7C91"/>
    <w:rsid w:val="005C0C8C"/>
    <w:rsid w:val="005C2F2D"/>
    <w:rsid w:val="005C3139"/>
    <w:rsid w:val="005C4305"/>
    <w:rsid w:val="005C5D5A"/>
    <w:rsid w:val="005C7097"/>
    <w:rsid w:val="005C75EE"/>
    <w:rsid w:val="005D137C"/>
    <w:rsid w:val="005D1A9A"/>
    <w:rsid w:val="005D528C"/>
    <w:rsid w:val="005D7B18"/>
    <w:rsid w:val="005E2B5F"/>
    <w:rsid w:val="005E3BFD"/>
    <w:rsid w:val="005E436D"/>
    <w:rsid w:val="005F11C0"/>
    <w:rsid w:val="005F1FE4"/>
    <w:rsid w:val="005F23A3"/>
    <w:rsid w:val="005F4375"/>
    <w:rsid w:val="005F4E5A"/>
    <w:rsid w:val="005F523E"/>
    <w:rsid w:val="005F53C7"/>
    <w:rsid w:val="006001EC"/>
    <w:rsid w:val="006008DC"/>
    <w:rsid w:val="00601F22"/>
    <w:rsid w:val="00603B56"/>
    <w:rsid w:val="006041F0"/>
    <w:rsid w:val="00604BBE"/>
    <w:rsid w:val="006074D7"/>
    <w:rsid w:val="00615EBA"/>
    <w:rsid w:val="006163E7"/>
    <w:rsid w:val="006206B6"/>
    <w:rsid w:val="006207B6"/>
    <w:rsid w:val="00620B69"/>
    <w:rsid w:val="00620BCC"/>
    <w:rsid w:val="006244B6"/>
    <w:rsid w:val="00624BFB"/>
    <w:rsid w:val="006250E1"/>
    <w:rsid w:val="00626431"/>
    <w:rsid w:val="006268E6"/>
    <w:rsid w:val="006275BD"/>
    <w:rsid w:val="00630E8A"/>
    <w:rsid w:val="00631D12"/>
    <w:rsid w:val="00631E50"/>
    <w:rsid w:val="00632DF8"/>
    <w:rsid w:val="00633F7B"/>
    <w:rsid w:val="0063482D"/>
    <w:rsid w:val="00637907"/>
    <w:rsid w:val="0064076C"/>
    <w:rsid w:val="0064131D"/>
    <w:rsid w:val="00641967"/>
    <w:rsid w:val="006446D9"/>
    <w:rsid w:val="00646820"/>
    <w:rsid w:val="00647E41"/>
    <w:rsid w:val="006503C8"/>
    <w:rsid w:val="00652EDA"/>
    <w:rsid w:val="006534E1"/>
    <w:rsid w:val="00653A61"/>
    <w:rsid w:val="00653C6D"/>
    <w:rsid w:val="00654971"/>
    <w:rsid w:val="00654C14"/>
    <w:rsid w:val="00654EDC"/>
    <w:rsid w:val="00655DF5"/>
    <w:rsid w:val="00660DA3"/>
    <w:rsid w:val="0066211F"/>
    <w:rsid w:val="00662472"/>
    <w:rsid w:val="00662593"/>
    <w:rsid w:val="00662C8E"/>
    <w:rsid w:val="00673005"/>
    <w:rsid w:val="00674FBC"/>
    <w:rsid w:val="006768D4"/>
    <w:rsid w:val="00676DB4"/>
    <w:rsid w:val="00676E0C"/>
    <w:rsid w:val="0067755D"/>
    <w:rsid w:val="00677776"/>
    <w:rsid w:val="006806C2"/>
    <w:rsid w:val="00681041"/>
    <w:rsid w:val="006814A3"/>
    <w:rsid w:val="00681FF3"/>
    <w:rsid w:val="00682416"/>
    <w:rsid w:val="00682F58"/>
    <w:rsid w:val="00684C18"/>
    <w:rsid w:val="00684C68"/>
    <w:rsid w:val="00687A35"/>
    <w:rsid w:val="00690935"/>
    <w:rsid w:val="006909C0"/>
    <w:rsid w:val="00690AAF"/>
    <w:rsid w:val="00691C58"/>
    <w:rsid w:val="006930CE"/>
    <w:rsid w:val="006934AC"/>
    <w:rsid w:val="00693AB6"/>
    <w:rsid w:val="00695392"/>
    <w:rsid w:val="00696AF5"/>
    <w:rsid w:val="006976EF"/>
    <w:rsid w:val="006976F6"/>
    <w:rsid w:val="0069775F"/>
    <w:rsid w:val="006A15AC"/>
    <w:rsid w:val="006A1E72"/>
    <w:rsid w:val="006A3CE8"/>
    <w:rsid w:val="006A51E4"/>
    <w:rsid w:val="006A53A1"/>
    <w:rsid w:val="006A543B"/>
    <w:rsid w:val="006A5A7F"/>
    <w:rsid w:val="006A608A"/>
    <w:rsid w:val="006B4BE8"/>
    <w:rsid w:val="006C00DA"/>
    <w:rsid w:val="006C5C0A"/>
    <w:rsid w:val="006C650A"/>
    <w:rsid w:val="006C66A9"/>
    <w:rsid w:val="006D0E76"/>
    <w:rsid w:val="006D181B"/>
    <w:rsid w:val="006D4A7A"/>
    <w:rsid w:val="006E43BC"/>
    <w:rsid w:val="006E457A"/>
    <w:rsid w:val="006E4AE6"/>
    <w:rsid w:val="006E5D5C"/>
    <w:rsid w:val="006E6426"/>
    <w:rsid w:val="006E64B0"/>
    <w:rsid w:val="006F28E2"/>
    <w:rsid w:val="006F2B5D"/>
    <w:rsid w:val="006F39E4"/>
    <w:rsid w:val="006F4972"/>
    <w:rsid w:val="006F6113"/>
    <w:rsid w:val="007023ED"/>
    <w:rsid w:val="007034E4"/>
    <w:rsid w:val="00704457"/>
    <w:rsid w:val="0070449D"/>
    <w:rsid w:val="007058D9"/>
    <w:rsid w:val="00707127"/>
    <w:rsid w:val="00711785"/>
    <w:rsid w:val="00712602"/>
    <w:rsid w:val="00713918"/>
    <w:rsid w:val="007165EB"/>
    <w:rsid w:val="00722019"/>
    <w:rsid w:val="00722A55"/>
    <w:rsid w:val="007261F7"/>
    <w:rsid w:val="00726C77"/>
    <w:rsid w:val="00727088"/>
    <w:rsid w:val="007333D3"/>
    <w:rsid w:val="00734B55"/>
    <w:rsid w:val="00737D0E"/>
    <w:rsid w:val="007413B0"/>
    <w:rsid w:val="00741F62"/>
    <w:rsid w:val="00743824"/>
    <w:rsid w:val="007479BB"/>
    <w:rsid w:val="00750118"/>
    <w:rsid w:val="00750B3D"/>
    <w:rsid w:val="00752151"/>
    <w:rsid w:val="007522E2"/>
    <w:rsid w:val="0075384D"/>
    <w:rsid w:val="00753F42"/>
    <w:rsid w:val="00754F0F"/>
    <w:rsid w:val="007555CE"/>
    <w:rsid w:val="00755DD0"/>
    <w:rsid w:val="00756153"/>
    <w:rsid w:val="00756403"/>
    <w:rsid w:val="0075779E"/>
    <w:rsid w:val="0076014C"/>
    <w:rsid w:val="007604D9"/>
    <w:rsid w:val="007627B6"/>
    <w:rsid w:val="00766728"/>
    <w:rsid w:val="007701FC"/>
    <w:rsid w:val="0077038C"/>
    <w:rsid w:val="00772BC3"/>
    <w:rsid w:val="0077356F"/>
    <w:rsid w:val="007741D3"/>
    <w:rsid w:val="00774719"/>
    <w:rsid w:val="0077478E"/>
    <w:rsid w:val="007773D2"/>
    <w:rsid w:val="0078177F"/>
    <w:rsid w:val="00783484"/>
    <w:rsid w:val="00783A91"/>
    <w:rsid w:val="00783B98"/>
    <w:rsid w:val="00787BAF"/>
    <w:rsid w:val="00791A4E"/>
    <w:rsid w:val="00792C72"/>
    <w:rsid w:val="00792DC9"/>
    <w:rsid w:val="00793B25"/>
    <w:rsid w:val="007940C4"/>
    <w:rsid w:val="0079413E"/>
    <w:rsid w:val="00795C14"/>
    <w:rsid w:val="0079600E"/>
    <w:rsid w:val="007A12A9"/>
    <w:rsid w:val="007A23A9"/>
    <w:rsid w:val="007A2D12"/>
    <w:rsid w:val="007B0927"/>
    <w:rsid w:val="007B13CE"/>
    <w:rsid w:val="007B1F53"/>
    <w:rsid w:val="007B398A"/>
    <w:rsid w:val="007B599D"/>
    <w:rsid w:val="007B7631"/>
    <w:rsid w:val="007B7D13"/>
    <w:rsid w:val="007C1BF4"/>
    <w:rsid w:val="007C3314"/>
    <w:rsid w:val="007C6CD2"/>
    <w:rsid w:val="007C746B"/>
    <w:rsid w:val="007C776D"/>
    <w:rsid w:val="007C7ACA"/>
    <w:rsid w:val="007D26EF"/>
    <w:rsid w:val="007D36CB"/>
    <w:rsid w:val="007D43E5"/>
    <w:rsid w:val="007D4702"/>
    <w:rsid w:val="007D5697"/>
    <w:rsid w:val="007D64B6"/>
    <w:rsid w:val="007D66D6"/>
    <w:rsid w:val="007D6956"/>
    <w:rsid w:val="007D7789"/>
    <w:rsid w:val="007E0AFE"/>
    <w:rsid w:val="007E5221"/>
    <w:rsid w:val="007E6901"/>
    <w:rsid w:val="007E71A2"/>
    <w:rsid w:val="007E7E51"/>
    <w:rsid w:val="007E7ECB"/>
    <w:rsid w:val="007F0353"/>
    <w:rsid w:val="007F0FAA"/>
    <w:rsid w:val="007F0FE7"/>
    <w:rsid w:val="007F14BE"/>
    <w:rsid w:val="007F1901"/>
    <w:rsid w:val="007F1921"/>
    <w:rsid w:val="007F2E6D"/>
    <w:rsid w:val="007F367F"/>
    <w:rsid w:val="007F36DF"/>
    <w:rsid w:val="007F3A6D"/>
    <w:rsid w:val="008014F1"/>
    <w:rsid w:val="00801E66"/>
    <w:rsid w:val="00802BC6"/>
    <w:rsid w:val="00805174"/>
    <w:rsid w:val="0080647E"/>
    <w:rsid w:val="00806731"/>
    <w:rsid w:val="0080674A"/>
    <w:rsid w:val="008076B1"/>
    <w:rsid w:val="00813A43"/>
    <w:rsid w:val="00815927"/>
    <w:rsid w:val="00817ADB"/>
    <w:rsid w:val="00817AF0"/>
    <w:rsid w:val="00822735"/>
    <w:rsid w:val="00825244"/>
    <w:rsid w:val="008256BC"/>
    <w:rsid w:val="00831BF4"/>
    <w:rsid w:val="0083296D"/>
    <w:rsid w:val="00832EE4"/>
    <w:rsid w:val="0083549F"/>
    <w:rsid w:val="00835E2A"/>
    <w:rsid w:val="008368B0"/>
    <w:rsid w:val="008370E9"/>
    <w:rsid w:val="00837EF3"/>
    <w:rsid w:val="00840290"/>
    <w:rsid w:val="0084153B"/>
    <w:rsid w:val="00841F77"/>
    <w:rsid w:val="0084263A"/>
    <w:rsid w:val="00844D77"/>
    <w:rsid w:val="00844F0E"/>
    <w:rsid w:val="00845B5C"/>
    <w:rsid w:val="00846723"/>
    <w:rsid w:val="00850E04"/>
    <w:rsid w:val="008539B2"/>
    <w:rsid w:val="00855452"/>
    <w:rsid w:val="0085574B"/>
    <w:rsid w:val="00857BC9"/>
    <w:rsid w:val="00862943"/>
    <w:rsid w:val="00872814"/>
    <w:rsid w:val="00872AEB"/>
    <w:rsid w:val="0088124E"/>
    <w:rsid w:val="0089226B"/>
    <w:rsid w:val="00893F63"/>
    <w:rsid w:val="00895F93"/>
    <w:rsid w:val="00896DD4"/>
    <w:rsid w:val="00896F6E"/>
    <w:rsid w:val="0089741C"/>
    <w:rsid w:val="00897F14"/>
    <w:rsid w:val="00897F26"/>
    <w:rsid w:val="008A11BF"/>
    <w:rsid w:val="008A3BB9"/>
    <w:rsid w:val="008B0051"/>
    <w:rsid w:val="008B2B87"/>
    <w:rsid w:val="008B4AF2"/>
    <w:rsid w:val="008B56BA"/>
    <w:rsid w:val="008B7085"/>
    <w:rsid w:val="008B7888"/>
    <w:rsid w:val="008C05AE"/>
    <w:rsid w:val="008C145B"/>
    <w:rsid w:val="008C186F"/>
    <w:rsid w:val="008C189C"/>
    <w:rsid w:val="008C2582"/>
    <w:rsid w:val="008C33BB"/>
    <w:rsid w:val="008C651D"/>
    <w:rsid w:val="008C715C"/>
    <w:rsid w:val="008D2AC8"/>
    <w:rsid w:val="008D3A1D"/>
    <w:rsid w:val="008D5F44"/>
    <w:rsid w:val="008D5F89"/>
    <w:rsid w:val="008E2137"/>
    <w:rsid w:val="008E2AB9"/>
    <w:rsid w:val="008E3966"/>
    <w:rsid w:val="008E3A10"/>
    <w:rsid w:val="008E4B3B"/>
    <w:rsid w:val="008F1A67"/>
    <w:rsid w:val="008F23F2"/>
    <w:rsid w:val="008F5B45"/>
    <w:rsid w:val="00900466"/>
    <w:rsid w:val="00900D3C"/>
    <w:rsid w:val="00900E49"/>
    <w:rsid w:val="0090215F"/>
    <w:rsid w:val="0090241D"/>
    <w:rsid w:val="009048AC"/>
    <w:rsid w:val="009055B2"/>
    <w:rsid w:val="00905997"/>
    <w:rsid w:val="00910EAD"/>
    <w:rsid w:val="00915579"/>
    <w:rsid w:val="00915DEF"/>
    <w:rsid w:val="00916690"/>
    <w:rsid w:val="00920713"/>
    <w:rsid w:val="00922813"/>
    <w:rsid w:val="00922AF3"/>
    <w:rsid w:val="00925C96"/>
    <w:rsid w:val="00926438"/>
    <w:rsid w:val="00926952"/>
    <w:rsid w:val="00932F6F"/>
    <w:rsid w:val="00935EA6"/>
    <w:rsid w:val="00937880"/>
    <w:rsid w:val="0094100B"/>
    <w:rsid w:val="0094307B"/>
    <w:rsid w:val="009463C2"/>
    <w:rsid w:val="00946656"/>
    <w:rsid w:val="009479C7"/>
    <w:rsid w:val="009507F4"/>
    <w:rsid w:val="00952D57"/>
    <w:rsid w:val="00953E64"/>
    <w:rsid w:val="00954676"/>
    <w:rsid w:val="00955C58"/>
    <w:rsid w:val="00956A11"/>
    <w:rsid w:val="009573A3"/>
    <w:rsid w:val="00960F1C"/>
    <w:rsid w:val="00963446"/>
    <w:rsid w:val="009636EE"/>
    <w:rsid w:val="00963AA1"/>
    <w:rsid w:val="009646B0"/>
    <w:rsid w:val="00964C56"/>
    <w:rsid w:val="009719A3"/>
    <w:rsid w:val="0097513C"/>
    <w:rsid w:val="00975A07"/>
    <w:rsid w:val="00976DCF"/>
    <w:rsid w:val="009775DF"/>
    <w:rsid w:val="00983212"/>
    <w:rsid w:val="0098400E"/>
    <w:rsid w:val="0098646D"/>
    <w:rsid w:val="00990D77"/>
    <w:rsid w:val="0099446A"/>
    <w:rsid w:val="00994F89"/>
    <w:rsid w:val="00997FA9"/>
    <w:rsid w:val="009A1615"/>
    <w:rsid w:val="009A29BF"/>
    <w:rsid w:val="009A315A"/>
    <w:rsid w:val="009A4576"/>
    <w:rsid w:val="009A4CE7"/>
    <w:rsid w:val="009A5971"/>
    <w:rsid w:val="009A5A55"/>
    <w:rsid w:val="009A5BA5"/>
    <w:rsid w:val="009A6839"/>
    <w:rsid w:val="009A6AD5"/>
    <w:rsid w:val="009A77C4"/>
    <w:rsid w:val="009A7D8C"/>
    <w:rsid w:val="009B1427"/>
    <w:rsid w:val="009B457C"/>
    <w:rsid w:val="009B63D2"/>
    <w:rsid w:val="009C25D9"/>
    <w:rsid w:val="009C2B63"/>
    <w:rsid w:val="009C2EF5"/>
    <w:rsid w:val="009D16C6"/>
    <w:rsid w:val="009E1888"/>
    <w:rsid w:val="009E28DC"/>
    <w:rsid w:val="009E304D"/>
    <w:rsid w:val="009E56A0"/>
    <w:rsid w:val="009F0FA5"/>
    <w:rsid w:val="009F1F13"/>
    <w:rsid w:val="009F3787"/>
    <w:rsid w:val="009F379D"/>
    <w:rsid w:val="009F71BA"/>
    <w:rsid w:val="009F786C"/>
    <w:rsid w:val="00A0076E"/>
    <w:rsid w:val="00A01BE5"/>
    <w:rsid w:val="00A04C4B"/>
    <w:rsid w:val="00A04CD8"/>
    <w:rsid w:val="00A06B07"/>
    <w:rsid w:val="00A06DC6"/>
    <w:rsid w:val="00A06E64"/>
    <w:rsid w:val="00A0753F"/>
    <w:rsid w:val="00A07979"/>
    <w:rsid w:val="00A10259"/>
    <w:rsid w:val="00A11264"/>
    <w:rsid w:val="00A1162D"/>
    <w:rsid w:val="00A13080"/>
    <w:rsid w:val="00A1338F"/>
    <w:rsid w:val="00A13967"/>
    <w:rsid w:val="00A1542F"/>
    <w:rsid w:val="00A15BC1"/>
    <w:rsid w:val="00A16892"/>
    <w:rsid w:val="00A16C7D"/>
    <w:rsid w:val="00A20024"/>
    <w:rsid w:val="00A22355"/>
    <w:rsid w:val="00A22728"/>
    <w:rsid w:val="00A25D6D"/>
    <w:rsid w:val="00A279E6"/>
    <w:rsid w:val="00A350A3"/>
    <w:rsid w:val="00A36479"/>
    <w:rsid w:val="00A43ED8"/>
    <w:rsid w:val="00A43FC9"/>
    <w:rsid w:val="00A54CD2"/>
    <w:rsid w:val="00A55554"/>
    <w:rsid w:val="00A57CC7"/>
    <w:rsid w:val="00A61A8B"/>
    <w:rsid w:val="00A65503"/>
    <w:rsid w:val="00A669A6"/>
    <w:rsid w:val="00A6729A"/>
    <w:rsid w:val="00A7124C"/>
    <w:rsid w:val="00A73D94"/>
    <w:rsid w:val="00A746FC"/>
    <w:rsid w:val="00A75B6F"/>
    <w:rsid w:val="00A83FEB"/>
    <w:rsid w:val="00A8477A"/>
    <w:rsid w:val="00A84907"/>
    <w:rsid w:val="00A85C88"/>
    <w:rsid w:val="00A911AB"/>
    <w:rsid w:val="00A9259B"/>
    <w:rsid w:val="00A94CEF"/>
    <w:rsid w:val="00A95835"/>
    <w:rsid w:val="00A960E9"/>
    <w:rsid w:val="00AA008A"/>
    <w:rsid w:val="00AA0AD2"/>
    <w:rsid w:val="00AA33D7"/>
    <w:rsid w:val="00AA37B5"/>
    <w:rsid w:val="00AA40AC"/>
    <w:rsid w:val="00AA6304"/>
    <w:rsid w:val="00AA6D49"/>
    <w:rsid w:val="00AB0549"/>
    <w:rsid w:val="00AB0F3D"/>
    <w:rsid w:val="00AB1981"/>
    <w:rsid w:val="00AB1C59"/>
    <w:rsid w:val="00AB1F18"/>
    <w:rsid w:val="00AB2711"/>
    <w:rsid w:val="00AB2D56"/>
    <w:rsid w:val="00AB2F6E"/>
    <w:rsid w:val="00AB36FD"/>
    <w:rsid w:val="00AB425B"/>
    <w:rsid w:val="00AB43F7"/>
    <w:rsid w:val="00AB482C"/>
    <w:rsid w:val="00AB6102"/>
    <w:rsid w:val="00AC33A6"/>
    <w:rsid w:val="00AC35F3"/>
    <w:rsid w:val="00AC39FC"/>
    <w:rsid w:val="00AC66F6"/>
    <w:rsid w:val="00AD22A2"/>
    <w:rsid w:val="00AD31F0"/>
    <w:rsid w:val="00AD51E1"/>
    <w:rsid w:val="00AD57BF"/>
    <w:rsid w:val="00AD608C"/>
    <w:rsid w:val="00AD6936"/>
    <w:rsid w:val="00AD7210"/>
    <w:rsid w:val="00AE1154"/>
    <w:rsid w:val="00AE1F87"/>
    <w:rsid w:val="00AE237E"/>
    <w:rsid w:val="00AE247D"/>
    <w:rsid w:val="00AE3480"/>
    <w:rsid w:val="00AE36CB"/>
    <w:rsid w:val="00AE49C5"/>
    <w:rsid w:val="00AE4D2C"/>
    <w:rsid w:val="00AE5B72"/>
    <w:rsid w:val="00AE5B98"/>
    <w:rsid w:val="00AE6954"/>
    <w:rsid w:val="00AF0A22"/>
    <w:rsid w:val="00AF0EA9"/>
    <w:rsid w:val="00AF1CBF"/>
    <w:rsid w:val="00AF39B5"/>
    <w:rsid w:val="00B01E70"/>
    <w:rsid w:val="00B028AF"/>
    <w:rsid w:val="00B044D8"/>
    <w:rsid w:val="00B048DC"/>
    <w:rsid w:val="00B07D7F"/>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3334"/>
    <w:rsid w:val="00B3400D"/>
    <w:rsid w:val="00B359FB"/>
    <w:rsid w:val="00B35C64"/>
    <w:rsid w:val="00B36613"/>
    <w:rsid w:val="00B36F1B"/>
    <w:rsid w:val="00B41978"/>
    <w:rsid w:val="00B41FD6"/>
    <w:rsid w:val="00B460B4"/>
    <w:rsid w:val="00B47334"/>
    <w:rsid w:val="00B4743B"/>
    <w:rsid w:val="00B503C8"/>
    <w:rsid w:val="00B53C1F"/>
    <w:rsid w:val="00B563D4"/>
    <w:rsid w:val="00B6127A"/>
    <w:rsid w:val="00B633FB"/>
    <w:rsid w:val="00B649AA"/>
    <w:rsid w:val="00B65207"/>
    <w:rsid w:val="00B70B6C"/>
    <w:rsid w:val="00B70EB5"/>
    <w:rsid w:val="00B71142"/>
    <w:rsid w:val="00B726B2"/>
    <w:rsid w:val="00B72928"/>
    <w:rsid w:val="00B778D5"/>
    <w:rsid w:val="00B8125F"/>
    <w:rsid w:val="00B819E1"/>
    <w:rsid w:val="00B85E05"/>
    <w:rsid w:val="00B860C9"/>
    <w:rsid w:val="00B92FA4"/>
    <w:rsid w:val="00B9574E"/>
    <w:rsid w:val="00B965AA"/>
    <w:rsid w:val="00B96F0B"/>
    <w:rsid w:val="00BA069E"/>
    <w:rsid w:val="00BA137B"/>
    <w:rsid w:val="00BA213F"/>
    <w:rsid w:val="00BA2243"/>
    <w:rsid w:val="00BA3CB9"/>
    <w:rsid w:val="00BA3E20"/>
    <w:rsid w:val="00BA48E7"/>
    <w:rsid w:val="00BA5315"/>
    <w:rsid w:val="00BB1342"/>
    <w:rsid w:val="00BB2EF7"/>
    <w:rsid w:val="00BB3EE7"/>
    <w:rsid w:val="00BB55B7"/>
    <w:rsid w:val="00BB59B3"/>
    <w:rsid w:val="00BB6287"/>
    <w:rsid w:val="00BB6C5C"/>
    <w:rsid w:val="00BB73A6"/>
    <w:rsid w:val="00BC1057"/>
    <w:rsid w:val="00BC5015"/>
    <w:rsid w:val="00BC5344"/>
    <w:rsid w:val="00BC5EDB"/>
    <w:rsid w:val="00BC62DA"/>
    <w:rsid w:val="00BC7DE9"/>
    <w:rsid w:val="00BD238E"/>
    <w:rsid w:val="00BD2DEF"/>
    <w:rsid w:val="00BD3905"/>
    <w:rsid w:val="00BD5170"/>
    <w:rsid w:val="00BD6C46"/>
    <w:rsid w:val="00BD6D61"/>
    <w:rsid w:val="00BD705E"/>
    <w:rsid w:val="00BE1AFA"/>
    <w:rsid w:val="00BE2F60"/>
    <w:rsid w:val="00BE4F18"/>
    <w:rsid w:val="00BE6AF8"/>
    <w:rsid w:val="00BE6FC7"/>
    <w:rsid w:val="00BF09E0"/>
    <w:rsid w:val="00BF2187"/>
    <w:rsid w:val="00BF67C7"/>
    <w:rsid w:val="00BF76B5"/>
    <w:rsid w:val="00C016ED"/>
    <w:rsid w:val="00C018AE"/>
    <w:rsid w:val="00C035DA"/>
    <w:rsid w:val="00C06DFD"/>
    <w:rsid w:val="00C07430"/>
    <w:rsid w:val="00C07965"/>
    <w:rsid w:val="00C101DE"/>
    <w:rsid w:val="00C104B5"/>
    <w:rsid w:val="00C123F0"/>
    <w:rsid w:val="00C13F4E"/>
    <w:rsid w:val="00C15B28"/>
    <w:rsid w:val="00C15DC1"/>
    <w:rsid w:val="00C20F1D"/>
    <w:rsid w:val="00C24641"/>
    <w:rsid w:val="00C252FC"/>
    <w:rsid w:val="00C26561"/>
    <w:rsid w:val="00C273B9"/>
    <w:rsid w:val="00C32E87"/>
    <w:rsid w:val="00C34549"/>
    <w:rsid w:val="00C3490A"/>
    <w:rsid w:val="00C34AB4"/>
    <w:rsid w:val="00C36CEA"/>
    <w:rsid w:val="00C371AB"/>
    <w:rsid w:val="00C44B43"/>
    <w:rsid w:val="00C4514F"/>
    <w:rsid w:val="00C458E9"/>
    <w:rsid w:val="00C46E88"/>
    <w:rsid w:val="00C46EDE"/>
    <w:rsid w:val="00C509D9"/>
    <w:rsid w:val="00C54500"/>
    <w:rsid w:val="00C54553"/>
    <w:rsid w:val="00C61700"/>
    <w:rsid w:val="00C63A86"/>
    <w:rsid w:val="00C64DC1"/>
    <w:rsid w:val="00C7005B"/>
    <w:rsid w:val="00C71741"/>
    <w:rsid w:val="00C737EA"/>
    <w:rsid w:val="00C73DCD"/>
    <w:rsid w:val="00C74DCB"/>
    <w:rsid w:val="00C80888"/>
    <w:rsid w:val="00C80FD4"/>
    <w:rsid w:val="00C87F35"/>
    <w:rsid w:val="00C90C87"/>
    <w:rsid w:val="00C930B1"/>
    <w:rsid w:val="00C9332E"/>
    <w:rsid w:val="00C948F0"/>
    <w:rsid w:val="00C95B8F"/>
    <w:rsid w:val="00C96C83"/>
    <w:rsid w:val="00C97783"/>
    <w:rsid w:val="00CA063D"/>
    <w:rsid w:val="00CA096E"/>
    <w:rsid w:val="00CA4132"/>
    <w:rsid w:val="00CA642E"/>
    <w:rsid w:val="00CB0249"/>
    <w:rsid w:val="00CB322C"/>
    <w:rsid w:val="00CB3C17"/>
    <w:rsid w:val="00CB4557"/>
    <w:rsid w:val="00CB55D3"/>
    <w:rsid w:val="00CB72D6"/>
    <w:rsid w:val="00CB7B00"/>
    <w:rsid w:val="00CC10C7"/>
    <w:rsid w:val="00CC22AD"/>
    <w:rsid w:val="00CC505B"/>
    <w:rsid w:val="00CC610B"/>
    <w:rsid w:val="00CC7A31"/>
    <w:rsid w:val="00CD0335"/>
    <w:rsid w:val="00CD4136"/>
    <w:rsid w:val="00CD4183"/>
    <w:rsid w:val="00CD6FBB"/>
    <w:rsid w:val="00CE265D"/>
    <w:rsid w:val="00CF11FB"/>
    <w:rsid w:val="00CF130C"/>
    <w:rsid w:val="00CF1669"/>
    <w:rsid w:val="00CF2FD7"/>
    <w:rsid w:val="00CF36CC"/>
    <w:rsid w:val="00CF3D90"/>
    <w:rsid w:val="00CF58A5"/>
    <w:rsid w:val="00CF60A4"/>
    <w:rsid w:val="00CF6FCD"/>
    <w:rsid w:val="00CF75A9"/>
    <w:rsid w:val="00D02143"/>
    <w:rsid w:val="00D053CD"/>
    <w:rsid w:val="00D06A84"/>
    <w:rsid w:val="00D06BC2"/>
    <w:rsid w:val="00D0724E"/>
    <w:rsid w:val="00D07458"/>
    <w:rsid w:val="00D12AE6"/>
    <w:rsid w:val="00D14B62"/>
    <w:rsid w:val="00D16953"/>
    <w:rsid w:val="00D16D91"/>
    <w:rsid w:val="00D17A8F"/>
    <w:rsid w:val="00D24BD7"/>
    <w:rsid w:val="00D27CD5"/>
    <w:rsid w:val="00D30B36"/>
    <w:rsid w:val="00D35092"/>
    <w:rsid w:val="00D37494"/>
    <w:rsid w:val="00D37AE2"/>
    <w:rsid w:val="00D4102B"/>
    <w:rsid w:val="00D41D92"/>
    <w:rsid w:val="00D438BB"/>
    <w:rsid w:val="00D46011"/>
    <w:rsid w:val="00D46095"/>
    <w:rsid w:val="00D4629A"/>
    <w:rsid w:val="00D47511"/>
    <w:rsid w:val="00D51241"/>
    <w:rsid w:val="00D51270"/>
    <w:rsid w:val="00D515C3"/>
    <w:rsid w:val="00D55D67"/>
    <w:rsid w:val="00D60836"/>
    <w:rsid w:val="00D6220C"/>
    <w:rsid w:val="00D626FE"/>
    <w:rsid w:val="00D70176"/>
    <w:rsid w:val="00D705AD"/>
    <w:rsid w:val="00D70D1D"/>
    <w:rsid w:val="00D71EA0"/>
    <w:rsid w:val="00D722DA"/>
    <w:rsid w:val="00D72BD0"/>
    <w:rsid w:val="00D752DA"/>
    <w:rsid w:val="00D75752"/>
    <w:rsid w:val="00D757F2"/>
    <w:rsid w:val="00D76786"/>
    <w:rsid w:val="00D81DCC"/>
    <w:rsid w:val="00D8267B"/>
    <w:rsid w:val="00D84BCD"/>
    <w:rsid w:val="00D85549"/>
    <w:rsid w:val="00D85E38"/>
    <w:rsid w:val="00D9014D"/>
    <w:rsid w:val="00D93998"/>
    <w:rsid w:val="00D95AF5"/>
    <w:rsid w:val="00D96AD2"/>
    <w:rsid w:val="00D96F45"/>
    <w:rsid w:val="00DA0BC5"/>
    <w:rsid w:val="00DA227A"/>
    <w:rsid w:val="00DA4C53"/>
    <w:rsid w:val="00DA5079"/>
    <w:rsid w:val="00DB107E"/>
    <w:rsid w:val="00DB359A"/>
    <w:rsid w:val="00DB4FD7"/>
    <w:rsid w:val="00DC19FE"/>
    <w:rsid w:val="00DC1FB8"/>
    <w:rsid w:val="00DC30D1"/>
    <w:rsid w:val="00DC399C"/>
    <w:rsid w:val="00DC4503"/>
    <w:rsid w:val="00DC7F59"/>
    <w:rsid w:val="00DD0029"/>
    <w:rsid w:val="00DD26D6"/>
    <w:rsid w:val="00DD3D5A"/>
    <w:rsid w:val="00DD5177"/>
    <w:rsid w:val="00DD61C0"/>
    <w:rsid w:val="00DE1882"/>
    <w:rsid w:val="00DE1A02"/>
    <w:rsid w:val="00DE2012"/>
    <w:rsid w:val="00DE20DE"/>
    <w:rsid w:val="00DE54A8"/>
    <w:rsid w:val="00DE6FC8"/>
    <w:rsid w:val="00DF0C27"/>
    <w:rsid w:val="00DF11B4"/>
    <w:rsid w:val="00E008CE"/>
    <w:rsid w:val="00E01924"/>
    <w:rsid w:val="00E01FF2"/>
    <w:rsid w:val="00E03CE3"/>
    <w:rsid w:val="00E05C85"/>
    <w:rsid w:val="00E07E59"/>
    <w:rsid w:val="00E12500"/>
    <w:rsid w:val="00E16D81"/>
    <w:rsid w:val="00E17027"/>
    <w:rsid w:val="00E200A0"/>
    <w:rsid w:val="00E21E25"/>
    <w:rsid w:val="00E25248"/>
    <w:rsid w:val="00E25C7C"/>
    <w:rsid w:val="00E2679B"/>
    <w:rsid w:val="00E30FCE"/>
    <w:rsid w:val="00E32494"/>
    <w:rsid w:val="00E3347E"/>
    <w:rsid w:val="00E352FF"/>
    <w:rsid w:val="00E402B0"/>
    <w:rsid w:val="00E40756"/>
    <w:rsid w:val="00E42353"/>
    <w:rsid w:val="00E44424"/>
    <w:rsid w:val="00E44601"/>
    <w:rsid w:val="00E44F39"/>
    <w:rsid w:val="00E46D1D"/>
    <w:rsid w:val="00E46F08"/>
    <w:rsid w:val="00E50074"/>
    <w:rsid w:val="00E5028A"/>
    <w:rsid w:val="00E50FDA"/>
    <w:rsid w:val="00E538D4"/>
    <w:rsid w:val="00E53F00"/>
    <w:rsid w:val="00E544CB"/>
    <w:rsid w:val="00E55558"/>
    <w:rsid w:val="00E56DBB"/>
    <w:rsid w:val="00E60947"/>
    <w:rsid w:val="00E628B0"/>
    <w:rsid w:val="00E63BA5"/>
    <w:rsid w:val="00E63C06"/>
    <w:rsid w:val="00E6424D"/>
    <w:rsid w:val="00E6484A"/>
    <w:rsid w:val="00E65BFC"/>
    <w:rsid w:val="00E66295"/>
    <w:rsid w:val="00E67044"/>
    <w:rsid w:val="00E70A38"/>
    <w:rsid w:val="00E72095"/>
    <w:rsid w:val="00E7287F"/>
    <w:rsid w:val="00E72959"/>
    <w:rsid w:val="00E744BC"/>
    <w:rsid w:val="00E74823"/>
    <w:rsid w:val="00E819A0"/>
    <w:rsid w:val="00E82778"/>
    <w:rsid w:val="00E83EBF"/>
    <w:rsid w:val="00E853DB"/>
    <w:rsid w:val="00E853FC"/>
    <w:rsid w:val="00E858EC"/>
    <w:rsid w:val="00E86A90"/>
    <w:rsid w:val="00E87DE9"/>
    <w:rsid w:val="00E90C8E"/>
    <w:rsid w:val="00E95D4A"/>
    <w:rsid w:val="00E97668"/>
    <w:rsid w:val="00E97969"/>
    <w:rsid w:val="00EA169D"/>
    <w:rsid w:val="00EA2EDA"/>
    <w:rsid w:val="00EA3B33"/>
    <w:rsid w:val="00EA4569"/>
    <w:rsid w:val="00EA4A8A"/>
    <w:rsid w:val="00EA522F"/>
    <w:rsid w:val="00EA6515"/>
    <w:rsid w:val="00EB06BB"/>
    <w:rsid w:val="00EB0CAB"/>
    <w:rsid w:val="00EB11C2"/>
    <w:rsid w:val="00EB1E2C"/>
    <w:rsid w:val="00EB3286"/>
    <w:rsid w:val="00EB6865"/>
    <w:rsid w:val="00EC396F"/>
    <w:rsid w:val="00ED00D8"/>
    <w:rsid w:val="00ED211A"/>
    <w:rsid w:val="00ED34D6"/>
    <w:rsid w:val="00ED3B50"/>
    <w:rsid w:val="00ED40F7"/>
    <w:rsid w:val="00ED43AA"/>
    <w:rsid w:val="00ED72AA"/>
    <w:rsid w:val="00EE3886"/>
    <w:rsid w:val="00EE39D1"/>
    <w:rsid w:val="00EE5711"/>
    <w:rsid w:val="00EE5E10"/>
    <w:rsid w:val="00EE5F2D"/>
    <w:rsid w:val="00EE78F1"/>
    <w:rsid w:val="00EF1281"/>
    <w:rsid w:val="00EF2DAA"/>
    <w:rsid w:val="00EF3343"/>
    <w:rsid w:val="00EF5CD4"/>
    <w:rsid w:val="00EF6197"/>
    <w:rsid w:val="00EF7175"/>
    <w:rsid w:val="00F001B5"/>
    <w:rsid w:val="00F00C69"/>
    <w:rsid w:val="00F06FF8"/>
    <w:rsid w:val="00F0766A"/>
    <w:rsid w:val="00F07D3C"/>
    <w:rsid w:val="00F114F8"/>
    <w:rsid w:val="00F11F37"/>
    <w:rsid w:val="00F1338D"/>
    <w:rsid w:val="00F21ADD"/>
    <w:rsid w:val="00F24D37"/>
    <w:rsid w:val="00F259F1"/>
    <w:rsid w:val="00F2654A"/>
    <w:rsid w:val="00F26B1B"/>
    <w:rsid w:val="00F3057C"/>
    <w:rsid w:val="00F3220C"/>
    <w:rsid w:val="00F33C54"/>
    <w:rsid w:val="00F341F9"/>
    <w:rsid w:val="00F353B6"/>
    <w:rsid w:val="00F35A8F"/>
    <w:rsid w:val="00F4164D"/>
    <w:rsid w:val="00F41677"/>
    <w:rsid w:val="00F433AB"/>
    <w:rsid w:val="00F438CF"/>
    <w:rsid w:val="00F4503E"/>
    <w:rsid w:val="00F45445"/>
    <w:rsid w:val="00F45517"/>
    <w:rsid w:val="00F4614E"/>
    <w:rsid w:val="00F464B7"/>
    <w:rsid w:val="00F46FD8"/>
    <w:rsid w:val="00F5354A"/>
    <w:rsid w:val="00F53553"/>
    <w:rsid w:val="00F54134"/>
    <w:rsid w:val="00F55DF6"/>
    <w:rsid w:val="00F5733E"/>
    <w:rsid w:val="00F6115C"/>
    <w:rsid w:val="00F6221D"/>
    <w:rsid w:val="00F630B7"/>
    <w:rsid w:val="00F63B60"/>
    <w:rsid w:val="00F6555D"/>
    <w:rsid w:val="00F7047C"/>
    <w:rsid w:val="00F7094E"/>
    <w:rsid w:val="00F71628"/>
    <w:rsid w:val="00F71E3E"/>
    <w:rsid w:val="00F71E79"/>
    <w:rsid w:val="00F71FA3"/>
    <w:rsid w:val="00F72AB8"/>
    <w:rsid w:val="00F72E22"/>
    <w:rsid w:val="00F77769"/>
    <w:rsid w:val="00F77C7F"/>
    <w:rsid w:val="00F81C08"/>
    <w:rsid w:val="00F82A3C"/>
    <w:rsid w:val="00F83E33"/>
    <w:rsid w:val="00F849EC"/>
    <w:rsid w:val="00F863C3"/>
    <w:rsid w:val="00F86565"/>
    <w:rsid w:val="00F9047F"/>
    <w:rsid w:val="00F907F3"/>
    <w:rsid w:val="00F93097"/>
    <w:rsid w:val="00F93A8C"/>
    <w:rsid w:val="00F94DC5"/>
    <w:rsid w:val="00F969AF"/>
    <w:rsid w:val="00FA02DA"/>
    <w:rsid w:val="00FA04E1"/>
    <w:rsid w:val="00FA1133"/>
    <w:rsid w:val="00FA246D"/>
    <w:rsid w:val="00FB07CF"/>
    <w:rsid w:val="00FB1733"/>
    <w:rsid w:val="00FB1DD5"/>
    <w:rsid w:val="00FB1EF5"/>
    <w:rsid w:val="00FB3FB4"/>
    <w:rsid w:val="00FB4501"/>
    <w:rsid w:val="00FB6F1F"/>
    <w:rsid w:val="00FB7F33"/>
    <w:rsid w:val="00FC07AB"/>
    <w:rsid w:val="00FC25BF"/>
    <w:rsid w:val="00FC31BD"/>
    <w:rsid w:val="00FC3718"/>
    <w:rsid w:val="00FD258E"/>
    <w:rsid w:val="00FD662D"/>
    <w:rsid w:val="00FD6C82"/>
    <w:rsid w:val="00FE224B"/>
    <w:rsid w:val="00FE2D0E"/>
    <w:rsid w:val="00FE49D9"/>
    <w:rsid w:val="00FE6315"/>
    <w:rsid w:val="00FE7CD7"/>
    <w:rsid w:val="00FF15DD"/>
    <w:rsid w:val="00FF1A6B"/>
    <w:rsid w:val="00FF359A"/>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 w:type="character" w:styleId="FollowedHyperlink">
    <w:name w:val="FollowedHyperlink"/>
    <w:basedOn w:val="DefaultParagraphFont"/>
    <w:uiPriority w:val="99"/>
    <w:semiHidden/>
    <w:unhideWhenUsed/>
    <w:rsid w:val="00B70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https://www.nycourts.gov/LegacyPDFS/rules/comments/pdf/RequestForPublicComment-RulesOfProfessionalConduct-RiskAssessments-123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courts.gov/LegacyPDFS/rules/comments/pdf/RequestForPublicComment-RulesOfProfessionalConduct-AttorneyAdvertising-12302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ycourts.gov/LegacyPDFS/rules/comments/orders/AdministrativeOrder-CAJ-277-2025-AttorneyClientFeeDisputes-093025.pdf" TargetMode="External"/><Relationship Id="rId4" Type="http://schemas.openxmlformats.org/officeDocument/2006/relationships/webSettings" Target="webSettings.xml"/><Relationship Id="rId9" Type="http://schemas.openxmlformats.org/officeDocument/2006/relationships/hyperlink" Target="https://spectrumlocalnews.com/nys/capital-region/politics/2025/12/24/advocates-push-n-y--bill-to-protect-children-during-custody-battles" TargetMode="Externa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5T01:38:25.466"/>
    </inkml:context>
    <inkml:brush xml:id="br0">
      <inkml:brushProperty name="width" value="0.1" units="cm"/>
      <inkml:brushProperty name="height" value="0.1" units="cm"/>
      <inkml:brushProperty name="color" value="#AE198D"/>
      <inkml:brushProperty name="inkEffects" value="galaxy"/>
      <inkml:brushProperty name="anchorX" value="0"/>
      <inkml:brushProperty name="anchorY" value="0"/>
      <inkml:brushProperty name="scaleFactor" value="0.5"/>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8166</Words>
  <Characters>46550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2025-12-29T18:09:00Z</cp:lastPrinted>
  <dcterms:created xsi:type="dcterms:W3CDTF">2025-12-31T22:18:00Z</dcterms:created>
  <dcterms:modified xsi:type="dcterms:W3CDTF">2025-12-31T22:18:00Z</dcterms:modified>
</cp:coreProperties>
</file>