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jc w:val="center"/>
        <w:tblBorders>
          <w:top w:val="single" w:sz="6" w:space="0" w:color="auto"/>
          <w:left w:val="single" w:sz="6" w:space="0" w:color="auto"/>
          <w:bottom w:val="single" w:sz="12" w:space="0" w:color="auto"/>
          <w:right w:val="single" w:sz="12" w:space="0" w:color="auto"/>
        </w:tblBorders>
        <w:tblLayout w:type="fixed"/>
        <w:tblLook w:val="0000" w:firstRow="0" w:lastRow="0" w:firstColumn="0" w:lastColumn="0" w:noHBand="0" w:noVBand="0"/>
      </w:tblPr>
      <w:tblGrid>
        <w:gridCol w:w="9576"/>
      </w:tblGrid>
      <w:tr w:rsidR="00E46B06" w:rsidRPr="00DC1D53" w14:paraId="038FA235" w14:textId="77777777" w:rsidTr="00E46B06">
        <w:trPr>
          <w:trHeight w:hRule="exact" w:val="360"/>
          <w:jc w:val="center"/>
        </w:trPr>
        <w:tc>
          <w:tcPr>
            <w:tcW w:w="9576" w:type="dxa"/>
          </w:tcPr>
          <w:p w14:paraId="5B0FADE9" w14:textId="77777777" w:rsidR="00E46B06" w:rsidRPr="00DC1D53" w:rsidRDefault="00E46B06" w:rsidP="006B4D39">
            <w:pPr>
              <w:pStyle w:val="MemoHeading"/>
              <w:spacing w:before="0" w:after="0"/>
              <w:rPr>
                <w:spacing w:val="20"/>
              </w:rPr>
            </w:pPr>
            <w:r w:rsidRPr="00DC1D53">
              <w:rPr>
                <w:spacing w:val="20"/>
              </w:rPr>
              <w:t>MEMORANDUM</w:t>
            </w:r>
          </w:p>
        </w:tc>
      </w:tr>
    </w:tbl>
    <w:tbl>
      <w:tblPr>
        <w:tblStyle w:val="TableGrid"/>
        <w:tblW w:w="9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5"/>
        <w:gridCol w:w="8395"/>
      </w:tblGrid>
      <w:tr w:rsidR="00E46B06" w:rsidRPr="00DC1D53" w14:paraId="07FFEBCD" w14:textId="77777777" w:rsidTr="0085356D">
        <w:trPr>
          <w:trHeight w:val="360"/>
        </w:trPr>
        <w:tc>
          <w:tcPr>
            <w:tcW w:w="1195" w:type="dxa"/>
          </w:tcPr>
          <w:p w14:paraId="384E8792" w14:textId="77777777" w:rsidR="00E46B06" w:rsidRPr="00DC1D53" w:rsidRDefault="00E46B06" w:rsidP="006B4D39">
            <w:pPr>
              <w:pStyle w:val="MemoHeader"/>
            </w:pPr>
            <w:r w:rsidRPr="00DC1D53">
              <w:t>to:</w:t>
            </w:r>
          </w:p>
        </w:tc>
        <w:tc>
          <w:tcPr>
            <w:tcW w:w="8395" w:type="dxa"/>
          </w:tcPr>
          <w:p w14:paraId="37B3CE59" w14:textId="3AB99013" w:rsidR="00E46B06" w:rsidRPr="00DC1D53" w:rsidRDefault="00EB4797" w:rsidP="00484037">
            <w:pPr>
              <w:pStyle w:val="MemoText"/>
              <w:jc w:val="left"/>
            </w:pPr>
            <w:r w:rsidRPr="00EB4797">
              <w:t>NYSBA Environmental &amp; Energy Law Section (EELS)</w:t>
            </w:r>
            <w:r w:rsidR="00484037" w:rsidRPr="00DC1D53">
              <w:t xml:space="preserve"> </w:t>
            </w:r>
          </w:p>
        </w:tc>
      </w:tr>
      <w:tr w:rsidR="00E46B06" w:rsidRPr="00DC1D53" w14:paraId="20557317" w14:textId="77777777" w:rsidTr="0085356D">
        <w:trPr>
          <w:trHeight w:val="360"/>
        </w:trPr>
        <w:tc>
          <w:tcPr>
            <w:tcW w:w="1195" w:type="dxa"/>
          </w:tcPr>
          <w:p w14:paraId="0005C52F" w14:textId="77777777" w:rsidR="00E46B06" w:rsidRPr="00DC1D53" w:rsidRDefault="00E46B06" w:rsidP="006B4D39">
            <w:pPr>
              <w:pStyle w:val="MemoHeader"/>
            </w:pPr>
            <w:r w:rsidRPr="00DC1D53">
              <w:t>from:</w:t>
            </w:r>
          </w:p>
        </w:tc>
        <w:tc>
          <w:tcPr>
            <w:tcW w:w="8395" w:type="dxa"/>
          </w:tcPr>
          <w:p w14:paraId="786A47E7" w14:textId="25BD5840" w:rsidR="00E46B06" w:rsidRPr="00DC1D53" w:rsidRDefault="00EB4797" w:rsidP="0085356D">
            <w:pPr>
              <w:pStyle w:val="MemoText"/>
            </w:pPr>
            <w:r w:rsidRPr="00EB4797">
              <w:t>Hazardous Waste/Site Cleanup/Brownfield Committee</w:t>
            </w:r>
          </w:p>
        </w:tc>
      </w:tr>
      <w:tr w:rsidR="00E46B06" w:rsidRPr="00DC1D53" w14:paraId="16C2ED6B" w14:textId="77777777" w:rsidTr="0085356D">
        <w:trPr>
          <w:trHeight w:val="360"/>
        </w:trPr>
        <w:tc>
          <w:tcPr>
            <w:tcW w:w="1195" w:type="dxa"/>
          </w:tcPr>
          <w:p w14:paraId="55BCC3CC" w14:textId="77777777" w:rsidR="00E46B06" w:rsidRPr="00DC1D53" w:rsidRDefault="00E46B06" w:rsidP="006B4D39">
            <w:pPr>
              <w:pStyle w:val="MemoHeader"/>
            </w:pPr>
            <w:r w:rsidRPr="00DC1D53">
              <w:t>re:</w:t>
            </w:r>
          </w:p>
        </w:tc>
        <w:tc>
          <w:tcPr>
            <w:tcW w:w="8395" w:type="dxa"/>
          </w:tcPr>
          <w:p w14:paraId="59E57F08" w14:textId="77777777" w:rsidR="0096675C" w:rsidRDefault="00C477C6" w:rsidP="0096675C">
            <w:pPr>
              <w:pStyle w:val="MemoText"/>
              <w:spacing w:after="100" w:afterAutospacing="1"/>
              <w:jc w:val="left"/>
            </w:pPr>
            <w:r w:rsidRPr="00DC1D53">
              <w:t xml:space="preserve">Draft Comments Regarding </w:t>
            </w:r>
            <w:r w:rsidR="008F4227" w:rsidRPr="00DC1D53">
              <w:t>NYSDEC</w:t>
            </w:r>
            <w:r w:rsidR="00B830E4" w:rsidRPr="00DC1D53">
              <w:t xml:space="preserve">’s </w:t>
            </w:r>
            <w:r w:rsidR="00484037" w:rsidRPr="00DC1D53">
              <w:t xml:space="preserve">2024 </w:t>
            </w:r>
            <w:r w:rsidR="00B830E4" w:rsidRPr="00DC1D53">
              <w:t xml:space="preserve">Proposed Changes to </w:t>
            </w:r>
            <w:r w:rsidRPr="00DC1D53">
              <w:t xml:space="preserve">          </w:t>
            </w:r>
          </w:p>
          <w:p w14:paraId="45B047E5" w14:textId="7724CD50" w:rsidR="00E46B06" w:rsidRPr="00DC1D53" w:rsidRDefault="00B830E4" w:rsidP="0096675C">
            <w:pPr>
              <w:pStyle w:val="MemoText"/>
              <w:spacing w:after="100" w:afterAutospacing="1"/>
              <w:jc w:val="left"/>
            </w:pPr>
            <w:r w:rsidRPr="00DC1D53">
              <w:t>6 NYCRR Part 375</w:t>
            </w:r>
          </w:p>
        </w:tc>
      </w:tr>
      <w:tr w:rsidR="00E46B06" w:rsidRPr="00DC1D53" w14:paraId="45824270" w14:textId="77777777" w:rsidTr="0085356D">
        <w:trPr>
          <w:trHeight w:val="360"/>
        </w:trPr>
        <w:tc>
          <w:tcPr>
            <w:tcW w:w="1195" w:type="dxa"/>
          </w:tcPr>
          <w:p w14:paraId="4F1AD173" w14:textId="77777777" w:rsidR="00E46B06" w:rsidRPr="00DC1D53" w:rsidRDefault="00E46B06" w:rsidP="006B4D39">
            <w:pPr>
              <w:pStyle w:val="MemoHeader"/>
            </w:pPr>
            <w:r w:rsidRPr="00DC1D53">
              <w:t>date:</w:t>
            </w:r>
          </w:p>
        </w:tc>
        <w:tc>
          <w:tcPr>
            <w:tcW w:w="8395" w:type="dxa"/>
          </w:tcPr>
          <w:p w14:paraId="52E20FBA" w14:textId="55A60251" w:rsidR="00E46B06" w:rsidRPr="00DC1D53" w:rsidRDefault="002C077B" w:rsidP="00F80AE0">
            <w:pPr>
              <w:pStyle w:val="MemoText"/>
            </w:pPr>
            <w:r>
              <w:t xml:space="preserve">May </w:t>
            </w:r>
            <w:r w:rsidR="00EB4797">
              <w:t>6</w:t>
            </w:r>
            <w:r w:rsidR="006762F8" w:rsidRPr="00DC1D53">
              <w:t>, 2024</w:t>
            </w:r>
          </w:p>
        </w:tc>
      </w:tr>
    </w:tbl>
    <w:p w14:paraId="313BA3CC" w14:textId="77777777" w:rsidR="00E46B06" w:rsidRPr="00DC1D53" w:rsidRDefault="00E46B06" w:rsidP="00E46B06">
      <w:pPr>
        <w:pBdr>
          <w:bottom w:val="single" w:sz="6" w:space="1" w:color="auto"/>
        </w:pBdr>
        <w:rPr>
          <w:rFonts w:cs="Times New Roman"/>
          <w:szCs w:val="20"/>
        </w:rPr>
      </w:pPr>
    </w:p>
    <w:p w14:paraId="59F76F59" w14:textId="6E7822D5" w:rsidR="00D35E3E" w:rsidRPr="00AF252F" w:rsidRDefault="003E1B3C" w:rsidP="00DC1D53">
      <w:pPr>
        <w:spacing w:after="0"/>
        <w:rPr>
          <w:rFonts w:cs="Times New Roman"/>
          <w:b/>
          <w:bCs/>
          <w:szCs w:val="24"/>
        </w:rPr>
      </w:pPr>
      <w:r w:rsidRPr="00AF252F">
        <w:rPr>
          <w:rFonts w:cs="Times New Roman"/>
          <w:b/>
          <w:bCs/>
          <w:szCs w:val="24"/>
        </w:rPr>
        <w:t xml:space="preserve">Below is a </w:t>
      </w:r>
      <w:r w:rsidR="00792BA7">
        <w:rPr>
          <w:rFonts w:cs="Times New Roman"/>
          <w:b/>
          <w:bCs/>
          <w:szCs w:val="24"/>
        </w:rPr>
        <w:t xml:space="preserve">complete and compiled </w:t>
      </w:r>
      <w:r w:rsidR="00AF252F" w:rsidRPr="00AF252F">
        <w:rPr>
          <w:rFonts w:cs="Times New Roman"/>
          <w:b/>
          <w:bCs/>
          <w:szCs w:val="24"/>
        </w:rPr>
        <w:t xml:space="preserve">draft of </w:t>
      </w:r>
      <w:r w:rsidRPr="00AF252F">
        <w:rPr>
          <w:rFonts w:cs="Times New Roman"/>
          <w:b/>
          <w:bCs/>
          <w:szCs w:val="24"/>
        </w:rPr>
        <w:t xml:space="preserve">comments </w:t>
      </w:r>
      <w:r w:rsidR="00AF252F" w:rsidRPr="00AF252F">
        <w:rPr>
          <w:rFonts w:cs="Times New Roman"/>
          <w:b/>
          <w:bCs/>
          <w:szCs w:val="24"/>
        </w:rPr>
        <w:t xml:space="preserve">to be submitted to </w:t>
      </w:r>
      <w:r w:rsidRPr="00AF252F">
        <w:rPr>
          <w:rFonts w:cs="Times New Roman"/>
          <w:b/>
          <w:bCs/>
          <w:szCs w:val="24"/>
        </w:rPr>
        <w:t xml:space="preserve">DEC’s proposed regulatory amendments.  </w:t>
      </w:r>
    </w:p>
    <w:p w14:paraId="3D4B40D3" w14:textId="77777777" w:rsidR="00AF252F" w:rsidRDefault="00AF252F" w:rsidP="00DC1D53">
      <w:pPr>
        <w:spacing w:after="0"/>
        <w:rPr>
          <w:rFonts w:cs="Times New Roman"/>
          <w:szCs w:val="24"/>
        </w:rPr>
      </w:pPr>
    </w:p>
    <w:p w14:paraId="01FE65B8" w14:textId="7611CE69" w:rsidR="00AF252F" w:rsidRPr="00AF252F" w:rsidRDefault="00AF252F" w:rsidP="00AF252F">
      <w:r w:rsidRPr="00AF252F">
        <w:t xml:space="preserve">The Environmental and Energy Law Section (“EELS”) of the New York State Bar Association wishes to thank the Department of Environmental Conservation (“Department”) for the opportunity to comment on its newest proposed revisions to 6 NYCRR Part 375. </w:t>
      </w:r>
      <w:r w:rsidR="00D47065">
        <w:t xml:space="preserve"> </w:t>
      </w:r>
      <w:r w:rsidRPr="00AF252F">
        <w:t xml:space="preserve">We respectfully request that the Department consider these comments in promulgating its final Part 375 regulations. </w:t>
      </w:r>
      <w:r w:rsidR="00D47065">
        <w:t xml:space="preserve"> </w:t>
      </w:r>
      <w:r w:rsidRPr="00AF252F">
        <w:t>As we have discussed with the Department, the EELS is available to meet with the Department to discuss the comments below and any new draft regulations before promulgation.</w:t>
      </w:r>
    </w:p>
    <w:p w14:paraId="17910602" w14:textId="77777777" w:rsidR="00AF252F" w:rsidRPr="00AF252F" w:rsidRDefault="00AF252F" w:rsidP="00AF252F">
      <w:pPr>
        <w:jc w:val="center"/>
        <w:rPr>
          <w:b/>
          <w:bCs/>
          <w:u w:val="single"/>
        </w:rPr>
      </w:pPr>
      <w:r w:rsidRPr="00AF252F">
        <w:rPr>
          <w:b/>
          <w:bCs/>
          <w:u w:val="single"/>
        </w:rPr>
        <w:t>GENERAL COMMENTS</w:t>
      </w:r>
    </w:p>
    <w:p w14:paraId="31A03D1E" w14:textId="122949B3" w:rsidR="00AF252F" w:rsidRDefault="00AF252F" w:rsidP="00AF252F">
      <w:r w:rsidRPr="00AF252F">
        <w:t xml:space="preserve">As noted in response to the 2022 proposed revisions to 6 NYCRR Part 375, the New York State Brownfield Cleanup Program (“BCP”) is one of the most vibrant programs of its kind in the nation, serving to advance the goals of protecting the State’s natural resources, enhancing public health and welfare, and encouraging economic development. </w:t>
      </w:r>
      <w:r w:rsidR="00D47065">
        <w:t xml:space="preserve"> </w:t>
      </w:r>
      <w:r w:rsidRPr="00AF252F">
        <w:t>The Program depends on a collaborative relationship between the State and the private sector, and we submit these comments with that collaborative relationship in mind.</w:t>
      </w:r>
    </w:p>
    <w:p w14:paraId="401165FA" w14:textId="77777777" w:rsidR="00792BA7" w:rsidRDefault="00792BA7" w:rsidP="00792BA7">
      <w:r>
        <w:t xml:space="preserve">Noticeably absent from the Department’s proposals are timeframes or deadlines to be imposed on the Department.  It is important that the Department and parties in all remedial programs understand the relevant timeframes and have a degree of certainty before deciding whether to participate in a program. </w:t>
      </w:r>
    </w:p>
    <w:p w14:paraId="71D797FA" w14:textId="7565C4AE" w:rsidR="00792BA7" w:rsidRDefault="00792BA7" w:rsidP="00792BA7">
      <w:r>
        <w:t xml:space="preserve">Each of §§ 375-3.4(c), 375-3.4(c)(1), 375-3.4(c)(2), and 375-3.6(b) obligate the Department to use “all best efforts” to respond within specified periods of time. </w:t>
      </w:r>
      <w:r w:rsidR="00D47065">
        <w:t xml:space="preserve"> </w:t>
      </w:r>
      <w:r>
        <w:t xml:space="preserve">That phrase has real meaning in law.  We recommend that language should be added to those Sections addressing situations in which the Department will not comply with those obligations. </w:t>
      </w:r>
    </w:p>
    <w:p w14:paraId="3D3FBF59" w14:textId="10CE32A6" w:rsidR="00792BA7" w:rsidRPr="00AF252F" w:rsidRDefault="00792BA7" w:rsidP="00792BA7">
      <w:r>
        <w:t xml:space="preserve">We propose the following: “In the event the Department is unable to reply within the required period of time, the Department shall provide written notice to the Requester/Applicant at least five days prior to the expiration of the period </w:t>
      </w:r>
      <w:r w:rsidR="003575F6">
        <w:t>outlining the good cause reason why additional time is required for Department review</w:t>
      </w:r>
      <w:r>
        <w:t xml:space="preserve">.” </w:t>
      </w:r>
    </w:p>
    <w:p w14:paraId="6D43CEB0" w14:textId="0065D218" w:rsidR="00585890" w:rsidRDefault="00585890" w:rsidP="00585890">
      <w:pPr>
        <w:spacing w:after="0"/>
        <w:rPr>
          <w:rFonts w:cs="Times New Roman"/>
          <w:szCs w:val="24"/>
        </w:rPr>
      </w:pPr>
      <w:r>
        <w:rPr>
          <w:rFonts w:cs="Times New Roman"/>
          <w:szCs w:val="24"/>
        </w:rPr>
        <w:lastRenderedPageBreak/>
        <w:t>Additionally, w</w:t>
      </w:r>
      <w:r w:rsidRPr="00792BA7">
        <w:rPr>
          <w:rFonts w:cs="Times New Roman"/>
          <w:szCs w:val="24"/>
        </w:rPr>
        <w:t>e understand that, at some sites, the Department is already implementing the</w:t>
      </w:r>
      <w:r>
        <w:rPr>
          <w:rFonts w:cs="Times New Roman"/>
          <w:szCs w:val="24"/>
        </w:rPr>
        <w:t xml:space="preserve"> </w:t>
      </w:r>
      <w:r w:rsidRPr="00792BA7">
        <w:rPr>
          <w:rFonts w:cs="Times New Roman"/>
          <w:szCs w:val="24"/>
        </w:rPr>
        <w:t>substance of these</w:t>
      </w:r>
      <w:r>
        <w:rPr>
          <w:rFonts w:cs="Times New Roman"/>
          <w:szCs w:val="24"/>
        </w:rPr>
        <w:t xml:space="preserve"> </w:t>
      </w:r>
      <w:r w:rsidRPr="00792BA7">
        <w:rPr>
          <w:rFonts w:cs="Times New Roman"/>
          <w:szCs w:val="24"/>
        </w:rPr>
        <w:t>proposed regulations on a case-by-case basis. We urge that,</w:t>
      </w:r>
      <w:r>
        <w:rPr>
          <w:rFonts w:cs="Times New Roman"/>
          <w:szCs w:val="24"/>
        </w:rPr>
        <w:t xml:space="preserve"> </w:t>
      </w:r>
      <w:r w:rsidRPr="00792BA7">
        <w:rPr>
          <w:rFonts w:cs="Times New Roman"/>
          <w:szCs w:val="24"/>
        </w:rPr>
        <w:t>consistent with settled principles of administrative law, the Department refrain</w:t>
      </w:r>
      <w:r>
        <w:rPr>
          <w:rFonts w:cs="Times New Roman"/>
          <w:szCs w:val="24"/>
        </w:rPr>
        <w:t xml:space="preserve"> </w:t>
      </w:r>
      <w:r w:rsidRPr="00792BA7">
        <w:rPr>
          <w:rFonts w:cs="Times New Roman"/>
          <w:szCs w:val="24"/>
        </w:rPr>
        <w:t>from putting these regulations into effect unless and until they are formally</w:t>
      </w:r>
      <w:r>
        <w:rPr>
          <w:rFonts w:cs="Times New Roman"/>
          <w:szCs w:val="24"/>
        </w:rPr>
        <w:t xml:space="preserve"> </w:t>
      </w:r>
      <w:r w:rsidRPr="00792BA7">
        <w:rPr>
          <w:rFonts w:cs="Times New Roman"/>
          <w:szCs w:val="24"/>
        </w:rPr>
        <w:t>adopted pursuant to this rulemaking process.</w:t>
      </w:r>
    </w:p>
    <w:p w14:paraId="0A88E4FF" w14:textId="77777777" w:rsidR="00585890" w:rsidRPr="00585890" w:rsidRDefault="00585890" w:rsidP="00585890">
      <w:pPr>
        <w:spacing w:after="0"/>
        <w:rPr>
          <w:rFonts w:cs="Times New Roman"/>
          <w:szCs w:val="24"/>
        </w:rPr>
      </w:pPr>
    </w:p>
    <w:p w14:paraId="6B556FD4" w14:textId="14EFE165" w:rsidR="00AF252F" w:rsidRPr="00AF252F" w:rsidRDefault="00AF252F" w:rsidP="00AF252F">
      <w:r w:rsidRPr="00AF252F">
        <w:t>We note that the Department incorporated several of the EELS’ comments on the 2022 proposed revisions to 6 NYCRR Part 375 and we look forward to continuing to work with the Department to build on the successes of the BCP</w:t>
      </w:r>
      <w:r w:rsidR="001A6856">
        <w:t xml:space="preserve"> and to further incorporate the EELS’ new comments below</w:t>
      </w:r>
      <w:r w:rsidRPr="00AF252F">
        <w:t>.  As practitioners who are “in the trenches” in helping to implement the BCP, we know that it is a complex program that is often challenging to administer</w:t>
      </w:r>
      <w:r w:rsidR="001A6856">
        <w:t>, but the overall intent of the program is to encourage especially Volunteers to participate</w:t>
      </w:r>
      <w:r w:rsidRPr="00AF252F">
        <w:t>.</w:t>
      </w:r>
    </w:p>
    <w:p w14:paraId="47B0003E" w14:textId="360150FC" w:rsidR="00AF252F" w:rsidRDefault="00AF252F" w:rsidP="00AF252F">
      <w:pPr>
        <w:rPr>
          <w:b/>
          <w:bCs/>
        </w:rPr>
      </w:pPr>
      <w:r w:rsidRPr="00AF252F">
        <w:t xml:space="preserve">Many of our comments support the proposed changes. </w:t>
      </w:r>
      <w:r w:rsidR="00D47065">
        <w:t xml:space="preserve"> </w:t>
      </w:r>
      <w:r w:rsidRPr="00AF252F">
        <w:t>Other comments suggest improvements that can be made to help strengthen the program</w:t>
      </w:r>
      <w:r w:rsidR="001A6856">
        <w:t xml:space="preserve"> or to avoid negative results</w:t>
      </w:r>
      <w:r w:rsidRPr="00AF252F">
        <w:t xml:space="preserve">. </w:t>
      </w:r>
    </w:p>
    <w:p w14:paraId="4606177A" w14:textId="1016A3AB" w:rsidR="00AF252F" w:rsidRDefault="00AF252F" w:rsidP="00A5121D">
      <w:pPr>
        <w:spacing w:after="0"/>
        <w:jc w:val="center"/>
        <w:rPr>
          <w:b/>
          <w:bCs/>
          <w:u w:val="single"/>
        </w:rPr>
      </w:pPr>
      <w:r w:rsidRPr="00AF252F">
        <w:rPr>
          <w:b/>
          <w:bCs/>
          <w:u w:val="single"/>
        </w:rPr>
        <w:t>COMMENTS ON SPECIFIC PROPOSALS</w:t>
      </w:r>
    </w:p>
    <w:p w14:paraId="4F919024" w14:textId="77777777" w:rsidR="00A5121D" w:rsidRPr="00AF252F" w:rsidRDefault="00A5121D" w:rsidP="00A5121D">
      <w:pPr>
        <w:spacing w:after="0"/>
        <w:jc w:val="center"/>
        <w:rPr>
          <w:b/>
          <w:bCs/>
          <w:u w:val="single"/>
        </w:rPr>
      </w:pPr>
    </w:p>
    <w:p w14:paraId="745D3C2D" w14:textId="5B5CA27E" w:rsidR="00AF252F" w:rsidRDefault="00AF252F" w:rsidP="00A5121D">
      <w:pPr>
        <w:spacing w:after="0"/>
        <w:rPr>
          <w:rFonts w:cs="Times New Roman"/>
          <w:b/>
          <w:szCs w:val="24"/>
          <w:u w:val="single"/>
        </w:rPr>
      </w:pPr>
      <w:r w:rsidRPr="00AF252F">
        <w:rPr>
          <w:rFonts w:cs="Times New Roman"/>
          <w:b/>
          <w:szCs w:val="24"/>
          <w:u w:val="single"/>
        </w:rPr>
        <w:t>6 NYCRR Subpart 375-1</w:t>
      </w:r>
    </w:p>
    <w:p w14:paraId="289FFB43" w14:textId="77777777" w:rsidR="00AF252F" w:rsidRDefault="00AF252F" w:rsidP="00A5121D">
      <w:pPr>
        <w:spacing w:after="0"/>
        <w:rPr>
          <w:rFonts w:cs="Times New Roman"/>
          <w:b/>
          <w:szCs w:val="24"/>
          <w:u w:val="single"/>
        </w:rPr>
      </w:pPr>
    </w:p>
    <w:p w14:paraId="35F2C0DC" w14:textId="7C1DDEC6" w:rsidR="00AF252F" w:rsidRPr="002C077B" w:rsidRDefault="006A0D1F" w:rsidP="00A5121D">
      <w:pPr>
        <w:pStyle w:val="ListParagraph"/>
        <w:numPr>
          <w:ilvl w:val="0"/>
          <w:numId w:val="17"/>
        </w:numPr>
        <w:spacing w:after="0"/>
        <w:contextualSpacing w:val="0"/>
        <w:rPr>
          <w:rFonts w:cs="Times New Roman"/>
          <w:bCs/>
          <w:szCs w:val="24"/>
        </w:rPr>
      </w:pPr>
      <w:r w:rsidRPr="00AF252F">
        <w:rPr>
          <w:rFonts w:cs="Times New Roman"/>
          <w:b/>
          <w:szCs w:val="24"/>
          <w:u w:val="single"/>
        </w:rPr>
        <w:t>§</w:t>
      </w:r>
      <w:r w:rsidRPr="00AF252F">
        <w:rPr>
          <w:u w:val="single"/>
        </w:rPr>
        <w:t xml:space="preserve"> </w:t>
      </w:r>
      <w:r w:rsidR="000A6262" w:rsidRPr="00AF252F">
        <w:rPr>
          <w:rFonts w:cs="Times New Roman"/>
          <w:b/>
          <w:szCs w:val="24"/>
          <w:u w:val="single"/>
        </w:rPr>
        <w:t xml:space="preserve">375-1.2(ad): </w:t>
      </w:r>
      <w:r w:rsidR="00622C19" w:rsidRPr="00AF252F">
        <w:rPr>
          <w:rFonts w:cs="Times New Roman"/>
          <w:b/>
          <w:szCs w:val="24"/>
          <w:u w:val="single"/>
        </w:rPr>
        <w:t xml:space="preserve">Revised </w:t>
      </w:r>
      <w:r w:rsidR="000A6262" w:rsidRPr="00AF252F">
        <w:rPr>
          <w:rFonts w:cs="Times New Roman"/>
          <w:b/>
          <w:szCs w:val="24"/>
          <w:u w:val="single"/>
        </w:rPr>
        <w:t>Definition of “Off-site contamination”</w:t>
      </w:r>
      <w:r w:rsidR="00D47065">
        <w:rPr>
          <w:rFonts w:cs="Times New Roman"/>
          <w:b/>
          <w:szCs w:val="24"/>
          <w:u w:val="single"/>
        </w:rPr>
        <w:t xml:space="preserve"> </w:t>
      </w:r>
      <w:proofErr w:type="gramStart"/>
      <w:r w:rsidR="00D47065">
        <w:rPr>
          <w:rFonts w:cs="Times New Roman"/>
          <w:b/>
          <w:szCs w:val="24"/>
          <w:u w:val="single"/>
        </w:rPr>
        <w:t>-</w:t>
      </w:r>
      <w:r w:rsidR="00D47065">
        <w:rPr>
          <w:rFonts w:cs="Times New Roman"/>
          <w:szCs w:val="24"/>
        </w:rPr>
        <w:t xml:space="preserve"> </w:t>
      </w:r>
      <w:r w:rsidR="00943CBE">
        <w:rPr>
          <w:rFonts w:cs="Times New Roman"/>
          <w:szCs w:val="24"/>
        </w:rPr>
        <w:t xml:space="preserve"> </w:t>
      </w:r>
      <w:r w:rsidR="00622C19" w:rsidRPr="00AF252F">
        <w:rPr>
          <w:rFonts w:cs="Times New Roman"/>
          <w:szCs w:val="24"/>
        </w:rPr>
        <w:t>The</w:t>
      </w:r>
      <w:proofErr w:type="gramEnd"/>
      <w:r w:rsidR="00622C19" w:rsidRPr="00AF252F">
        <w:rPr>
          <w:rFonts w:cs="Times New Roman"/>
          <w:szCs w:val="24"/>
        </w:rPr>
        <w:t xml:space="preserve"> </w:t>
      </w:r>
      <w:r w:rsidR="00DB1AE0" w:rsidRPr="00AF252F">
        <w:rPr>
          <w:rFonts w:cs="Times New Roman"/>
          <w:szCs w:val="24"/>
        </w:rPr>
        <w:t xml:space="preserve">proposed </w:t>
      </w:r>
      <w:r w:rsidR="00622C19" w:rsidRPr="00AF252F">
        <w:rPr>
          <w:rFonts w:cs="Times New Roman"/>
          <w:szCs w:val="24"/>
        </w:rPr>
        <w:t xml:space="preserve">revision of the definition of “[o]ff-site contamination” to include soil vapor and sediment </w:t>
      </w:r>
      <w:r w:rsidR="000A6262" w:rsidRPr="00AF252F">
        <w:rPr>
          <w:rFonts w:cs="Times New Roman"/>
          <w:bCs/>
          <w:szCs w:val="24"/>
        </w:rPr>
        <w:t xml:space="preserve">should be accompanied by other new regulations that clarify what it means to remediate </w:t>
      </w:r>
      <w:r w:rsidR="004A4090" w:rsidRPr="00AF252F">
        <w:rPr>
          <w:rFonts w:cs="Times New Roman"/>
          <w:bCs/>
          <w:szCs w:val="24"/>
        </w:rPr>
        <w:t xml:space="preserve">soil </w:t>
      </w:r>
      <w:r w:rsidR="000A6262" w:rsidRPr="00AF252F">
        <w:rPr>
          <w:rFonts w:cs="Times New Roman"/>
          <w:bCs/>
          <w:szCs w:val="24"/>
        </w:rPr>
        <w:t xml:space="preserve">vapor </w:t>
      </w:r>
      <w:r w:rsidR="003F5545" w:rsidRPr="00AF252F">
        <w:rPr>
          <w:rFonts w:cs="Times New Roman"/>
          <w:bCs/>
          <w:szCs w:val="24"/>
        </w:rPr>
        <w:t xml:space="preserve">migrating onto </w:t>
      </w:r>
      <w:r w:rsidR="000A6262" w:rsidRPr="00AF252F">
        <w:rPr>
          <w:rFonts w:cs="Times New Roman"/>
          <w:bCs/>
          <w:szCs w:val="24"/>
        </w:rPr>
        <w:t xml:space="preserve">a remediated BCP site </w:t>
      </w:r>
      <w:r w:rsidR="008C76E8">
        <w:rPr>
          <w:rFonts w:cs="Times New Roman"/>
          <w:bCs/>
          <w:szCs w:val="24"/>
        </w:rPr>
        <w:t xml:space="preserve">from </w:t>
      </w:r>
      <w:r w:rsidR="008C76E8" w:rsidRPr="00AF252F">
        <w:rPr>
          <w:rFonts w:cs="Times New Roman"/>
          <w:bCs/>
          <w:szCs w:val="24"/>
        </w:rPr>
        <w:t xml:space="preserve">off-site </w:t>
      </w:r>
      <w:r w:rsidR="000A6262" w:rsidRPr="00AF252F">
        <w:rPr>
          <w:rFonts w:cs="Times New Roman"/>
          <w:bCs/>
          <w:szCs w:val="24"/>
        </w:rPr>
        <w:t xml:space="preserve">and </w:t>
      </w:r>
      <w:r w:rsidR="009E753A" w:rsidRPr="00AF252F">
        <w:rPr>
          <w:rFonts w:cs="Times New Roman"/>
          <w:bCs/>
          <w:szCs w:val="24"/>
        </w:rPr>
        <w:t>how th</w:t>
      </w:r>
      <w:r w:rsidR="008C76E8">
        <w:rPr>
          <w:rFonts w:cs="Times New Roman"/>
          <w:bCs/>
          <w:szCs w:val="24"/>
        </w:rPr>
        <w:t xml:space="preserve">at could </w:t>
      </w:r>
      <w:r w:rsidR="000A6262" w:rsidRPr="00AF252F">
        <w:rPr>
          <w:rFonts w:cs="Times New Roman"/>
          <w:bCs/>
          <w:szCs w:val="24"/>
        </w:rPr>
        <w:t>impact achiev</w:t>
      </w:r>
      <w:r w:rsidR="009E753A" w:rsidRPr="00AF252F">
        <w:rPr>
          <w:rFonts w:cs="Times New Roman"/>
          <w:bCs/>
          <w:szCs w:val="24"/>
        </w:rPr>
        <w:t>ing</w:t>
      </w:r>
      <w:r w:rsidR="004A4090" w:rsidRPr="00AF252F">
        <w:rPr>
          <w:rFonts w:cs="Times New Roman"/>
          <w:bCs/>
          <w:szCs w:val="24"/>
        </w:rPr>
        <w:t xml:space="preserve"> the </w:t>
      </w:r>
      <w:r w:rsidR="004A4090" w:rsidRPr="00AF252F">
        <w:rPr>
          <w:rFonts w:cs="Times New Roman"/>
          <w:szCs w:val="24"/>
        </w:rPr>
        <w:t>various</w:t>
      </w:r>
      <w:r w:rsidR="004A4090" w:rsidRPr="00AF252F">
        <w:rPr>
          <w:rFonts w:cs="Times New Roman"/>
          <w:bCs/>
          <w:szCs w:val="24"/>
        </w:rPr>
        <w:t xml:space="preserve"> remedial Tracks.  I</w:t>
      </w:r>
      <w:r w:rsidR="000A6262" w:rsidRPr="00AF252F">
        <w:rPr>
          <w:rFonts w:cs="Times New Roman"/>
          <w:bCs/>
          <w:szCs w:val="24"/>
        </w:rPr>
        <w:t xml:space="preserve">t would be inconsistent with the intent of the </w:t>
      </w:r>
      <w:r w:rsidR="003B6888" w:rsidRPr="00AF252F">
        <w:rPr>
          <w:rFonts w:cs="Times New Roman"/>
          <w:bCs/>
          <w:szCs w:val="24"/>
        </w:rPr>
        <w:t>BCP</w:t>
      </w:r>
      <w:r w:rsidR="000A6262" w:rsidRPr="00AF252F">
        <w:rPr>
          <w:rFonts w:cs="Times New Roman"/>
          <w:bCs/>
          <w:szCs w:val="24"/>
        </w:rPr>
        <w:t xml:space="preserve"> to eliminate a </w:t>
      </w:r>
      <w:proofErr w:type="gramStart"/>
      <w:r w:rsidR="004A4090" w:rsidRPr="00AF252F">
        <w:rPr>
          <w:rFonts w:cs="Times New Roman"/>
          <w:bCs/>
          <w:szCs w:val="24"/>
        </w:rPr>
        <w:t>V</w:t>
      </w:r>
      <w:r w:rsidR="000A6262" w:rsidRPr="00AF252F">
        <w:rPr>
          <w:rFonts w:cs="Times New Roman"/>
          <w:bCs/>
          <w:szCs w:val="24"/>
        </w:rPr>
        <w:t>olunteer’s</w:t>
      </w:r>
      <w:proofErr w:type="gramEnd"/>
      <w:r w:rsidR="000A6262" w:rsidRPr="00AF252F">
        <w:rPr>
          <w:rFonts w:cs="Times New Roman"/>
          <w:bCs/>
          <w:szCs w:val="24"/>
        </w:rPr>
        <w:t xml:space="preserve"> ability to achieve</w:t>
      </w:r>
      <w:r w:rsidR="004A4090" w:rsidRPr="00AF252F">
        <w:rPr>
          <w:rFonts w:cs="Times New Roman"/>
          <w:bCs/>
          <w:szCs w:val="24"/>
        </w:rPr>
        <w:t xml:space="preserve"> a</w:t>
      </w:r>
      <w:r w:rsidR="000A6262" w:rsidRPr="00AF252F">
        <w:rPr>
          <w:rFonts w:cs="Times New Roman"/>
          <w:bCs/>
          <w:szCs w:val="24"/>
        </w:rPr>
        <w:t xml:space="preserve"> Track 1 or 2 </w:t>
      </w:r>
      <w:r w:rsidR="004A4090" w:rsidRPr="00AF252F">
        <w:rPr>
          <w:rFonts w:cs="Times New Roman"/>
          <w:bCs/>
          <w:szCs w:val="24"/>
        </w:rPr>
        <w:t xml:space="preserve">cleanup </w:t>
      </w:r>
      <w:r w:rsidR="000A6262" w:rsidRPr="00AF252F">
        <w:rPr>
          <w:rFonts w:cs="Times New Roman"/>
          <w:bCs/>
          <w:szCs w:val="24"/>
        </w:rPr>
        <w:t xml:space="preserve">because of off-site </w:t>
      </w:r>
      <w:r w:rsidR="007B36AE" w:rsidRPr="00AF252F">
        <w:rPr>
          <w:rFonts w:cs="Times New Roman"/>
          <w:bCs/>
          <w:szCs w:val="24"/>
        </w:rPr>
        <w:t xml:space="preserve">soil </w:t>
      </w:r>
      <w:r w:rsidR="000A6262" w:rsidRPr="00AF252F">
        <w:rPr>
          <w:rFonts w:cs="Times New Roman"/>
          <w:bCs/>
          <w:szCs w:val="24"/>
        </w:rPr>
        <w:t>vapor migration</w:t>
      </w:r>
      <w:r w:rsidR="004A4090" w:rsidRPr="00AF252F">
        <w:rPr>
          <w:rFonts w:cs="Times New Roman"/>
          <w:bCs/>
          <w:szCs w:val="24"/>
        </w:rPr>
        <w:t>,</w:t>
      </w:r>
      <w:r w:rsidR="000A6262" w:rsidRPr="00AF252F">
        <w:rPr>
          <w:rFonts w:cs="Times New Roman"/>
          <w:bCs/>
          <w:szCs w:val="24"/>
        </w:rPr>
        <w:t xml:space="preserve"> since </w:t>
      </w:r>
      <w:r w:rsidR="004A4090" w:rsidRPr="00AF252F">
        <w:rPr>
          <w:rFonts w:cs="Times New Roman"/>
          <w:bCs/>
          <w:szCs w:val="24"/>
        </w:rPr>
        <w:t>a V</w:t>
      </w:r>
      <w:r w:rsidR="000A6262" w:rsidRPr="00AF252F">
        <w:rPr>
          <w:rFonts w:cs="Times New Roman"/>
          <w:bCs/>
          <w:szCs w:val="24"/>
        </w:rPr>
        <w:t xml:space="preserve">olunteer </w:t>
      </w:r>
      <w:r w:rsidR="003B6888" w:rsidRPr="00AF252F">
        <w:rPr>
          <w:rFonts w:cs="Times New Roman"/>
          <w:bCs/>
          <w:szCs w:val="24"/>
        </w:rPr>
        <w:t xml:space="preserve">generally does not </w:t>
      </w:r>
      <w:r w:rsidR="000A6262" w:rsidRPr="00AF252F">
        <w:rPr>
          <w:rFonts w:cs="Times New Roman"/>
          <w:bCs/>
          <w:szCs w:val="24"/>
        </w:rPr>
        <w:t>have off-site remedial obligations</w:t>
      </w:r>
      <w:r w:rsidR="001A6856">
        <w:rPr>
          <w:rFonts w:cs="Times New Roman"/>
          <w:bCs/>
          <w:szCs w:val="24"/>
        </w:rPr>
        <w:t xml:space="preserve">, </w:t>
      </w:r>
      <w:r w:rsidR="001A6856">
        <w:rPr>
          <w:rFonts w:cs="Times New Roman"/>
          <w:bCs/>
          <w:i/>
          <w:szCs w:val="24"/>
        </w:rPr>
        <w:t>s</w:t>
      </w:r>
      <w:r w:rsidR="007B36AE" w:rsidRPr="00AF252F">
        <w:rPr>
          <w:rFonts w:cs="Times New Roman"/>
          <w:bCs/>
          <w:i/>
          <w:szCs w:val="24"/>
        </w:rPr>
        <w:t>ee, e.g.</w:t>
      </w:r>
      <w:r w:rsidR="001326AF" w:rsidRPr="00AF252F">
        <w:rPr>
          <w:rFonts w:cs="Times New Roman"/>
          <w:bCs/>
          <w:szCs w:val="24"/>
        </w:rPr>
        <w:t>, ECL § 27-1411(2)</w:t>
      </w:r>
      <w:r w:rsidR="001A6856">
        <w:rPr>
          <w:rFonts w:cs="Times New Roman"/>
          <w:bCs/>
          <w:szCs w:val="24"/>
        </w:rPr>
        <w:t>, and given that there are no promulgated soil vapor standards</w:t>
      </w:r>
      <w:r w:rsidR="001326AF" w:rsidRPr="00AF252F">
        <w:rPr>
          <w:rFonts w:cs="Times New Roman"/>
          <w:bCs/>
          <w:szCs w:val="24"/>
        </w:rPr>
        <w:t>.</w:t>
      </w:r>
      <w:r w:rsidR="002C077B">
        <w:rPr>
          <w:rFonts w:cs="Times New Roman"/>
          <w:bCs/>
          <w:szCs w:val="24"/>
        </w:rPr>
        <w:t xml:space="preserve">  </w:t>
      </w:r>
    </w:p>
    <w:p w14:paraId="1836D9A8" w14:textId="208C5BA1" w:rsidR="00AF252F" w:rsidRDefault="00AF252F" w:rsidP="00A5121D">
      <w:pPr>
        <w:pStyle w:val="ListParagraph"/>
        <w:spacing w:after="0"/>
        <w:ind w:left="1080"/>
        <w:contextualSpacing w:val="0"/>
        <w:rPr>
          <w:rFonts w:cs="Times New Roman"/>
          <w:bCs/>
          <w:szCs w:val="24"/>
        </w:rPr>
      </w:pPr>
    </w:p>
    <w:p w14:paraId="477174A1" w14:textId="44CEB5AB" w:rsidR="00720365" w:rsidRDefault="00720365" w:rsidP="00A5121D">
      <w:pPr>
        <w:pStyle w:val="ListParagraph"/>
        <w:numPr>
          <w:ilvl w:val="0"/>
          <w:numId w:val="17"/>
        </w:numPr>
        <w:spacing w:after="0"/>
        <w:contextualSpacing w:val="0"/>
        <w:rPr>
          <w:rFonts w:cs="Times New Roman"/>
          <w:bCs/>
          <w:szCs w:val="24"/>
        </w:rPr>
      </w:pPr>
      <w:r w:rsidRPr="00D026FE">
        <w:rPr>
          <w:rFonts w:cs="Times New Roman"/>
          <w:b/>
          <w:szCs w:val="24"/>
          <w:u w:val="single"/>
        </w:rPr>
        <w:t>§ 375-1.2(c)</w:t>
      </w:r>
      <w:r w:rsidR="00943CBE">
        <w:rPr>
          <w:rFonts w:cs="Times New Roman"/>
          <w:b/>
          <w:szCs w:val="24"/>
          <w:u w:val="single"/>
        </w:rPr>
        <w:t>:</w:t>
      </w:r>
      <w:r w:rsidRPr="00D026FE">
        <w:rPr>
          <w:rFonts w:cs="Times New Roman"/>
          <w:b/>
          <w:szCs w:val="24"/>
          <w:u w:val="single"/>
        </w:rPr>
        <w:t xml:space="preserve"> Definition of “Brownfield [S]</w:t>
      </w:r>
      <w:proofErr w:type="spellStart"/>
      <w:r w:rsidRPr="00D026FE">
        <w:rPr>
          <w:rFonts w:cs="Times New Roman"/>
          <w:b/>
          <w:szCs w:val="24"/>
          <w:u w:val="single"/>
        </w:rPr>
        <w:t>ite</w:t>
      </w:r>
      <w:proofErr w:type="spellEnd"/>
      <w:r w:rsidRPr="00D026FE">
        <w:rPr>
          <w:rFonts w:cs="Times New Roman"/>
          <w:b/>
          <w:szCs w:val="24"/>
          <w:u w:val="single"/>
        </w:rPr>
        <w:t xml:space="preserve"> [R]</w:t>
      </w:r>
      <w:proofErr w:type="spellStart"/>
      <w:r w:rsidRPr="00D026FE">
        <w:rPr>
          <w:rFonts w:cs="Times New Roman"/>
          <w:b/>
          <w:szCs w:val="24"/>
          <w:u w:val="single"/>
        </w:rPr>
        <w:t>emedial</w:t>
      </w:r>
      <w:proofErr w:type="spellEnd"/>
      <w:r w:rsidRPr="00D026FE">
        <w:rPr>
          <w:rFonts w:cs="Times New Roman"/>
          <w:b/>
          <w:szCs w:val="24"/>
          <w:u w:val="single"/>
        </w:rPr>
        <w:t xml:space="preserve"> [P]</w:t>
      </w:r>
      <w:proofErr w:type="spellStart"/>
      <w:r w:rsidRPr="00D026FE">
        <w:rPr>
          <w:rFonts w:cs="Times New Roman"/>
          <w:b/>
          <w:szCs w:val="24"/>
          <w:u w:val="single"/>
        </w:rPr>
        <w:t>rogram</w:t>
      </w:r>
      <w:proofErr w:type="spellEnd"/>
      <w:r w:rsidRPr="00D026FE">
        <w:rPr>
          <w:rFonts w:cs="Times New Roman"/>
          <w:b/>
          <w:szCs w:val="24"/>
          <w:u w:val="single"/>
        </w:rPr>
        <w:t>”</w:t>
      </w:r>
      <w:r w:rsidR="00943CBE">
        <w:rPr>
          <w:rFonts w:cs="Times New Roman"/>
          <w:b/>
          <w:szCs w:val="24"/>
          <w:u w:val="single"/>
        </w:rPr>
        <w:t xml:space="preserve"> </w:t>
      </w:r>
      <w:proofErr w:type="gramStart"/>
      <w:r w:rsidR="00943CBE">
        <w:rPr>
          <w:rFonts w:cs="Times New Roman"/>
          <w:b/>
          <w:szCs w:val="24"/>
          <w:u w:val="single"/>
        </w:rPr>
        <w:t>-</w:t>
      </w:r>
      <w:r w:rsidRPr="00720365">
        <w:rPr>
          <w:rFonts w:cs="Times New Roman"/>
          <w:bCs/>
          <w:szCs w:val="24"/>
        </w:rPr>
        <w:t xml:space="preserve"> </w:t>
      </w:r>
      <w:r w:rsidR="00FA37AA">
        <w:rPr>
          <w:rFonts w:cs="Times New Roman"/>
          <w:bCs/>
          <w:szCs w:val="24"/>
        </w:rPr>
        <w:t xml:space="preserve"> </w:t>
      </w:r>
      <w:r w:rsidRPr="00720365">
        <w:rPr>
          <w:rFonts w:cs="Times New Roman"/>
          <w:bCs/>
          <w:szCs w:val="24"/>
        </w:rPr>
        <w:t>The</w:t>
      </w:r>
      <w:proofErr w:type="gramEnd"/>
      <w:r w:rsidRPr="00720365">
        <w:rPr>
          <w:rFonts w:cs="Times New Roman"/>
          <w:bCs/>
          <w:szCs w:val="24"/>
        </w:rPr>
        <w:t xml:space="preserve"> added language in the </w:t>
      </w:r>
      <w:r w:rsidRPr="00720365">
        <w:rPr>
          <w:rFonts w:cs="Times New Roman"/>
          <w:szCs w:val="24"/>
        </w:rPr>
        <w:t>proposed</w:t>
      </w:r>
      <w:r w:rsidRPr="00720365">
        <w:rPr>
          <w:rFonts w:cs="Times New Roman"/>
          <w:bCs/>
          <w:szCs w:val="24"/>
        </w:rPr>
        <w:t xml:space="preserve"> definition, “pursuant to a brownfield site cleanup agreement,” should be withdrawn and replaced with “in conformance with § 375-1.6.”</w:t>
      </w:r>
    </w:p>
    <w:p w14:paraId="43A3FE63" w14:textId="77777777" w:rsidR="00585890" w:rsidRDefault="00585890" w:rsidP="00A5121D">
      <w:pPr>
        <w:pStyle w:val="ListParagraph"/>
        <w:spacing w:after="0"/>
        <w:ind w:left="1080"/>
        <w:contextualSpacing w:val="0"/>
        <w:rPr>
          <w:rFonts w:cs="Times New Roman"/>
          <w:bCs/>
          <w:szCs w:val="24"/>
        </w:rPr>
      </w:pPr>
    </w:p>
    <w:p w14:paraId="05F0D183" w14:textId="54B79EEB" w:rsidR="001326AF" w:rsidRPr="00AF252F" w:rsidRDefault="006A0D1F" w:rsidP="00A5121D">
      <w:pPr>
        <w:pStyle w:val="ListParagraph"/>
        <w:numPr>
          <w:ilvl w:val="0"/>
          <w:numId w:val="17"/>
        </w:numPr>
        <w:spacing w:after="0"/>
        <w:contextualSpacing w:val="0"/>
        <w:rPr>
          <w:rFonts w:cs="Times New Roman"/>
          <w:bCs/>
          <w:szCs w:val="24"/>
        </w:rPr>
      </w:pPr>
      <w:r w:rsidRPr="00AF252F">
        <w:rPr>
          <w:rFonts w:cs="Times New Roman"/>
          <w:b/>
          <w:szCs w:val="24"/>
          <w:u w:val="single"/>
        </w:rPr>
        <w:t xml:space="preserve">§ </w:t>
      </w:r>
      <w:r w:rsidR="00E02184" w:rsidRPr="00AF252F">
        <w:rPr>
          <w:rFonts w:cs="Times New Roman"/>
          <w:b/>
          <w:szCs w:val="24"/>
          <w:u w:val="single"/>
        </w:rPr>
        <w:t>375-1.2(e): Definition of “Change of use”</w:t>
      </w:r>
      <w:r w:rsidR="00C06537">
        <w:rPr>
          <w:rFonts w:cs="Times New Roman"/>
          <w:b/>
          <w:szCs w:val="24"/>
          <w:u w:val="single"/>
        </w:rPr>
        <w:t xml:space="preserve"> </w:t>
      </w:r>
      <w:proofErr w:type="gramStart"/>
      <w:r w:rsidR="00C06537">
        <w:rPr>
          <w:rFonts w:cs="Times New Roman"/>
          <w:b/>
          <w:szCs w:val="24"/>
          <w:u w:val="single"/>
        </w:rPr>
        <w:t>-</w:t>
      </w:r>
      <w:r w:rsidR="00C06537">
        <w:rPr>
          <w:rFonts w:cs="Times New Roman"/>
          <w:b/>
          <w:szCs w:val="24"/>
        </w:rPr>
        <w:t xml:space="preserve"> </w:t>
      </w:r>
      <w:r w:rsidR="00943CBE">
        <w:rPr>
          <w:rFonts w:cs="Times New Roman"/>
          <w:b/>
          <w:szCs w:val="24"/>
        </w:rPr>
        <w:t xml:space="preserve"> </w:t>
      </w:r>
      <w:r w:rsidRPr="00AF252F">
        <w:rPr>
          <w:rFonts w:eastAsia="Times New Roman"/>
          <w:color w:val="000000"/>
          <w:spacing w:val="-2"/>
          <w:szCs w:val="24"/>
        </w:rPr>
        <w:t>The</w:t>
      </w:r>
      <w:proofErr w:type="gramEnd"/>
      <w:r w:rsidRPr="00AF252F">
        <w:rPr>
          <w:rFonts w:eastAsia="Times New Roman"/>
          <w:color w:val="000000"/>
          <w:spacing w:val="-2"/>
          <w:szCs w:val="24"/>
        </w:rPr>
        <w:t xml:space="preserve"> proposed Change of Use definition tracks the statutory definition in ECL § 27-1425(3)(a)</w:t>
      </w:r>
      <w:r w:rsidR="001326AF" w:rsidRPr="00AF252F">
        <w:rPr>
          <w:rFonts w:eastAsia="Times New Roman"/>
          <w:color w:val="000000"/>
          <w:spacing w:val="-2"/>
          <w:szCs w:val="24"/>
        </w:rPr>
        <w:t>, except that it adds</w:t>
      </w:r>
      <w:r w:rsidRPr="00AF252F">
        <w:rPr>
          <w:rFonts w:eastAsia="Times New Roman"/>
          <w:color w:val="000000"/>
          <w:spacing w:val="-2"/>
          <w:szCs w:val="24"/>
        </w:rPr>
        <w:t xml:space="preserve">: “any change to the tax lot designation or boundary.” </w:t>
      </w:r>
      <w:r w:rsidR="001326AF" w:rsidRPr="00AF252F">
        <w:rPr>
          <w:rFonts w:eastAsia="Times New Roman"/>
          <w:color w:val="000000"/>
          <w:spacing w:val="-2"/>
          <w:szCs w:val="24"/>
        </w:rPr>
        <w:t xml:space="preserve"> </w:t>
      </w:r>
      <w:r w:rsidRPr="00AF252F">
        <w:rPr>
          <w:rFonts w:eastAsia="Times New Roman"/>
          <w:color w:val="000000"/>
          <w:spacing w:val="-2"/>
          <w:szCs w:val="24"/>
        </w:rPr>
        <w:t xml:space="preserve">We recommend limiting the definition to the statutory definition, preferably by reference to the statutory section, rather than repeating the statutory definition in the regulations, </w:t>
      </w:r>
      <w:proofErr w:type="gramStart"/>
      <w:r w:rsidRPr="00AF252F">
        <w:rPr>
          <w:rFonts w:eastAsia="Times New Roman"/>
          <w:color w:val="000000"/>
          <w:spacing w:val="-2"/>
          <w:szCs w:val="24"/>
        </w:rPr>
        <w:t>in order to</w:t>
      </w:r>
      <w:proofErr w:type="gramEnd"/>
      <w:r w:rsidRPr="00AF252F">
        <w:rPr>
          <w:rFonts w:eastAsia="Times New Roman"/>
          <w:color w:val="000000"/>
          <w:spacing w:val="-2"/>
          <w:szCs w:val="24"/>
        </w:rPr>
        <w:t xml:space="preserve"> ensure that the term remains consistent with the statute in the event of statutory amendments. </w:t>
      </w:r>
      <w:r w:rsidR="001326AF" w:rsidRPr="00AF252F">
        <w:rPr>
          <w:rFonts w:eastAsia="Times New Roman"/>
          <w:color w:val="000000"/>
          <w:spacing w:val="-2"/>
          <w:szCs w:val="24"/>
        </w:rPr>
        <w:t xml:space="preserve"> </w:t>
      </w:r>
    </w:p>
    <w:p w14:paraId="29F49E47" w14:textId="77777777" w:rsidR="001326AF" w:rsidRPr="008A06AB" w:rsidRDefault="001326AF" w:rsidP="00A5121D">
      <w:pPr>
        <w:spacing w:after="0"/>
        <w:rPr>
          <w:rFonts w:eastAsia="Times New Roman"/>
          <w:color w:val="000000"/>
          <w:spacing w:val="-2"/>
          <w:szCs w:val="24"/>
        </w:rPr>
      </w:pPr>
    </w:p>
    <w:p w14:paraId="7B29D54A" w14:textId="1C1EFC5F" w:rsidR="006A0D1F" w:rsidRPr="008A06AB" w:rsidRDefault="006A0D1F" w:rsidP="00A5121D">
      <w:pPr>
        <w:spacing w:after="0"/>
        <w:ind w:left="1080"/>
        <w:rPr>
          <w:rFonts w:cs="Times New Roman"/>
          <w:szCs w:val="24"/>
        </w:rPr>
      </w:pPr>
      <w:r w:rsidRPr="008A06AB">
        <w:rPr>
          <w:rFonts w:eastAsia="Times New Roman"/>
          <w:color w:val="000000"/>
          <w:spacing w:val="-2"/>
          <w:szCs w:val="24"/>
        </w:rPr>
        <w:t>The statutory intent of Change of Use notice</w:t>
      </w:r>
      <w:r w:rsidR="008C76E8">
        <w:rPr>
          <w:rFonts w:eastAsia="Times New Roman"/>
          <w:color w:val="000000"/>
          <w:spacing w:val="-2"/>
          <w:szCs w:val="24"/>
        </w:rPr>
        <w:t>s</w:t>
      </w:r>
      <w:r w:rsidRPr="008A06AB">
        <w:rPr>
          <w:rFonts w:eastAsia="Times New Roman"/>
          <w:color w:val="000000"/>
          <w:spacing w:val="-2"/>
          <w:szCs w:val="24"/>
        </w:rPr>
        <w:t xml:space="preserve"> pursuant to ECL § 27-1425(3)(b) is to “adequately apprise the department of the contemplated change of use of such site and how such change of use may affect the site’s proposed, ongoing, or completed remedial program”</w:t>
      </w:r>
      <w:r w:rsidR="00FA5D1A" w:rsidRPr="008A06AB">
        <w:rPr>
          <w:rFonts w:eastAsia="Times New Roman"/>
          <w:color w:val="000000"/>
          <w:spacing w:val="-2"/>
          <w:szCs w:val="24"/>
        </w:rPr>
        <w:t>,</w:t>
      </w:r>
      <w:r w:rsidRPr="008A06AB">
        <w:rPr>
          <w:rFonts w:eastAsia="Times New Roman"/>
          <w:color w:val="000000"/>
          <w:spacing w:val="-2"/>
          <w:szCs w:val="24"/>
        </w:rPr>
        <w:t xml:space="preserve"> and therefore a sixty-day prior notice is required. </w:t>
      </w:r>
      <w:r w:rsidR="001326AF" w:rsidRPr="008A06AB">
        <w:rPr>
          <w:rFonts w:eastAsia="Times New Roman"/>
          <w:color w:val="000000"/>
          <w:spacing w:val="-2"/>
          <w:szCs w:val="24"/>
        </w:rPr>
        <w:t xml:space="preserve"> </w:t>
      </w:r>
      <w:r w:rsidRPr="008A06AB">
        <w:rPr>
          <w:rFonts w:eastAsia="Times New Roman"/>
          <w:color w:val="000000"/>
          <w:spacing w:val="-2"/>
          <w:szCs w:val="24"/>
        </w:rPr>
        <w:t xml:space="preserve">Recently, there have </w:t>
      </w:r>
      <w:r w:rsidRPr="008A06AB">
        <w:rPr>
          <w:rFonts w:cs="Times New Roman"/>
          <w:szCs w:val="24"/>
        </w:rPr>
        <w:t>also</w:t>
      </w:r>
      <w:r w:rsidRPr="008A06AB">
        <w:rPr>
          <w:rFonts w:eastAsia="Times New Roman"/>
          <w:color w:val="000000"/>
          <w:spacing w:val="-2"/>
          <w:szCs w:val="24"/>
        </w:rPr>
        <w:t xml:space="preserve"> </w:t>
      </w:r>
      <w:r w:rsidRPr="008A06AB">
        <w:rPr>
          <w:rFonts w:eastAsia="Times New Roman"/>
          <w:color w:val="000000"/>
          <w:spacing w:val="-2"/>
          <w:szCs w:val="24"/>
        </w:rPr>
        <w:lastRenderedPageBreak/>
        <w:t xml:space="preserve">been other instances when the Change of Use form has been required such as when there is a change of site address, the remedial parties change, demolition commences, or a Real Property Tax Law § 421-a foundation element installation needs to be commenced at a BCP site. </w:t>
      </w:r>
      <w:r w:rsidR="001326AF" w:rsidRPr="008A06AB">
        <w:rPr>
          <w:rFonts w:eastAsia="Times New Roman"/>
          <w:color w:val="000000"/>
          <w:spacing w:val="-2"/>
          <w:szCs w:val="24"/>
        </w:rPr>
        <w:t xml:space="preserve"> </w:t>
      </w:r>
      <w:r w:rsidRPr="008A06AB">
        <w:rPr>
          <w:rFonts w:eastAsia="Times New Roman"/>
          <w:color w:val="000000"/>
          <w:spacing w:val="-2"/>
          <w:szCs w:val="24"/>
        </w:rPr>
        <w:t xml:space="preserve">However, the events described above that are not otherwise specified in the statutory definition do not affect the site’s proposed, ongoing, or completed remedial program and it is unclear why sixty days advanced notice is required. </w:t>
      </w:r>
      <w:r w:rsidR="001326AF" w:rsidRPr="008A06AB">
        <w:rPr>
          <w:rFonts w:eastAsia="Times New Roman"/>
          <w:color w:val="000000"/>
          <w:spacing w:val="-2"/>
          <w:szCs w:val="24"/>
        </w:rPr>
        <w:t xml:space="preserve"> </w:t>
      </w:r>
      <w:r w:rsidRPr="008A06AB">
        <w:rPr>
          <w:rFonts w:eastAsia="Times New Roman"/>
          <w:color w:val="000000"/>
          <w:spacing w:val="-2"/>
          <w:szCs w:val="24"/>
        </w:rPr>
        <w:t>Broadening the term and the events to which the sixty-day notice applies exceeds the statutory intent</w:t>
      </w:r>
      <w:r w:rsidRPr="008A06AB">
        <w:rPr>
          <w:rFonts w:eastAsia="Times New Roman"/>
          <w:color w:val="000000"/>
          <w:szCs w:val="24"/>
        </w:rPr>
        <w:t xml:space="preserve">. </w:t>
      </w:r>
      <w:r w:rsidR="00D47065">
        <w:rPr>
          <w:rFonts w:eastAsia="Times New Roman"/>
          <w:color w:val="000000"/>
          <w:szCs w:val="24"/>
        </w:rPr>
        <w:t xml:space="preserve"> </w:t>
      </w:r>
      <w:r w:rsidRPr="008A06AB">
        <w:rPr>
          <w:rFonts w:eastAsia="Times New Roman"/>
          <w:color w:val="000000"/>
          <w:szCs w:val="24"/>
        </w:rPr>
        <w:t>We agree that other circumstances also call for notice to the Department, but the proposed broadening of the statutory term far exceed</w:t>
      </w:r>
      <w:r w:rsidR="00FA5D1A" w:rsidRPr="008A06AB">
        <w:rPr>
          <w:rFonts w:eastAsia="Times New Roman"/>
          <w:color w:val="000000"/>
          <w:szCs w:val="24"/>
        </w:rPr>
        <w:t>s</w:t>
      </w:r>
      <w:r w:rsidRPr="008A06AB">
        <w:rPr>
          <w:rFonts w:eastAsia="Times New Roman"/>
          <w:color w:val="000000"/>
          <w:szCs w:val="24"/>
        </w:rPr>
        <w:t xml:space="preserve"> the statutory intent. </w:t>
      </w:r>
      <w:r w:rsidR="001326AF" w:rsidRPr="008A06AB">
        <w:rPr>
          <w:rFonts w:eastAsia="Times New Roman"/>
          <w:color w:val="000000"/>
          <w:szCs w:val="24"/>
        </w:rPr>
        <w:t xml:space="preserve"> </w:t>
      </w:r>
      <w:r w:rsidRPr="008A06AB">
        <w:rPr>
          <w:rFonts w:eastAsia="Times New Roman"/>
          <w:color w:val="000000"/>
          <w:szCs w:val="24"/>
        </w:rPr>
        <w:t>Perhaps a new defined term that more closely reflects the category of events intended to be covered should be added to address the most common events that trigger the need to notify the Department of a change in facts or circumstances with a different mechanism than the Change of Use form and with shorter notice periods appropriate to such changes.</w:t>
      </w:r>
    </w:p>
    <w:p w14:paraId="3A57B7C6" w14:textId="77777777" w:rsidR="006A0D1F" w:rsidRPr="008A06AB" w:rsidRDefault="006A0D1F" w:rsidP="00A5121D">
      <w:pPr>
        <w:spacing w:after="0"/>
        <w:rPr>
          <w:rFonts w:cs="Times New Roman"/>
          <w:szCs w:val="24"/>
        </w:rPr>
      </w:pPr>
    </w:p>
    <w:p w14:paraId="02DFAA7C" w14:textId="2AB63D5F" w:rsidR="00AF252F" w:rsidRDefault="006A0D1F" w:rsidP="00A5121D">
      <w:pPr>
        <w:spacing w:after="0"/>
        <w:ind w:left="1080"/>
        <w:rPr>
          <w:rFonts w:cs="Times New Roman"/>
          <w:szCs w:val="24"/>
        </w:rPr>
      </w:pPr>
      <w:r w:rsidRPr="008A06AB">
        <w:rPr>
          <w:rFonts w:cs="Times New Roman"/>
          <w:szCs w:val="24"/>
        </w:rPr>
        <w:t xml:space="preserve">If the Department </w:t>
      </w:r>
      <w:r w:rsidR="00E02184" w:rsidRPr="008A06AB">
        <w:rPr>
          <w:rFonts w:cs="Times New Roman"/>
          <w:szCs w:val="24"/>
        </w:rPr>
        <w:t xml:space="preserve">does expand the regulatory definition of </w:t>
      </w:r>
      <w:r w:rsidRPr="008A06AB">
        <w:rPr>
          <w:rFonts w:cs="Times New Roman"/>
          <w:szCs w:val="24"/>
        </w:rPr>
        <w:t xml:space="preserve">a </w:t>
      </w:r>
      <w:r w:rsidR="00D47065">
        <w:rPr>
          <w:rFonts w:cs="Times New Roman"/>
          <w:szCs w:val="24"/>
        </w:rPr>
        <w:t>C</w:t>
      </w:r>
      <w:r w:rsidRPr="008A06AB">
        <w:rPr>
          <w:rFonts w:cs="Times New Roman"/>
          <w:szCs w:val="24"/>
        </w:rPr>
        <w:t xml:space="preserve">hange of </w:t>
      </w:r>
      <w:r w:rsidR="00D47065">
        <w:rPr>
          <w:rFonts w:cs="Times New Roman"/>
          <w:szCs w:val="24"/>
        </w:rPr>
        <w:t>U</w:t>
      </w:r>
      <w:r w:rsidRPr="008A06AB">
        <w:rPr>
          <w:rFonts w:cs="Times New Roman"/>
          <w:szCs w:val="24"/>
        </w:rPr>
        <w:t xml:space="preserve">se </w:t>
      </w:r>
      <w:r w:rsidR="00E02184" w:rsidRPr="008A06AB">
        <w:rPr>
          <w:rFonts w:cs="Times New Roman"/>
          <w:szCs w:val="24"/>
        </w:rPr>
        <w:t xml:space="preserve">to include </w:t>
      </w:r>
      <w:r w:rsidRPr="008A06AB">
        <w:rPr>
          <w:rFonts w:cs="Times New Roman"/>
          <w:szCs w:val="24"/>
        </w:rPr>
        <w:t xml:space="preserve">changes to tax lot designations or boundaries, </w:t>
      </w:r>
      <w:r w:rsidR="00E02184" w:rsidRPr="008A06AB">
        <w:rPr>
          <w:rFonts w:cs="Times New Roman"/>
          <w:szCs w:val="24"/>
        </w:rPr>
        <w:t xml:space="preserve">we recommend that the advance notice of </w:t>
      </w:r>
      <w:r w:rsidR="00D47065">
        <w:rPr>
          <w:rFonts w:cs="Times New Roman"/>
          <w:szCs w:val="24"/>
        </w:rPr>
        <w:t>Change of U</w:t>
      </w:r>
      <w:r w:rsidRPr="008A06AB">
        <w:rPr>
          <w:rFonts w:cs="Times New Roman"/>
          <w:szCs w:val="24"/>
        </w:rPr>
        <w:t xml:space="preserve">se </w:t>
      </w:r>
      <w:r w:rsidR="00E02184" w:rsidRPr="008A06AB">
        <w:rPr>
          <w:rFonts w:cs="Times New Roman"/>
          <w:szCs w:val="24"/>
        </w:rPr>
        <w:t xml:space="preserve">should be submitted to </w:t>
      </w:r>
      <w:r w:rsidRPr="008A06AB">
        <w:rPr>
          <w:rFonts w:cs="Times New Roman"/>
          <w:szCs w:val="24"/>
        </w:rPr>
        <w:t xml:space="preserve">the Department </w:t>
      </w:r>
      <w:r w:rsidR="00E02184" w:rsidRPr="008A06AB">
        <w:rPr>
          <w:rFonts w:cs="Times New Roman"/>
          <w:szCs w:val="24"/>
        </w:rPr>
        <w:t xml:space="preserve">once the tax map office notifies the applicant that it has tentatively approved </w:t>
      </w:r>
      <w:r w:rsidRPr="008A06AB">
        <w:rPr>
          <w:rFonts w:cs="Times New Roman"/>
          <w:szCs w:val="24"/>
        </w:rPr>
        <w:t xml:space="preserve">an application to change a tax lot. </w:t>
      </w:r>
      <w:r w:rsidR="001326AF" w:rsidRPr="008A06AB">
        <w:rPr>
          <w:rFonts w:cs="Times New Roman"/>
          <w:szCs w:val="24"/>
        </w:rPr>
        <w:t xml:space="preserve"> </w:t>
      </w:r>
      <w:r w:rsidRPr="008A06AB">
        <w:rPr>
          <w:rFonts w:cs="Times New Roman"/>
          <w:szCs w:val="24"/>
        </w:rPr>
        <w:t xml:space="preserve">Doing so would set </w:t>
      </w:r>
      <w:r w:rsidR="00E02184" w:rsidRPr="008A06AB">
        <w:rPr>
          <w:rFonts w:cs="Times New Roman"/>
          <w:szCs w:val="24"/>
        </w:rPr>
        <w:t xml:space="preserve">an unambiguous </w:t>
      </w:r>
      <w:r w:rsidRPr="008A06AB">
        <w:rPr>
          <w:rFonts w:cs="Times New Roman"/>
          <w:szCs w:val="24"/>
        </w:rPr>
        <w:t xml:space="preserve">timeline that </w:t>
      </w:r>
      <w:r w:rsidR="00E02184" w:rsidRPr="008A06AB">
        <w:rPr>
          <w:rFonts w:cs="Times New Roman"/>
          <w:szCs w:val="24"/>
        </w:rPr>
        <w:t xml:space="preserve">generally </w:t>
      </w:r>
      <w:r w:rsidRPr="008A06AB">
        <w:rPr>
          <w:rFonts w:cs="Times New Roman"/>
          <w:szCs w:val="24"/>
        </w:rPr>
        <w:t xml:space="preserve">is </w:t>
      </w:r>
      <w:r w:rsidR="00E02184" w:rsidRPr="008A06AB">
        <w:rPr>
          <w:rFonts w:cs="Times New Roman"/>
          <w:szCs w:val="24"/>
        </w:rPr>
        <w:t xml:space="preserve">at least </w:t>
      </w:r>
      <w:r w:rsidRPr="008A06AB">
        <w:rPr>
          <w:rFonts w:cs="Times New Roman"/>
          <w:szCs w:val="24"/>
        </w:rPr>
        <w:t xml:space="preserve">sixty </w:t>
      </w:r>
      <w:r w:rsidR="00E02184" w:rsidRPr="008A06AB">
        <w:rPr>
          <w:rFonts w:cs="Times New Roman"/>
          <w:szCs w:val="24"/>
        </w:rPr>
        <w:t xml:space="preserve">days before </w:t>
      </w:r>
      <w:r w:rsidRPr="008A06AB">
        <w:rPr>
          <w:rFonts w:cs="Times New Roman"/>
          <w:szCs w:val="24"/>
        </w:rPr>
        <w:t xml:space="preserve">a </w:t>
      </w:r>
      <w:r w:rsidR="00E02184" w:rsidRPr="008A06AB">
        <w:rPr>
          <w:rFonts w:cs="Times New Roman"/>
          <w:szCs w:val="24"/>
        </w:rPr>
        <w:t xml:space="preserve">tax map </w:t>
      </w:r>
      <w:r w:rsidRPr="008A06AB">
        <w:rPr>
          <w:rFonts w:cs="Times New Roman"/>
          <w:szCs w:val="24"/>
        </w:rPr>
        <w:t>is updated</w:t>
      </w:r>
      <w:r w:rsidR="00E02184" w:rsidRPr="008A06AB">
        <w:rPr>
          <w:rFonts w:cs="Times New Roman"/>
          <w:szCs w:val="24"/>
        </w:rPr>
        <w:t xml:space="preserve">, so </w:t>
      </w:r>
      <w:r w:rsidRPr="008A06AB">
        <w:rPr>
          <w:rFonts w:cs="Times New Roman"/>
          <w:szCs w:val="24"/>
        </w:rPr>
        <w:t xml:space="preserve">this </w:t>
      </w:r>
      <w:r w:rsidR="00E02184" w:rsidRPr="008A06AB">
        <w:rPr>
          <w:rFonts w:cs="Times New Roman"/>
          <w:szCs w:val="24"/>
        </w:rPr>
        <w:t xml:space="preserve">would </w:t>
      </w:r>
      <w:r w:rsidRPr="008A06AB">
        <w:rPr>
          <w:rFonts w:cs="Times New Roman"/>
          <w:szCs w:val="24"/>
        </w:rPr>
        <w:t xml:space="preserve">provide </w:t>
      </w:r>
      <w:r w:rsidR="00E02184" w:rsidRPr="008A06AB">
        <w:rPr>
          <w:rFonts w:cs="Times New Roman"/>
          <w:szCs w:val="24"/>
        </w:rPr>
        <w:t>meaningful advance notice.</w:t>
      </w:r>
    </w:p>
    <w:p w14:paraId="2358F81A" w14:textId="703C66D6" w:rsidR="00AF252F" w:rsidRDefault="00AF252F" w:rsidP="00A5121D">
      <w:pPr>
        <w:spacing w:after="0"/>
        <w:ind w:left="1080"/>
        <w:rPr>
          <w:rFonts w:cs="Times New Roman"/>
          <w:szCs w:val="24"/>
        </w:rPr>
      </w:pPr>
    </w:p>
    <w:p w14:paraId="46E5C2B7" w14:textId="2A2DD7AC" w:rsidR="00AF252F" w:rsidRDefault="006F0E81" w:rsidP="00A5121D">
      <w:pPr>
        <w:pStyle w:val="ListParagraph"/>
        <w:numPr>
          <w:ilvl w:val="0"/>
          <w:numId w:val="17"/>
        </w:numPr>
        <w:spacing w:after="0"/>
        <w:contextualSpacing w:val="0"/>
        <w:rPr>
          <w:rFonts w:cs="Times New Roman"/>
          <w:szCs w:val="24"/>
        </w:rPr>
      </w:pPr>
      <w:r w:rsidRPr="00AF252F">
        <w:rPr>
          <w:rFonts w:cs="Times New Roman"/>
          <w:b/>
          <w:szCs w:val="24"/>
          <w:u w:val="single"/>
        </w:rPr>
        <w:t xml:space="preserve">§ </w:t>
      </w:r>
      <w:r w:rsidR="00025D47" w:rsidRPr="00AF252F">
        <w:rPr>
          <w:rFonts w:cs="Times New Roman"/>
          <w:b/>
          <w:szCs w:val="24"/>
          <w:u w:val="single"/>
        </w:rPr>
        <w:t>375-1.2(as</w:t>
      </w:r>
      <w:r w:rsidRPr="00AF252F">
        <w:rPr>
          <w:rFonts w:cs="Times New Roman"/>
          <w:b/>
          <w:szCs w:val="24"/>
          <w:u w:val="single"/>
        </w:rPr>
        <w:t xml:space="preserve">) </w:t>
      </w:r>
      <w:r w:rsidR="00DF7FD5" w:rsidRPr="00AF252F">
        <w:rPr>
          <w:rFonts w:cs="Times New Roman"/>
          <w:b/>
          <w:szCs w:val="24"/>
          <w:u w:val="single"/>
        </w:rPr>
        <w:t xml:space="preserve">and </w:t>
      </w:r>
      <w:r w:rsidRPr="00AF252F">
        <w:rPr>
          <w:rFonts w:cs="Times New Roman"/>
          <w:b/>
          <w:szCs w:val="24"/>
          <w:u w:val="single"/>
        </w:rPr>
        <w:t xml:space="preserve">§ </w:t>
      </w:r>
      <w:r w:rsidR="00E02184" w:rsidRPr="00AF252F">
        <w:rPr>
          <w:rFonts w:cs="Times New Roman"/>
          <w:b/>
          <w:szCs w:val="24"/>
          <w:u w:val="single"/>
        </w:rPr>
        <w:t>375-2.2(a): Definition of “Responsible party”</w:t>
      </w:r>
      <w:r w:rsidR="00C06537">
        <w:rPr>
          <w:rFonts w:cs="Times New Roman"/>
          <w:b/>
          <w:szCs w:val="24"/>
          <w:u w:val="single"/>
        </w:rPr>
        <w:t xml:space="preserve"> </w:t>
      </w:r>
      <w:proofErr w:type="gramStart"/>
      <w:r w:rsidR="00C06537">
        <w:rPr>
          <w:rFonts w:cs="Times New Roman"/>
          <w:b/>
          <w:szCs w:val="24"/>
          <w:u w:val="single"/>
        </w:rPr>
        <w:t>-</w:t>
      </w:r>
      <w:r w:rsidR="00C06537">
        <w:rPr>
          <w:rFonts w:cs="Times New Roman"/>
          <w:b/>
          <w:szCs w:val="24"/>
        </w:rPr>
        <w:t xml:space="preserve"> </w:t>
      </w:r>
      <w:r w:rsidR="00943CBE">
        <w:rPr>
          <w:rFonts w:cs="Times New Roman"/>
          <w:b/>
          <w:szCs w:val="24"/>
        </w:rPr>
        <w:t xml:space="preserve"> </w:t>
      </w:r>
      <w:r w:rsidRPr="00AF252F">
        <w:rPr>
          <w:rFonts w:cs="Times New Roman"/>
          <w:szCs w:val="24"/>
        </w:rPr>
        <w:t>T</w:t>
      </w:r>
      <w:r w:rsidR="00546837" w:rsidRPr="00AF252F">
        <w:rPr>
          <w:rFonts w:cs="Times New Roman"/>
          <w:szCs w:val="24"/>
        </w:rPr>
        <w:t>he</w:t>
      </w:r>
      <w:proofErr w:type="gramEnd"/>
      <w:r w:rsidR="00546837" w:rsidRPr="00AF252F">
        <w:rPr>
          <w:rFonts w:cs="Times New Roman"/>
          <w:szCs w:val="24"/>
        </w:rPr>
        <w:t xml:space="preserve"> proposed regulations</w:t>
      </w:r>
      <w:r w:rsidR="00E17807" w:rsidRPr="00AF252F">
        <w:rPr>
          <w:rFonts w:cs="Times New Roman"/>
          <w:szCs w:val="24"/>
        </w:rPr>
        <w:t xml:space="preserve"> would </w:t>
      </w:r>
      <w:r w:rsidR="00DB1AE0" w:rsidRPr="00AF252F">
        <w:rPr>
          <w:rFonts w:cs="Times New Roman"/>
          <w:szCs w:val="24"/>
        </w:rPr>
        <w:t xml:space="preserve">contradict </w:t>
      </w:r>
      <w:r w:rsidR="00E02184" w:rsidRPr="00AF252F">
        <w:rPr>
          <w:rFonts w:cs="Times New Roman"/>
          <w:szCs w:val="24"/>
        </w:rPr>
        <w:t xml:space="preserve">statutory authority by </w:t>
      </w:r>
      <w:r w:rsidR="00E17807" w:rsidRPr="00AF252F">
        <w:rPr>
          <w:rFonts w:cs="Times New Roman"/>
          <w:szCs w:val="24"/>
        </w:rPr>
        <w:t xml:space="preserve">defining </w:t>
      </w:r>
      <w:r w:rsidRPr="00AF252F">
        <w:rPr>
          <w:rFonts w:cs="Times New Roman"/>
          <w:szCs w:val="24"/>
        </w:rPr>
        <w:t>“[r]</w:t>
      </w:r>
      <w:proofErr w:type="spellStart"/>
      <w:r w:rsidRPr="00AF252F">
        <w:rPr>
          <w:rFonts w:cs="Times New Roman"/>
          <w:szCs w:val="24"/>
        </w:rPr>
        <w:t>esponsible</w:t>
      </w:r>
      <w:proofErr w:type="spellEnd"/>
      <w:r w:rsidRPr="00AF252F">
        <w:rPr>
          <w:rFonts w:cs="Times New Roman"/>
          <w:szCs w:val="24"/>
        </w:rPr>
        <w:t xml:space="preserve"> p</w:t>
      </w:r>
      <w:r w:rsidR="00E02184" w:rsidRPr="00AF252F">
        <w:rPr>
          <w:rFonts w:cs="Times New Roman"/>
          <w:szCs w:val="24"/>
        </w:rPr>
        <w:t>arty</w:t>
      </w:r>
      <w:r w:rsidRPr="00AF252F">
        <w:rPr>
          <w:rFonts w:cs="Times New Roman"/>
          <w:szCs w:val="24"/>
        </w:rPr>
        <w:t>”</w:t>
      </w:r>
      <w:r w:rsidR="00E17807" w:rsidRPr="00AF252F">
        <w:rPr>
          <w:rFonts w:cs="Times New Roman"/>
          <w:szCs w:val="24"/>
        </w:rPr>
        <w:t xml:space="preserve"> in proposed § 375-1.2(as)</w:t>
      </w:r>
      <w:r w:rsidR="00416E07" w:rsidRPr="00AF252F">
        <w:rPr>
          <w:rFonts w:cs="Times New Roman"/>
          <w:szCs w:val="24"/>
        </w:rPr>
        <w:t xml:space="preserve"> and removing the definition of that term from § 375-2.2</w:t>
      </w:r>
      <w:r w:rsidR="00E17807" w:rsidRPr="00AF252F">
        <w:rPr>
          <w:rFonts w:cs="Times New Roman"/>
          <w:szCs w:val="24"/>
        </w:rPr>
        <w:t>.  Th</w:t>
      </w:r>
      <w:r w:rsidR="00416E07" w:rsidRPr="00AF252F">
        <w:rPr>
          <w:rFonts w:cs="Times New Roman"/>
          <w:szCs w:val="24"/>
        </w:rPr>
        <w:t>e proposed</w:t>
      </w:r>
      <w:r w:rsidR="00E17807" w:rsidRPr="00AF252F">
        <w:rPr>
          <w:rFonts w:cs="Times New Roman"/>
          <w:szCs w:val="24"/>
        </w:rPr>
        <w:t xml:space="preserve"> definition would apply to all Part 375 programs, including the State Superfund Program, and would include </w:t>
      </w:r>
      <w:r w:rsidR="0066006B" w:rsidRPr="00AF252F">
        <w:rPr>
          <w:rFonts w:cs="Times New Roman"/>
          <w:szCs w:val="24"/>
        </w:rPr>
        <w:t xml:space="preserve">within that definition </w:t>
      </w:r>
      <w:r w:rsidR="00E17807" w:rsidRPr="00AF252F">
        <w:rPr>
          <w:rFonts w:cs="Times New Roman"/>
          <w:szCs w:val="24"/>
        </w:rPr>
        <w:t xml:space="preserve">parties that engage in </w:t>
      </w:r>
      <w:r w:rsidR="0066006B" w:rsidRPr="00AF252F">
        <w:rPr>
          <w:rFonts w:cs="Times New Roman"/>
          <w:szCs w:val="24"/>
        </w:rPr>
        <w:t xml:space="preserve">certain </w:t>
      </w:r>
      <w:r w:rsidR="00E17807" w:rsidRPr="00AF252F">
        <w:rPr>
          <w:rFonts w:cs="Times New Roman"/>
          <w:szCs w:val="24"/>
        </w:rPr>
        <w:t>activities relating to “contaminant[s]”, which is defined in § 375-1 to include petroleum</w:t>
      </w:r>
      <w:r w:rsidR="00E02184" w:rsidRPr="00AF252F">
        <w:rPr>
          <w:rFonts w:cs="Times New Roman"/>
          <w:szCs w:val="24"/>
        </w:rPr>
        <w:t xml:space="preserve">. </w:t>
      </w:r>
      <w:r w:rsidRPr="00AF252F">
        <w:rPr>
          <w:rFonts w:cs="Times New Roman"/>
          <w:szCs w:val="24"/>
        </w:rPr>
        <w:t xml:space="preserve"> </w:t>
      </w:r>
      <w:r w:rsidR="00DF7FD5" w:rsidRPr="00AF252F">
        <w:rPr>
          <w:rFonts w:cs="Times New Roman"/>
          <w:szCs w:val="24"/>
        </w:rPr>
        <w:t>However, the definition of “[h]</w:t>
      </w:r>
      <w:proofErr w:type="spellStart"/>
      <w:r w:rsidR="00DF7FD5" w:rsidRPr="00AF252F">
        <w:rPr>
          <w:rFonts w:cs="Times New Roman"/>
          <w:szCs w:val="24"/>
        </w:rPr>
        <w:t>azardous</w:t>
      </w:r>
      <w:proofErr w:type="spellEnd"/>
      <w:r w:rsidR="00DF7FD5" w:rsidRPr="00AF252F">
        <w:rPr>
          <w:rFonts w:cs="Times New Roman"/>
          <w:szCs w:val="24"/>
        </w:rPr>
        <w:t xml:space="preserve"> waste” in the Superfund Program statute, ECL § </w:t>
      </w:r>
      <w:r w:rsidR="00DF7FD5">
        <w:t xml:space="preserve">27-1301, and the corresponding </w:t>
      </w:r>
      <w:r w:rsidR="00E02184" w:rsidRPr="00AF252F">
        <w:rPr>
          <w:rFonts w:cs="Times New Roman"/>
          <w:szCs w:val="24"/>
        </w:rPr>
        <w:t>d</w:t>
      </w:r>
      <w:r w:rsidR="00E17807" w:rsidRPr="00AF252F">
        <w:rPr>
          <w:rFonts w:cs="Times New Roman"/>
          <w:szCs w:val="24"/>
        </w:rPr>
        <w:t xml:space="preserve">efinition of </w:t>
      </w:r>
      <w:r w:rsidR="00416E07" w:rsidRPr="00AF252F">
        <w:rPr>
          <w:rFonts w:cs="Times New Roman"/>
          <w:szCs w:val="24"/>
        </w:rPr>
        <w:t xml:space="preserve">“contaminant” </w:t>
      </w:r>
      <w:r w:rsidR="00E02184" w:rsidRPr="00AF252F">
        <w:rPr>
          <w:rFonts w:cs="Times New Roman"/>
          <w:szCs w:val="24"/>
        </w:rPr>
        <w:t xml:space="preserve">in </w:t>
      </w:r>
      <w:r w:rsidR="00E17807" w:rsidRPr="00AF252F">
        <w:rPr>
          <w:rFonts w:cs="Times New Roman"/>
          <w:szCs w:val="24"/>
        </w:rPr>
        <w:t xml:space="preserve">§ </w:t>
      </w:r>
      <w:r w:rsidR="00E02184" w:rsidRPr="00AF252F">
        <w:rPr>
          <w:rFonts w:cs="Times New Roman"/>
          <w:szCs w:val="24"/>
        </w:rPr>
        <w:t>375-2</w:t>
      </w:r>
      <w:r w:rsidR="00DF7FD5" w:rsidRPr="00AF252F">
        <w:rPr>
          <w:rFonts w:cs="Times New Roman"/>
          <w:szCs w:val="24"/>
        </w:rPr>
        <w:t>,</w:t>
      </w:r>
      <w:r w:rsidR="00E02184" w:rsidRPr="00AF252F">
        <w:rPr>
          <w:rFonts w:cs="Times New Roman"/>
          <w:szCs w:val="24"/>
        </w:rPr>
        <w:t xml:space="preserve"> </w:t>
      </w:r>
      <w:r w:rsidR="003575F6">
        <w:rPr>
          <w:rFonts w:cs="Times New Roman"/>
          <w:szCs w:val="24"/>
        </w:rPr>
        <w:t xml:space="preserve">which the Department proposes to delete, </w:t>
      </w:r>
      <w:r w:rsidR="00DF7FD5" w:rsidRPr="00AF252F">
        <w:rPr>
          <w:rFonts w:cs="Times New Roman"/>
          <w:szCs w:val="24"/>
        </w:rPr>
        <w:t xml:space="preserve">specifically </w:t>
      </w:r>
      <w:r w:rsidR="00E17807" w:rsidRPr="00AF252F">
        <w:rPr>
          <w:rFonts w:cs="Times New Roman"/>
          <w:szCs w:val="24"/>
        </w:rPr>
        <w:t>exclude petroleum. </w:t>
      </w:r>
      <w:r w:rsidR="00416E07" w:rsidRPr="00AF252F">
        <w:rPr>
          <w:rFonts w:cs="Times New Roman"/>
          <w:szCs w:val="24"/>
        </w:rPr>
        <w:t xml:space="preserve"> </w:t>
      </w:r>
      <w:r w:rsidR="00E02184" w:rsidRPr="00AF252F">
        <w:rPr>
          <w:rFonts w:cs="Times New Roman"/>
          <w:szCs w:val="24"/>
        </w:rPr>
        <w:t xml:space="preserve">We urge the Department to </w:t>
      </w:r>
      <w:r w:rsidR="003575F6">
        <w:rPr>
          <w:rFonts w:cs="Times New Roman"/>
          <w:szCs w:val="24"/>
        </w:rPr>
        <w:t>forgo this change and leave the definitions currently included in</w:t>
      </w:r>
      <w:r w:rsidR="003575F6" w:rsidRPr="003575F6">
        <w:t xml:space="preserve"> </w:t>
      </w:r>
      <w:r w:rsidR="003575F6" w:rsidRPr="003575F6">
        <w:rPr>
          <w:rFonts w:cs="Times New Roman"/>
          <w:szCs w:val="24"/>
        </w:rPr>
        <w:t>Subpart 375-</w:t>
      </w:r>
      <w:r w:rsidR="003575F6">
        <w:rPr>
          <w:rFonts w:cs="Times New Roman"/>
          <w:szCs w:val="24"/>
        </w:rPr>
        <w:t>2 as is.  The statutory provisions that apply to the Superfund Program</w:t>
      </w:r>
      <w:r w:rsidR="001A6856">
        <w:rPr>
          <w:rFonts w:cs="Times New Roman"/>
          <w:szCs w:val="24"/>
        </w:rPr>
        <w:t>, the Spill Program under the Navigation Law,</w:t>
      </w:r>
      <w:r w:rsidR="003575F6">
        <w:rPr>
          <w:rFonts w:cs="Times New Roman"/>
          <w:szCs w:val="24"/>
        </w:rPr>
        <w:t xml:space="preserve"> and the Brownfield Cleanup Program are </w:t>
      </w:r>
      <w:proofErr w:type="gramStart"/>
      <w:r w:rsidR="003575F6">
        <w:rPr>
          <w:rFonts w:cs="Times New Roman"/>
          <w:szCs w:val="24"/>
        </w:rPr>
        <w:t>distinct</w:t>
      </w:r>
      <w:proofErr w:type="gramEnd"/>
      <w:r w:rsidR="003575F6">
        <w:rPr>
          <w:rFonts w:cs="Times New Roman"/>
          <w:szCs w:val="24"/>
        </w:rPr>
        <w:t xml:space="preserve"> and the regulations must maintain the nuanced differences applicable to both</w:t>
      </w:r>
      <w:r w:rsidR="00416E07" w:rsidRPr="00AF252F">
        <w:rPr>
          <w:rFonts w:cs="Times New Roman"/>
          <w:szCs w:val="24"/>
        </w:rPr>
        <w:t xml:space="preserve">. </w:t>
      </w:r>
    </w:p>
    <w:p w14:paraId="6C0BB4D6" w14:textId="685FC7E9" w:rsidR="00AF252F" w:rsidRDefault="00AF252F" w:rsidP="00A5121D">
      <w:pPr>
        <w:pStyle w:val="ListParagraph"/>
        <w:spacing w:after="0"/>
        <w:ind w:left="1080"/>
        <w:rPr>
          <w:rFonts w:cs="Times New Roman"/>
          <w:szCs w:val="24"/>
        </w:rPr>
      </w:pPr>
    </w:p>
    <w:p w14:paraId="34C962AA" w14:textId="25B63308" w:rsidR="00720365" w:rsidRDefault="00943CBE" w:rsidP="00A5121D">
      <w:pPr>
        <w:pStyle w:val="ListParagraph"/>
        <w:numPr>
          <w:ilvl w:val="0"/>
          <w:numId w:val="17"/>
        </w:numPr>
        <w:spacing w:after="0"/>
        <w:rPr>
          <w:rFonts w:cs="Times New Roman"/>
          <w:szCs w:val="24"/>
        </w:rPr>
      </w:pPr>
      <w:r>
        <w:rPr>
          <w:rFonts w:cs="Times New Roman"/>
          <w:b/>
          <w:bCs/>
          <w:szCs w:val="24"/>
          <w:u w:val="single"/>
        </w:rPr>
        <w:t>§§ 375-1.5(b)(3)(</w:t>
      </w:r>
      <w:proofErr w:type="spellStart"/>
      <w:r>
        <w:rPr>
          <w:rFonts w:cs="Times New Roman"/>
          <w:b/>
          <w:bCs/>
          <w:szCs w:val="24"/>
          <w:u w:val="single"/>
        </w:rPr>
        <w:t>i</w:t>
      </w:r>
      <w:proofErr w:type="spellEnd"/>
      <w:r>
        <w:rPr>
          <w:rFonts w:cs="Times New Roman"/>
          <w:b/>
          <w:bCs/>
          <w:szCs w:val="24"/>
          <w:u w:val="single"/>
        </w:rPr>
        <w:t>) and (vi):</w:t>
      </w:r>
      <w:r w:rsidR="00720365" w:rsidRPr="00943CBE">
        <w:rPr>
          <w:rFonts w:cs="Times New Roman"/>
          <w:b/>
          <w:bCs/>
          <w:szCs w:val="24"/>
          <w:u w:val="single"/>
        </w:rPr>
        <w:t xml:space="preserve"> Payment of and Objections to Department Invoices</w:t>
      </w:r>
      <w:r>
        <w:rPr>
          <w:rFonts w:cs="Times New Roman"/>
          <w:b/>
          <w:bCs/>
          <w:szCs w:val="24"/>
          <w:u w:val="single"/>
        </w:rPr>
        <w:t xml:space="preserve"> </w:t>
      </w:r>
      <w:proofErr w:type="gramStart"/>
      <w:r>
        <w:rPr>
          <w:rFonts w:cs="Times New Roman"/>
          <w:b/>
          <w:bCs/>
          <w:szCs w:val="24"/>
          <w:u w:val="single"/>
        </w:rPr>
        <w:t>-</w:t>
      </w:r>
      <w:r w:rsidR="00720365" w:rsidRPr="00720365">
        <w:rPr>
          <w:rFonts w:cs="Times New Roman"/>
          <w:szCs w:val="24"/>
        </w:rPr>
        <w:t xml:space="preserve"> </w:t>
      </w:r>
      <w:r w:rsidR="00FA37AA">
        <w:rPr>
          <w:rFonts w:cs="Times New Roman"/>
          <w:szCs w:val="24"/>
        </w:rPr>
        <w:t xml:space="preserve"> </w:t>
      </w:r>
      <w:r w:rsidR="00720365" w:rsidRPr="00720365">
        <w:rPr>
          <w:rFonts w:cs="Times New Roman"/>
          <w:szCs w:val="24"/>
        </w:rPr>
        <w:t>The</w:t>
      </w:r>
      <w:proofErr w:type="gramEnd"/>
      <w:r w:rsidR="00720365" w:rsidRPr="00720365">
        <w:rPr>
          <w:rFonts w:cs="Times New Roman"/>
          <w:szCs w:val="24"/>
        </w:rPr>
        <w:t xml:space="preserve"> proposed revision provides that Department invoices are payable within the timeframe specified on the invoice or associated order or agreement, and that the default period of forty-five days after receipt an invoice still applies. We recommend that the time frame for payment and submittal of objections be no less than forty-five days after receipt of an itemized invoice, unless otherwise specified in the associated order or agreement. State cost invoicing procedures often create significant and unnecessary burdens that warrant a different payment schedule. Specifically, while it </w:t>
      </w:r>
      <w:r w:rsidR="00720365" w:rsidRPr="00720365">
        <w:rPr>
          <w:rFonts w:cs="Times New Roman"/>
          <w:szCs w:val="24"/>
        </w:rPr>
        <w:lastRenderedPageBreak/>
        <w:t>is generally the intent of the Department to issue invoices on a regular schedule, remedial parties are rarely advised of that schedule, and often receive a copy of invoices long after they are issued, which has the effect of shortening the time to arrange for payment of sometimes very large amounts in less time than commercial “payment within 30 days” terms.</w:t>
      </w:r>
    </w:p>
    <w:p w14:paraId="5334BC3A" w14:textId="6BA0AE4C" w:rsidR="00943CBE" w:rsidRPr="00A5121D" w:rsidRDefault="00943CBE" w:rsidP="00A5121D">
      <w:pPr>
        <w:spacing w:after="0"/>
        <w:rPr>
          <w:rFonts w:cs="Times New Roman"/>
          <w:szCs w:val="24"/>
        </w:rPr>
      </w:pPr>
    </w:p>
    <w:p w14:paraId="30A5A3B7" w14:textId="6F0E2810" w:rsidR="008F41EA" w:rsidRDefault="008F41EA" w:rsidP="00A5121D">
      <w:pPr>
        <w:pStyle w:val="ListParagraph"/>
        <w:numPr>
          <w:ilvl w:val="0"/>
          <w:numId w:val="17"/>
        </w:numPr>
        <w:spacing w:after="0"/>
        <w:rPr>
          <w:rFonts w:cs="Times New Roman"/>
          <w:szCs w:val="24"/>
        </w:rPr>
      </w:pPr>
      <w:r w:rsidRPr="00943CBE">
        <w:rPr>
          <w:rFonts w:cs="Times New Roman"/>
          <w:b/>
          <w:bCs/>
          <w:szCs w:val="24"/>
          <w:u w:val="single"/>
        </w:rPr>
        <w:t>§ 375-1.5(b)(3)(ii)(c)</w:t>
      </w:r>
      <w:r w:rsidR="00943CBE">
        <w:rPr>
          <w:rFonts w:cs="Times New Roman"/>
          <w:b/>
          <w:bCs/>
          <w:szCs w:val="24"/>
          <w:u w:val="single"/>
        </w:rPr>
        <w:t>:</w:t>
      </w:r>
      <w:r w:rsidRPr="00943CBE">
        <w:rPr>
          <w:rFonts w:cs="Times New Roman"/>
          <w:b/>
          <w:bCs/>
          <w:szCs w:val="24"/>
          <w:u w:val="single"/>
        </w:rPr>
        <w:t xml:space="preserve"> Requirement to Itemize Department Invoices</w:t>
      </w:r>
      <w:r w:rsidR="00943CBE">
        <w:rPr>
          <w:rFonts w:cs="Times New Roman"/>
          <w:b/>
          <w:bCs/>
          <w:szCs w:val="24"/>
          <w:u w:val="single"/>
        </w:rPr>
        <w:t xml:space="preserve"> </w:t>
      </w:r>
      <w:proofErr w:type="gramStart"/>
      <w:r w:rsidR="00943CBE">
        <w:rPr>
          <w:rFonts w:cs="Times New Roman"/>
          <w:b/>
          <w:bCs/>
          <w:szCs w:val="24"/>
          <w:u w:val="single"/>
        </w:rPr>
        <w:t>-</w:t>
      </w:r>
      <w:r w:rsidR="00FA37AA">
        <w:rPr>
          <w:rFonts w:cs="Times New Roman"/>
          <w:szCs w:val="24"/>
        </w:rPr>
        <w:t xml:space="preserve"> </w:t>
      </w:r>
      <w:r w:rsidR="00943CBE">
        <w:rPr>
          <w:rFonts w:cs="Times New Roman"/>
          <w:szCs w:val="24"/>
        </w:rPr>
        <w:t xml:space="preserve"> </w:t>
      </w:r>
      <w:r w:rsidRPr="008F41EA">
        <w:rPr>
          <w:rFonts w:cs="Times New Roman"/>
          <w:szCs w:val="24"/>
        </w:rPr>
        <w:t>We</w:t>
      </w:r>
      <w:proofErr w:type="gramEnd"/>
      <w:r w:rsidRPr="008F41EA">
        <w:rPr>
          <w:rFonts w:cs="Times New Roman"/>
          <w:szCs w:val="24"/>
        </w:rPr>
        <w:t xml:space="preserve"> recommend that the Department withdraw its proposal to remove the categories of expenses that currently must be specified in Department invoices to remedial parties. We also recommend that a new item be added to provide that invoicing for outside contractor services must be accompanied by a description of the work performed by such contractor, providing sufficient detail to confirm the remedial party’s responsibility for such costs.</w:t>
      </w:r>
    </w:p>
    <w:p w14:paraId="7E81DD1B" w14:textId="77F04504" w:rsidR="009856C7" w:rsidRPr="00A5121D" w:rsidRDefault="009856C7" w:rsidP="00A5121D">
      <w:pPr>
        <w:spacing w:after="0"/>
        <w:rPr>
          <w:rFonts w:cs="Times New Roman"/>
          <w:szCs w:val="24"/>
        </w:rPr>
      </w:pPr>
    </w:p>
    <w:p w14:paraId="56CBF029" w14:textId="4ECA5F51" w:rsidR="00B55943" w:rsidRPr="00AF252F" w:rsidRDefault="001326AF" w:rsidP="00A5121D">
      <w:pPr>
        <w:pStyle w:val="ListParagraph"/>
        <w:numPr>
          <w:ilvl w:val="0"/>
          <w:numId w:val="17"/>
        </w:numPr>
        <w:spacing w:after="0"/>
        <w:rPr>
          <w:rFonts w:cs="Times New Roman"/>
          <w:b/>
          <w:szCs w:val="24"/>
        </w:rPr>
      </w:pPr>
      <w:r w:rsidRPr="00AF252F">
        <w:rPr>
          <w:rFonts w:cs="Times New Roman"/>
          <w:b/>
          <w:szCs w:val="24"/>
          <w:u w:val="single"/>
        </w:rPr>
        <w:t xml:space="preserve">§ </w:t>
      </w:r>
      <w:r w:rsidR="001142E8" w:rsidRPr="00AF252F">
        <w:rPr>
          <w:rFonts w:cs="Times New Roman"/>
          <w:b/>
          <w:szCs w:val="24"/>
          <w:u w:val="single"/>
        </w:rPr>
        <w:t>375-1.5(b)(6)</w:t>
      </w:r>
      <w:r w:rsidR="008942B9" w:rsidRPr="00AF252F">
        <w:rPr>
          <w:rFonts w:cs="Times New Roman"/>
          <w:b/>
          <w:szCs w:val="24"/>
          <w:u w:val="single"/>
        </w:rPr>
        <w:t>: Termination of Orders, Agreements, and State Assistance Contracts</w:t>
      </w:r>
      <w:r w:rsidR="00AF252F" w:rsidRPr="00AF252F">
        <w:rPr>
          <w:rFonts w:cs="Times New Roman"/>
          <w:b/>
          <w:szCs w:val="24"/>
          <w:u w:val="single"/>
        </w:rPr>
        <w:t xml:space="preserve"> </w:t>
      </w:r>
      <w:proofErr w:type="gramStart"/>
      <w:r w:rsidR="00AF252F" w:rsidRPr="00AF252F">
        <w:rPr>
          <w:rFonts w:cs="Times New Roman"/>
          <w:b/>
          <w:szCs w:val="24"/>
          <w:u w:val="single"/>
        </w:rPr>
        <w:t>-</w:t>
      </w:r>
      <w:r w:rsidR="00AF252F" w:rsidRPr="00AF252F">
        <w:rPr>
          <w:rFonts w:cs="Times New Roman"/>
          <w:szCs w:val="24"/>
        </w:rPr>
        <w:t xml:space="preserve"> </w:t>
      </w:r>
      <w:r w:rsidR="00943CBE">
        <w:rPr>
          <w:rFonts w:cs="Times New Roman"/>
          <w:szCs w:val="24"/>
        </w:rPr>
        <w:t xml:space="preserve"> </w:t>
      </w:r>
      <w:r w:rsidR="00B55943" w:rsidRPr="00AF252F">
        <w:rPr>
          <w:rFonts w:cs="Times New Roman"/>
          <w:szCs w:val="24"/>
        </w:rPr>
        <w:t>We</w:t>
      </w:r>
      <w:proofErr w:type="gramEnd"/>
      <w:r w:rsidR="00B55943" w:rsidRPr="00AF252F">
        <w:rPr>
          <w:rFonts w:cs="Times New Roman"/>
          <w:szCs w:val="24"/>
        </w:rPr>
        <w:t xml:space="preserve"> recommend that the Department withdraw or modify </w:t>
      </w:r>
      <w:r w:rsidR="002E70F1" w:rsidRPr="00AF252F">
        <w:rPr>
          <w:rFonts w:cs="Times New Roman"/>
          <w:szCs w:val="24"/>
        </w:rPr>
        <w:t xml:space="preserve">its proposal, which would give the Department </w:t>
      </w:r>
      <w:r w:rsidR="00B55943" w:rsidRPr="00AF252F">
        <w:rPr>
          <w:rFonts w:cs="Times New Roman"/>
          <w:szCs w:val="24"/>
        </w:rPr>
        <w:t>overly broad authority to terminate orders, agreements, and State assistance contracts “for cause”, including a failure to complete a remedial program in</w:t>
      </w:r>
      <w:r w:rsidR="00B55943" w:rsidRPr="00AF252F">
        <w:rPr>
          <w:rFonts w:cs="Times New Roman"/>
          <w:b/>
          <w:szCs w:val="24"/>
        </w:rPr>
        <w:t xml:space="preserve"> </w:t>
      </w:r>
      <w:r w:rsidR="00B55943" w:rsidRPr="00AF252F">
        <w:rPr>
          <w:rFonts w:cs="Times New Roman"/>
          <w:szCs w:val="24"/>
        </w:rPr>
        <w:t xml:space="preserve">accordance with a pre-determined schedule.  For example, in the BCP, the Department has been provided with statutory authority to terminate a BCA </w:t>
      </w:r>
      <w:r w:rsidR="000E2196" w:rsidRPr="00AF252F">
        <w:rPr>
          <w:rFonts w:cs="Times New Roman"/>
          <w:szCs w:val="24"/>
        </w:rPr>
        <w:t>if a party “substantially” fails to comply with BCA terms and conditions</w:t>
      </w:r>
      <w:r w:rsidR="00B55943" w:rsidRPr="00AF252F">
        <w:rPr>
          <w:rFonts w:cs="Times New Roman"/>
          <w:szCs w:val="24"/>
        </w:rPr>
        <w:t xml:space="preserve">, not </w:t>
      </w:r>
      <w:r w:rsidR="00FA5D1A" w:rsidRPr="00AF252F">
        <w:rPr>
          <w:rFonts w:cs="Times New Roman"/>
          <w:szCs w:val="24"/>
        </w:rPr>
        <w:t>if a party fails</w:t>
      </w:r>
      <w:r w:rsidR="00B55943" w:rsidRPr="00AF252F">
        <w:rPr>
          <w:rFonts w:cs="Times New Roman"/>
          <w:szCs w:val="24"/>
        </w:rPr>
        <w:t xml:space="preserve"> to meet a non-mandatory scheduled date.  </w:t>
      </w:r>
      <w:r w:rsidR="00B55943" w:rsidRPr="00AF252F">
        <w:rPr>
          <w:rFonts w:cs="Times New Roman"/>
          <w:i/>
          <w:szCs w:val="24"/>
        </w:rPr>
        <w:t xml:space="preserve">See </w:t>
      </w:r>
      <w:r w:rsidR="00B55943" w:rsidRPr="00AF252F">
        <w:rPr>
          <w:rFonts w:cs="Times New Roman"/>
          <w:szCs w:val="24"/>
        </w:rPr>
        <w:t xml:space="preserve">ECL §§ 27-1409(5), (12). </w:t>
      </w:r>
      <w:r w:rsidR="002E70F1" w:rsidRPr="00AF252F">
        <w:rPr>
          <w:rFonts w:cs="Times New Roman"/>
          <w:szCs w:val="24"/>
        </w:rPr>
        <w:t xml:space="preserve"> </w:t>
      </w:r>
      <w:r w:rsidR="00B55943" w:rsidRPr="00AF252F">
        <w:rPr>
          <w:rFonts w:cs="Times New Roman"/>
          <w:szCs w:val="24"/>
        </w:rPr>
        <w:t xml:space="preserve">Merely falling behind a proposed schedule does not rise to the level of a failure to substantially comply with the terms of a BCA. </w:t>
      </w:r>
      <w:r w:rsidR="000E2196" w:rsidRPr="00AF252F">
        <w:rPr>
          <w:rFonts w:cs="Times New Roman"/>
          <w:szCs w:val="24"/>
        </w:rPr>
        <w:t xml:space="preserve"> </w:t>
      </w:r>
      <w:r w:rsidR="00B55943" w:rsidRPr="00AF252F">
        <w:rPr>
          <w:rFonts w:cs="Times New Roman"/>
          <w:szCs w:val="24"/>
        </w:rPr>
        <w:t xml:space="preserve">The proposal goes against the spirit of voluntary cleanups and may chill lenders’ willingness to finance the cleanup and redevelopment of contaminated sites. </w:t>
      </w:r>
      <w:r w:rsidR="000E2196" w:rsidRPr="00AF252F">
        <w:rPr>
          <w:rFonts w:cs="Times New Roman"/>
          <w:szCs w:val="24"/>
        </w:rPr>
        <w:t xml:space="preserve"> </w:t>
      </w:r>
      <w:r w:rsidR="00B55943" w:rsidRPr="00AF252F">
        <w:rPr>
          <w:rFonts w:cs="Times New Roman"/>
          <w:szCs w:val="24"/>
        </w:rPr>
        <w:t xml:space="preserve">Tethering program participation to a contemplated remedial schedule ignores the reality of project construction and remediation. </w:t>
      </w:r>
      <w:r w:rsidR="000E2196" w:rsidRPr="00AF252F">
        <w:rPr>
          <w:rFonts w:cs="Times New Roman"/>
          <w:szCs w:val="24"/>
        </w:rPr>
        <w:t xml:space="preserve"> </w:t>
      </w:r>
      <w:r w:rsidR="00B55943" w:rsidRPr="00AF252F">
        <w:rPr>
          <w:rFonts w:cs="Times New Roman"/>
          <w:szCs w:val="24"/>
        </w:rPr>
        <w:t>BCP projects are complicated and can have schedule changes for a variety of reasons</w:t>
      </w:r>
      <w:r w:rsidR="001A6856">
        <w:rPr>
          <w:rFonts w:cs="Times New Roman"/>
          <w:szCs w:val="24"/>
        </w:rPr>
        <w:t>, particularly affordable housing projects which are only funded at specific times each year</w:t>
      </w:r>
      <w:r w:rsidR="001A6856" w:rsidRPr="00AF252F">
        <w:rPr>
          <w:rFonts w:cs="Times New Roman"/>
          <w:szCs w:val="24"/>
        </w:rPr>
        <w:t>.</w:t>
      </w:r>
      <w:r w:rsidR="00B55943" w:rsidRPr="00AF252F">
        <w:rPr>
          <w:rFonts w:cs="Times New Roman"/>
          <w:szCs w:val="24"/>
        </w:rPr>
        <w:t xml:space="preserve"> </w:t>
      </w:r>
      <w:r w:rsidR="000E2196" w:rsidRPr="00AF252F">
        <w:rPr>
          <w:rFonts w:cs="Times New Roman"/>
          <w:szCs w:val="24"/>
        </w:rPr>
        <w:t xml:space="preserve"> </w:t>
      </w:r>
      <w:r w:rsidR="00B55943" w:rsidRPr="00AF252F">
        <w:rPr>
          <w:rFonts w:cs="Times New Roman"/>
          <w:szCs w:val="24"/>
        </w:rPr>
        <w:t>Coordinating a remedial project concurrently with a redevelopment project, which often includes local land use approvals</w:t>
      </w:r>
      <w:r w:rsidR="001A6856">
        <w:rPr>
          <w:rFonts w:cs="Times New Roman"/>
          <w:szCs w:val="24"/>
        </w:rPr>
        <w:t xml:space="preserve"> and complex financing</w:t>
      </w:r>
      <w:r w:rsidR="00B55943" w:rsidRPr="00AF252F">
        <w:rPr>
          <w:rFonts w:cs="Times New Roman"/>
          <w:szCs w:val="24"/>
        </w:rPr>
        <w:t xml:space="preserve">, is a </w:t>
      </w:r>
      <w:r w:rsidR="001A6856">
        <w:rPr>
          <w:rFonts w:cs="Times New Roman"/>
          <w:szCs w:val="24"/>
        </w:rPr>
        <w:t xml:space="preserve">formidable </w:t>
      </w:r>
      <w:r w:rsidR="00B55943" w:rsidRPr="00AF252F">
        <w:rPr>
          <w:rFonts w:cs="Times New Roman"/>
          <w:szCs w:val="24"/>
        </w:rPr>
        <w:t xml:space="preserve">undertaking, with numerous intangible variables that require flexibility. </w:t>
      </w:r>
      <w:r w:rsidR="000E2196" w:rsidRPr="00AF252F">
        <w:rPr>
          <w:rFonts w:cs="Times New Roman"/>
          <w:szCs w:val="24"/>
        </w:rPr>
        <w:t xml:space="preserve"> </w:t>
      </w:r>
      <w:r w:rsidR="00B55943" w:rsidRPr="00AF252F">
        <w:rPr>
          <w:rFonts w:cs="Times New Roman"/>
          <w:szCs w:val="24"/>
        </w:rPr>
        <w:t xml:space="preserve">If not withdrawn, the Department should revise its proposal to account for the flexibility necessary for parties making good faith efforts to comply with schedules and </w:t>
      </w:r>
      <w:r w:rsidR="000E2196" w:rsidRPr="00AF252F">
        <w:rPr>
          <w:rFonts w:cs="Times New Roman"/>
          <w:szCs w:val="24"/>
        </w:rPr>
        <w:t>BCA terms and conditions</w:t>
      </w:r>
      <w:r w:rsidR="00B55943" w:rsidRPr="00AF252F">
        <w:rPr>
          <w:rFonts w:cs="Times New Roman"/>
          <w:szCs w:val="24"/>
        </w:rPr>
        <w:t>.</w:t>
      </w:r>
    </w:p>
    <w:p w14:paraId="6F70B5E0" w14:textId="035351DE" w:rsidR="00AF252F" w:rsidRDefault="00AF252F" w:rsidP="00A5121D">
      <w:pPr>
        <w:pStyle w:val="ListParagraph"/>
        <w:spacing w:after="0"/>
        <w:ind w:left="1080"/>
        <w:rPr>
          <w:rFonts w:cs="Times New Roman"/>
          <w:b/>
          <w:szCs w:val="24"/>
        </w:rPr>
      </w:pPr>
    </w:p>
    <w:p w14:paraId="1B377105" w14:textId="2B9F125A" w:rsidR="00AF252F" w:rsidRDefault="00B55943" w:rsidP="00A5121D">
      <w:pPr>
        <w:pStyle w:val="ListParagraph"/>
        <w:numPr>
          <w:ilvl w:val="0"/>
          <w:numId w:val="17"/>
        </w:numPr>
        <w:spacing w:after="0"/>
        <w:rPr>
          <w:rFonts w:cs="Times New Roman"/>
          <w:szCs w:val="24"/>
        </w:rPr>
      </w:pPr>
      <w:r w:rsidRPr="00AF252F">
        <w:rPr>
          <w:rFonts w:cs="Times New Roman"/>
          <w:b/>
          <w:szCs w:val="24"/>
          <w:u w:val="single"/>
        </w:rPr>
        <w:t xml:space="preserve">§ </w:t>
      </w:r>
      <w:r w:rsidR="00BB56E0" w:rsidRPr="00AF252F">
        <w:rPr>
          <w:rFonts w:cs="Times New Roman"/>
          <w:b/>
          <w:szCs w:val="24"/>
          <w:u w:val="single"/>
        </w:rPr>
        <w:t xml:space="preserve">375-1.6: </w:t>
      </w:r>
      <w:r w:rsidR="00F43A67" w:rsidRPr="00AF252F">
        <w:rPr>
          <w:rFonts w:cs="Times New Roman"/>
          <w:b/>
          <w:szCs w:val="24"/>
          <w:u w:val="single"/>
        </w:rPr>
        <w:t>Definition of “Work Plan”</w:t>
      </w:r>
      <w:r w:rsidR="00C06537">
        <w:rPr>
          <w:rFonts w:cs="Times New Roman"/>
          <w:b/>
          <w:szCs w:val="24"/>
          <w:u w:val="single"/>
        </w:rPr>
        <w:t xml:space="preserve"> </w:t>
      </w:r>
      <w:proofErr w:type="gramStart"/>
      <w:r w:rsidR="00C06537">
        <w:rPr>
          <w:rFonts w:cs="Times New Roman"/>
          <w:b/>
          <w:szCs w:val="24"/>
          <w:u w:val="single"/>
        </w:rPr>
        <w:t>-</w:t>
      </w:r>
      <w:r w:rsidR="00C06537">
        <w:rPr>
          <w:rFonts w:cs="Times New Roman"/>
          <w:b/>
          <w:szCs w:val="24"/>
        </w:rPr>
        <w:t xml:space="preserve"> </w:t>
      </w:r>
      <w:r w:rsidR="00943CBE">
        <w:rPr>
          <w:rFonts w:cs="Times New Roman"/>
          <w:b/>
          <w:szCs w:val="24"/>
        </w:rPr>
        <w:t xml:space="preserve"> </w:t>
      </w:r>
      <w:r w:rsidR="00BB56E0" w:rsidRPr="00AF252F">
        <w:rPr>
          <w:rFonts w:cs="Times New Roman"/>
          <w:szCs w:val="24"/>
        </w:rPr>
        <w:t>“</w:t>
      </w:r>
      <w:proofErr w:type="gramEnd"/>
      <w:r w:rsidR="00E02184" w:rsidRPr="00AF252F">
        <w:rPr>
          <w:rFonts w:cs="Times New Roman"/>
          <w:szCs w:val="24"/>
        </w:rPr>
        <w:t>Work Plan</w:t>
      </w:r>
      <w:r w:rsidR="00BB56E0" w:rsidRPr="00AF252F">
        <w:rPr>
          <w:rFonts w:cs="Times New Roman"/>
          <w:szCs w:val="24"/>
        </w:rPr>
        <w:t>”</w:t>
      </w:r>
      <w:r w:rsidR="00E02184" w:rsidRPr="00AF252F">
        <w:rPr>
          <w:rFonts w:cs="Times New Roman"/>
          <w:szCs w:val="24"/>
        </w:rPr>
        <w:t xml:space="preserve"> is not a defined term, but </w:t>
      </w:r>
      <w:r w:rsidR="00BB56E0" w:rsidRPr="00AF252F">
        <w:rPr>
          <w:rFonts w:cs="Times New Roman"/>
          <w:szCs w:val="24"/>
        </w:rPr>
        <w:t xml:space="preserve">it </w:t>
      </w:r>
      <w:r w:rsidR="00E02184" w:rsidRPr="00AF252F">
        <w:rPr>
          <w:rFonts w:cs="Times New Roman"/>
          <w:szCs w:val="24"/>
        </w:rPr>
        <w:t xml:space="preserve">is essentially defined in </w:t>
      </w:r>
      <w:r w:rsidR="0035232D">
        <w:rPr>
          <w:rFonts w:cs="Times New Roman"/>
          <w:szCs w:val="24"/>
        </w:rPr>
        <w:t xml:space="preserve">§ </w:t>
      </w:r>
      <w:r w:rsidR="00E02184" w:rsidRPr="00AF252F">
        <w:rPr>
          <w:rFonts w:cs="Times New Roman"/>
          <w:szCs w:val="24"/>
        </w:rPr>
        <w:t xml:space="preserve">375-1.6. </w:t>
      </w:r>
      <w:r w:rsidR="00BB56E0" w:rsidRPr="00AF252F">
        <w:rPr>
          <w:rFonts w:cs="Times New Roman"/>
          <w:szCs w:val="24"/>
        </w:rPr>
        <w:t xml:space="preserve"> </w:t>
      </w:r>
      <w:r w:rsidR="008963DD" w:rsidRPr="00AF252F">
        <w:rPr>
          <w:rFonts w:cs="Times New Roman"/>
          <w:szCs w:val="24"/>
        </w:rPr>
        <w:t>Additionally, t</w:t>
      </w:r>
      <w:r w:rsidR="00E02184" w:rsidRPr="00AF252F">
        <w:rPr>
          <w:rFonts w:cs="Times New Roman"/>
          <w:szCs w:val="24"/>
        </w:rPr>
        <w:t xml:space="preserve">he term has been capitalized in </w:t>
      </w:r>
      <w:r w:rsidR="000E2196" w:rsidRPr="00AF252F">
        <w:rPr>
          <w:rFonts w:cs="Times New Roman"/>
          <w:szCs w:val="24"/>
        </w:rPr>
        <w:t xml:space="preserve">§§ </w:t>
      </w:r>
      <w:r w:rsidR="00E02184" w:rsidRPr="00AF252F">
        <w:rPr>
          <w:rFonts w:cs="Times New Roman"/>
          <w:szCs w:val="24"/>
        </w:rPr>
        <w:t>375-1.11(d) and 375-3.5(c)</w:t>
      </w:r>
      <w:r w:rsidR="000E2196" w:rsidRPr="00AF252F">
        <w:rPr>
          <w:rFonts w:cs="Times New Roman"/>
          <w:szCs w:val="24"/>
        </w:rPr>
        <w:t>, even though the term</w:t>
      </w:r>
      <w:r w:rsidR="00E02184" w:rsidRPr="00AF252F">
        <w:rPr>
          <w:rFonts w:cs="Times New Roman"/>
          <w:szCs w:val="24"/>
        </w:rPr>
        <w:t xml:space="preserve"> is not </w:t>
      </w:r>
      <w:r w:rsidR="008963DD" w:rsidRPr="00AF252F">
        <w:rPr>
          <w:rFonts w:cs="Times New Roman"/>
          <w:szCs w:val="24"/>
        </w:rPr>
        <w:t xml:space="preserve">formally </w:t>
      </w:r>
      <w:r w:rsidR="00E02184" w:rsidRPr="00AF252F">
        <w:rPr>
          <w:rFonts w:cs="Times New Roman"/>
          <w:szCs w:val="24"/>
        </w:rPr>
        <w:t xml:space="preserve">defined.  The term is also used in </w:t>
      </w:r>
      <w:r w:rsidR="00BB56E0" w:rsidRPr="00AF252F">
        <w:rPr>
          <w:rFonts w:cs="Times New Roman"/>
          <w:szCs w:val="24"/>
        </w:rPr>
        <w:t xml:space="preserve">§§ </w:t>
      </w:r>
      <w:r w:rsidR="00E02184" w:rsidRPr="00AF252F">
        <w:rPr>
          <w:rFonts w:cs="Times New Roman"/>
          <w:szCs w:val="24"/>
        </w:rPr>
        <w:t>375-3.6, 375-3.8, 375-3.11, 375-4.8, and 375-4.11</w:t>
      </w:r>
      <w:r w:rsidR="00BB56E0" w:rsidRPr="00AF252F">
        <w:rPr>
          <w:rFonts w:cs="Times New Roman"/>
          <w:szCs w:val="24"/>
        </w:rPr>
        <w:t>,</w:t>
      </w:r>
      <w:r w:rsidR="00E02184" w:rsidRPr="00AF252F">
        <w:rPr>
          <w:rFonts w:cs="Times New Roman"/>
          <w:szCs w:val="24"/>
        </w:rPr>
        <w:t xml:space="preserve"> but </w:t>
      </w:r>
      <w:r w:rsidR="00BB56E0" w:rsidRPr="00AF252F">
        <w:rPr>
          <w:rFonts w:cs="Times New Roman"/>
          <w:szCs w:val="24"/>
        </w:rPr>
        <w:t xml:space="preserve">it </w:t>
      </w:r>
      <w:r w:rsidR="00E02184" w:rsidRPr="00AF252F">
        <w:rPr>
          <w:rFonts w:cs="Times New Roman"/>
          <w:szCs w:val="24"/>
        </w:rPr>
        <w:t>is not capitalized</w:t>
      </w:r>
      <w:r w:rsidR="00BB56E0" w:rsidRPr="00AF252F">
        <w:rPr>
          <w:rFonts w:cs="Times New Roman"/>
          <w:szCs w:val="24"/>
        </w:rPr>
        <w:t xml:space="preserve"> in those provisions</w:t>
      </w:r>
      <w:r w:rsidR="00E02184" w:rsidRPr="00AF252F">
        <w:rPr>
          <w:rFonts w:cs="Times New Roman"/>
          <w:szCs w:val="24"/>
        </w:rPr>
        <w:t xml:space="preserve">. </w:t>
      </w:r>
      <w:r w:rsidR="00BB56E0" w:rsidRPr="00AF252F">
        <w:rPr>
          <w:rFonts w:cs="Times New Roman"/>
          <w:szCs w:val="24"/>
        </w:rPr>
        <w:t xml:space="preserve"> </w:t>
      </w:r>
      <w:r w:rsidR="00E02184" w:rsidRPr="00AF252F">
        <w:rPr>
          <w:rFonts w:cs="Times New Roman"/>
          <w:szCs w:val="24"/>
        </w:rPr>
        <w:t xml:space="preserve">We suggest that the Department </w:t>
      </w:r>
      <w:r w:rsidR="00BB56E0" w:rsidRPr="00AF252F">
        <w:rPr>
          <w:rFonts w:cs="Times New Roman"/>
          <w:szCs w:val="24"/>
        </w:rPr>
        <w:t xml:space="preserve">either </w:t>
      </w:r>
      <w:r w:rsidR="00E02184" w:rsidRPr="00AF252F">
        <w:rPr>
          <w:rFonts w:cs="Times New Roman"/>
          <w:szCs w:val="24"/>
        </w:rPr>
        <w:t xml:space="preserve">define the term in </w:t>
      </w:r>
      <w:r w:rsidR="00BB56E0" w:rsidRPr="00AF252F">
        <w:rPr>
          <w:rFonts w:cs="Times New Roman"/>
          <w:szCs w:val="24"/>
        </w:rPr>
        <w:t xml:space="preserve">§ </w:t>
      </w:r>
      <w:r w:rsidR="00E02184" w:rsidRPr="00AF252F">
        <w:rPr>
          <w:rFonts w:cs="Times New Roman"/>
          <w:szCs w:val="24"/>
        </w:rPr>
        <w:t>375-1.2 or un</w:t>
      </w:r>
      <w:r w:rsidR="00BB56E0" w:rsidRPr="00AF252F">
        <w:rPr>
          <w:rFonts w:cs="Times New Roman"/>
          <w:szCs w:val="24"/>
        </w:rPr>
        <w:t>-</w:t>
      </w:r>
      <w:r w:rsidR="00E02184" w:rsidRPr="00AF252F">
        <w:rPr>
          <w:rFonts w:cs="Times New Roman"/>
          <w:szCs w:val="24"/>
        </w:rPr>
        <w:t>capitalize the term through</w:t>
      </w:r>
      <w:r w:rsidR="00BB56E0" w:rsidRPr="00AF252F">
        <w:rPr>
          <w:rFonts w:cs="Times New Roman"/>
          <w:szCs w:val="24"/>
        </w:rPr>
        <w:t>out</w:t>
      </w:r>
      <w:r w:rsidR="00E02184" w:rsidRPr="00AF252F">
        <w:rPr>
          <w:rFonts w:cs="Times New Roman"/>
          <w:szCs w:val="24"/>
        </w:rPr>
        <w:t xml:space="preserve"> the regulations, replacing </w:t>
      </w:r>
      <w:r w:rsidR="00BB56E0" w:rsidRPr="00AF252F">
        <w:rPr>
          <w:rFonts w:cs="Times New Roman"/>
          <w:szCs w:val="24"/>
        </w:rPr>
        <w:t xml:space="preserve">it </w:t>
      </w:r>
      <w:r w:rsidR="00E02184" w:rsidRPr="00AF252F">
        <w:rPr>
          <w:rFonts w:cs="Times New Roman"/>
          <w:szCs w:val="24"/>
        </w:rPr>
        <w:t>with “work plan, as that term is used in 375-1.6.”</w:t>
      </w:r>
    </w:p>
    <w:p w14:paraId="47E4411D" w14:textId="77777777" w:rsidR="00A5121D" w:rsidRPr="00A5121D" w:rsidRDefault="00A5121D" w:rsidP="00A5121D">
      <w:pPr>
        <w:spacing w:after="0"/>
        <w:rPr>
          <w:rFonts w:cs="Times New Roman"/>
          <w:b/>
          <w:szCs w:val="24"/>
          <w:u w:val="single"/>
        </w:rPr>
      </w:pPr>
    </w:p>
    <w:p w14:paraId="2D5BF67E" w14:textId="62386663" w:rsidR="00AF252F" w:rsidRPr="00AF252F" w:rsidRDefault="00B205FD" w:rsidP="00A5121D">
      <w:pPr>
        <w:pStyle w:val="ListParagraph"/>
        <w:numPr>
          <w:ilvl w:val="0"/>
          <w:numId w:val="17"/>
        </w:numPr>
        <w:spacing w:after="0"/>
        <w:rPr>
          <w:rFonts w:cs="Times New Roman"/>
          <w:bCs/>
          <w:szCs w:val="24"/>
        </w:rPr>
      </w:pPr>
      <w:r w:rsidRPr="00AF252F">
        <w:rPr>
          <w:rFonts w:cs="Times New Roman"/>
          <w:b/>
          <w:szCs w:val="24"/>
          <w:u w:val="single"/>
        </w:rPr>
        <w:lastRenderedPageBreak/>
        <w:t xml:space="preserve">§ </w:t>
      </w:r>
      <w:r w:rsidR="001142E8" w:rsidRPr="00AF252F">
        <w:rPr>
          <w:rFonts w:cs="Times New Roman"/>
          <w:b/>
          <w:szCs w:val="24"/>
          <w:u w:val="single"/>
        </w:rPr>
        <w:t>375-1.6(a)(3): Qualified Environmental Professionals On-Site During Remedial Activities</w:t>
      </w:r>
      <w:r w:rsidR="00C06537">
        <w:rPr>
          <w:rFonts w:cs="Times New Roman"/>
          <w:b/>
          <w:szCs w:val="24"/>
          <w:u w:val="single"/>
        </w:rPr>
        <w:t xml:space="preserve"> </w:t>
      </w:r>
      <w:proofErr w:type="gramStart"/>
      <w:r w:rsidR="00C06537">
        <w:rPr>
          <w:rFonts w:cs="Times New Roman"/>
          <w:b/>
          <w:szCs w:val="24"/>
          <w:u w:val="single"/>
        </w:rPr>
        <w:t>-</w:t>
      </w:r>
      <w:r w:rsidR="001142E8" w:rsidRPr="00AF252F">
        <w:rPr>
          <w:rFonts w:cs="Times New Roman"/>
          <w:szCs w:val="24"/>
        </w:rPr>
        <w:t xml:space="preserve"> </w:t>
      </w:r>
      <w:r w:rsidR="00943CBE">
        <w:rPr>
          <w:rFonts w:cs="Times New Roman"/>
          <w:szCs w:val="24"/>
        </w:rPr>
        <w:t xml:space="preserve"> </w:t>
      </w:r>
      <w:r w:rsidRPr="00AF252F">
        <w:rPr>
          <w:rFonts w:cs="Times New Roman"/>
          <w:szCs w:val="24"/>
        </w:rPr>
        <w:t>We</w:t>
      </w:r>
      <w:proofErr w:type="gramEnd"/>
      <w:r w:rsidRPr="00AF252F">
        <w:rPr>
          <w:rFonts w:cs="Times New Roman"/>
          <w:szCs w:val="24"/>
        </w:rPr>
        <w:t xml:space="preserve"> support this proposal.</w:t>
      </w:r>
    </w:p>
    <w:p w14:paraId="3C0C0C5A" w14:textId="77717419" w:rsidR="00AF252F" w:rsidRDefault="00AF252F" w:rsidP="00A5121D">
      <w:pPr>
        <w:pStyle w:val="ListParagraph"/>
        <w:spacing w:after="0"/>
        <w:rPr>
          <w:rFonts w:cs="Times New Roman"/>
          <w:b/>
          <w:szCs w:val="24"/>
          <w:u w:val="single"/>
        </w:rPr>
      </w:pPr>
    </w:p>
    <w:p w14:paraId="6C420B9A" w14:textId="1396C048" w:rsidR="00AF252F" w:rsidRDefault="00D43D25" w:rsidP="00A5121D">
      <w:pPr>
        <w:pStyle w:val="ListParagraph"/>
        <w:numPr>
          <w:ilvl w:val="0"/>
          <w:numId w:val="17"/>
        </w:numPr>
        <w:spacing w:after="0"/>
        <w:rPr>
          <w:rFonts w:cs="Times New Roman"/>
          <w:szCs w:val="24"/>
        </w:rPr>
      </w:pPr>
      <w:r w:rsidRPr="00AF252F">
        <w:rPr>
          <w:rFonts w:cs="Times New Roman"/>
          <w:b/>
          <w:szCs w:val="24"/>
          <w:u w:val="single"/>
        </w:rPr>
        <w:t xml:space="preserve">§ </w:t>
      </w:r>
      <w:r w:rsidR="001142E8" w:rsidRPr="00AF252F">
        <w:rPr>
          <w:rFonts w:cs="Times New Roman"/>
          <w:b/>
          <w:szCs w:val="24"/>
          <w:u w:val="single"/>
        </w:rPr>
        <w:t xml:space="preserve">375-1.6(c)(4)(ii): </w:t>
      </w:r>
      <w:r w:rsidR="008A6D05" w:rsidRPr="00AF252F">
        <w:rPr>
          <w:rFonts w:cs="Times New Roman"/>
          <w:b/>
          <w:szCs w:val="24"/>
          <w:u w:val="single"/>
        </w:rPr>
        <w:t>Certification of Final Engineering Reports</w:t>
      </w:r>
      <w:r w:rsidR="00C06537">
        <w:rPr>
          <w:rFonts w:cs="Times New Roman"/>
          <w:b/>
          <w:szCs w:val="24"/>
          <w:u w:val="single"/>
        </w:rPr>
        <w:t xml:space="preserve"> </w:t>
      </w:r>
      <w:proofErr w:type="gramStart"/>
      <w:r w:rsidR="00C06537" w:rsidRPr="00C06537">
        <w:rPr>
          <w:rFonts w:cs="Times New Roman"/>
          <w:b/>
          <w:bCs/>
          <w:szCs w:val="24"/>
          <w:u w:val="single"/>
        </w:rPr>
        <w:t>-</w:t>
      </w:r>
      <w:r w:rsidR="00AF252F" w:rsidRPr="00AF252F">
        <w:rPr>
          <w:rFonts w:cs="Times New Roman"/>
          <w:bCs/>
          <w:szCs w:val="24"/>
        </w:rPr>
        <w:t xml:space="preserve"> </w:t>
      </w:r>
      <w:r w:rsidR="00943CBE">
        <w:rPr>
          <w:rFonts w:cs="Times New Roman"/>
          <w:bCs/>
          <w:szCs w:val="24"/>
        </w:rPr>
        <w:t xml:space="preserve"> </w:t>
      </w:r>
      <w:r w:rsidR="002B7188" w:rsidRPr="00AF252F">
        <w:rPr>
          <w:rFonts w:cs="Times New Roman"/>
          <w:szCs w:val="24"/>
        </w:rPr>
        <w:t>This</w:t>
      </w:r>
      <w:proofErr w:type="gramEnd"/>
      <w:r w:rsidR="002B7188" w:rsidRPr="00AF252F">
        <w:rPr>
          <w:rFonts w:cs="Times New Roman"/>
          <w:szCs w:val="24"/>
        </w:rPr>
        <w:t xml:space="preserve"> new regulation was partially modeled after recommendations by the Bar Association to preserve the ability of smaller firms to subcontract the services of a third</w:t>
      </w:r>
      <w:r w:rsidR="008C76E8">
        <w:rPr>
          <w:rFonts w:cs="Times New Roman"/>
          <w:szCs w:val="24"/>
        </w:rPr>
        <w:t>-</w:t>
      </w:r>
      <w:r w:rsidR="002B7188" w:rsidRPr="00AF252F">
        <w:rPr>
          <w:rFonts w:cs="Times New Roman"/>
          <w:szCs w:val="24"/>
        </w:rPr>
        <w:t>party professional engineer to certify Final Engineering Reports (FERs)</w:t>
      </w:r>
      <w:r w:rsidR="0035232D">
        <w:rPr>
          <w:rFonts w:cs="Times New Roman"/>
          <w:szCs w:val="24"/>
        </w:rPr>
        <w:t>.  H</w:t>
      </w:r>
      <w:r w:rsidR="002B7188" w:rsidRPr="00AF252F">
        <w:rPr>
          <w:rFonts w:cs="Times New Roman"/>
          <w:szCs w:val="24"/>
        </w:rPr>
        <w:t xml:space="preserve">owever, certain key language still needs to be modified and amended.  </w:t>
      </w:r>
      <w:r w:rsidR="0035232D">
        <w:rPr>
          <w:rFonts w:cs="Times New Roman"/>
          <w:szCs w:val="24"/>
        </w:rPr>
        <w:t xml:space="preserve">Under </w:t>
      </w:r>
      <w:r w:rsidR="0035232D" w:rsidRPr="00AF252F">
        <w:rPr>
          <w:rFonts w:cs="Times New Roman"/>
          <w:szCs w:val="24"/>
        </w:rPr>
        <w:t xml:space="preserve">State Education Law Article 145 </w:t>
      </w:r>
      <w:r w:rsidR="0035232D">
        <w:rPr>
          <w:rFonts w:cs="Times New Roman"/>
          <w:szCs w:val="24"/>
        </w:rPr>
        <w:t>§</w:t>
      </w:r>
      <w:r w:rsidR="0035232D" w:rsidRPr="00AF252F">
        <w:rPr>
          <w:rFonts w:cs="Times New Roman"/>
          <w:szCs w:val="24"/>
        </w:rPr>
        <w:t xml:space="preserve"> 7</w:t>
      </w:r>
      <w:r w:rsidR="0035232D">
        <w:rPr>
          <w:rFonts w:cs="Times New Roman"/>
          <w:szCs w:val="24"/>
        </w:rPr>
        <w:t>2</w:t>
      </w:r>
      <w:r w:rsidR="0035232D" w:rsidRPr="00AF252F">
        <w:rPr>
          <w:rFonts w:cs="Times New Roman"/>
          <w:szCs w:val="24"/>
        </w:rPr>
        <w:t>08(f)</w:t>
      </w:r>
      <w:r w:rsidR="0035232D">
        <w:rPr>
          <w:rFonts w:cs="Times New Roman"/>
          <w:szCs w:val="24"/>
        </w:rPr>
        <w:t>, t</w:t>
      </w:r>
      <w:r w:rsidR="002B7188" w:rsidRPr="00AF252F">
        <w:rPr>
          <w:rFonts w:cs="Times New Roman"/>
          <w:szCs w:val="24"/>
        </w:rPr>
        <w:t xml:space="preserve">he certifying engineer must either directly supervise all engineering work required OR </w:t>
      </w:r>
      <w:r w:rsidR="00024C0C" w:rsidRPr="00AF252F">
        <w:rPr>
          <w:rFonts w:cs="Times New Roman"/>
          <w:szCs w:val="24"/>
        </w:rPr>
        <w:t xml:space="preserve">such engineer can </w:t>
      </w:r>
      <w:r w:rsidR="0035232D">
        <w:rPr>
          <w:rFonts w:cs="Times New Roman"/>
          <w:szCs w:val="24"/>
        </w:rPr>
        <w:t>“</w:t>
      </w:r>
      <w:proofErr w:type="gramStart"/>
      <w:r w:rsidR="00024C0C" w:rsidRPr="00AF252F">
        <w:rPr>
          <w:rFonts w:cs="Times New Roman"/>
          <w:szCs w:val="24"/>
        </w:rPr>
        <w:t>employ</w:t>
      </w:r>
      <w:r w:rsidR="0035232D">
        <w:rPr>
          <w:rFonts w:cs="Times New Roman"/>
          <w:szCs w:val="24"/>
        </w:rPr>
        <w:t>[</w:t>
      </w:r>
      <w:proofErr w:type="gramEnd"/>
      <w:r w:rsidR="0035232D">
        <w:rPr>
          <w:rFonts w:cs="Times New Roman"/>
          <w:szCs w:val="24"/>
        </w:rPr>
        <w:t xml:space="preserve">] or </w:t>
      </w:r>
      <w:proofErr w:type="spellStart"/>
      <w:r w:rsidR="0035232D">
        <w:rPr>
          <w:rFonts w:cs="Times New Roman"/>
          <w:szCs w:val="24"/>
        </w:rPr>
        <w:t>supervis</w:t>
      </w:r>
      <w:proofErr w:type="spellEnd"/>
      <w:r w:rsidR="0035232D">
        <w:rPr>
          <w:rFonts w:cs="Times New Roman"/>
          <w:szCs w:val="24"/>
        </w:rPr>
        <w:t>[e]”</w:t>
      </w:r>
      <w:r w:rsidR="00024C0C" w:rsidRPr="00AF252F">
        <w:rPr>
          <w:rFonts w:cs="Times New Roman"/>
          <w:szCs w:val="24"/>
        </w:rPr>
        <w:t xml:space="preserve"> the engineering work required for the implementation of the remedial program in accordance with</w:t>
      </w:r>
      <w:r w:rsidR="000B67DE" w:rsidRPr="00AF252F">
        <w:rPr>
          <w:rFonts w:cs="Times New Roman"/>
          <w:szCs w:val="24"/>
        </w:rPr>
        <w:t>.</w:t>
      </w:r>
      <w:r w:rsidR="002B7188" w:rsidRPr="00AF252F">
        <w:rPr>
          <w:rFonts w:cs="Times New Roman"/>
          <w:szCs w:val="24"/>
        </w:rPr>
        <w:t xml:space="preserve">   The latter “or” provision was left out</w:t>
      </w:r>
      <w:r w:rsidR="0031048D" w:rsidRPr="00AF252F">
        <w:rPr>
          <w:rFonts w:cs="Times New Roman"/>
          <w:szCs w:val="24"/>
        </w:rPr>
        <w:t xml:space="preserve"> and has been clarified from the Bar’s </w:t>
      </w:r>
      <w:r w:rsidR="00F54BAC">
        <w:rPr>
          <w:rFonts w:cs="Times New Roman"/>
          <w:szCs w:val="24"/>
        </w:rPr>
        <w:t>comments on the Department’s prior regulatory proposals</w:t>
      </w:r>
      <w:r w:rsidR="002B7188" w:rsidRPr="00AF252F">
        <w:rPr>
          <w:rFonts w:cs="Times New Roman"/>
          <w:szCs w:val="24"/>
        </w:rPr>
        <w:t xml:space="preserve">.  Without this language, small firms, which do not have in-house professional engineers (PEs), would not </w:t>
      </w:r>
      <w:r w:rsidR="0031048D" w:rsidRPr="00AF252F">
        <w:rPr>
          <w:rFonts w:cs="Times New Roman"/>
          <w:szCs w:val="24"/>
        </w:rPr>
        <w:t xml:space="preserve">be </w:t>
      </w:r>
      <w:r w:rsidR="002B7188" w:rsidRPr="00AF252F">
        <w:rPr>
          <w:rFonts w:cs="Times New Roman"/>
          <w:szCs w:val="24"/>
        </w:rPr>
        <w:t xml:space="preserve">able to participate in the BCP any longer.  Small firms have successfully hired outside PEs to supervise their </w:t>
      </w:r>
      <w:proofErr w:type="gramStart"/>
      <w:r w:rsidR="002B7188" w:rsidRPr="00AF252F">
        <w:rPr>
          <w:rFonts w:cs="Times New Roman"/>
          <w:szCs w:val="24"/>
        </w:rPr>
        <w:t>work,</w:t>
      </w:r>
      <w:proofErr w:type="gramEnd"/>
      <w:r w:rsidR="002B7188" w:rsidRPr="00AF252F">
        <w:rPr>
          <w:rFonts w:cs="Times New Roman"/>
          <w:szCs w:val="24"/>
        </w:rPr>
        <w:t xml:space="preserve"> therefore, this additional provision </w:t>
      </w:r>
      <w:r w:rsidR="0031048D" w:rsidRPr="00AF252F">
        <w:rPr>
          <w:rFonts w:cs="Times New Roman"/>
          <w:szCs w:val="24"/>
        </w:rPr>
        <w:t xml:space="preserve">is intended </w:t>
      </w:r>
      <w:r w:rsidR="002B7188" w:rsidRPr="00AF252F">
        <w:rPr>
          <w:rFonts w:cs="Times New Roman"/>
          <w:szCs w:val="24"/>
        </w:rPr>
        <w:t xml:space="preserve">to continue this successful trend </w:t>
      </w:r>
      <w:r w:rsidR="0031048D" w:rsidRPr="00AF252F">
        <w:rPr>
          <w:rFonts w:cs="Times New Roman"/>
          <w:szCs w:val="24"/>
        </w:rPr>
        <w:t xml:space="preserve">and </w:t>
      </w:r>
      <w:r w:rsidR="002B7188" w:rsidRPr="00AF252F">
        <w:rPr>
          <w:rFonts w:cs="Times New Roman"/>
          <w:szCs w:val="24"/>
        </w:rPr>
        <w:t xml:space="preserve">should be </w:t>
      </w:r>
      <w:r w:rsidR="001A6856">
        <w:rPr>
          <w:rFonts w:cs="Times New Roman"/>
          <w:szCs w:val="24"/>
        </w:rPr>
        <w:t>added</w:t>
      </w:r>
      <w:r w:rsidR="0031048D" w:rsidRPr="00AF252F">
        <w:rPr>
          <w:rFonts w:cs="Times New Roman"/>
          <w:szCs w:val="24"/>
        </w:rPr>
        <w:t xml:space="preserve"> </w:t>
      </w:r>
      <w:r w:rsidR="002B7188" w:rsidRPr="00AF252F">
        <w:rPr>
          <w:rFonts w:cs="Times New Roman"/>
          <w:szCs w:val="24"/>
        </w:rPr>
        <w:t xml:space="preserve">in these new regulations.    </w:t>
      </w:r>
    </w:p>
    <w:p w14:paraId="7B7CD628" w14:textId="69C60332" w:rsidR="00AF252F" w:rsidRDefault="00AF252F" w:rsidP="00A5121D">
      <w:pPr>
        <w:pStyle w:val="ListParagraph"/>
        <w:spacing w:after="0"/>
        <w:ind w:left="1080"/>
        <w:rPr>
          <w:rFonts w:cs="Times New Roman"/>
          <w:szCs w:val="24"/>
        </w:rPr>
      </w:pPr>
    </w:p>
    <w:p w14:paraId="5D100FA7" w14:textId="11709A74" w:rsidR="0049663A" w:rsidRDefault="009E30CE" w:rsidP="00A5121D">
      <w:pPr>
        <w:pStyle w:val="ListParagraph"/>
        <w:numPr>
          <w:ilvl w:val="0"/>
          <w:numId w:val="17"/>
        </w:numPr>
        <w:spacing w:after="0"/>
        <w:rPr>
          <w:rFonts w:cs="Times New Roman"/>
          <w:szCs w:val="24"/>
        </w:rPr>
      </w:pPr>
      <w:bookmarkStart w:id="0" w:name="_Hlk165124696"/>
      <w:r w:rsidRPr="001A5406">
        <w:rPr>
          <w:rFonts w:cs="Times New Roman"/>
          <w:b/>
          <w:szCs w:val="24"/>
          <w:u w:val="single"/>
        </w:rPr>
        <w:t xml:space="preserve">§ </w:t>
      </w:r>
      <w:bookmarkEnd w:id="0"/>
      <w:r w:rsidRPr="001A5406">
        <w:rPr>
          <w:rFonts w:cs="Times New Roman"/>
          <w:b/>
          <w:szCs w:val="24"/>
          <w:u w:val="single"/>
        </w:rPr>
        <w:t>375-1.7</w:t>
      </w:r>
      <w:r w:rsidR="00943CBE">
        <w:rPr>
          <w:rFonts w:cs="Times New Roman"/>
          <w:b/>
          <w:szCs w:val="24"/>
          <w:u w:val="single"/>
        </w:rPr>
        <w:t>:</w:t>
      </w:r>
      <w:r w:rsidRPr="001A5406">
        <w:rPr>
          <w:rFonts w:cs="Times New Roman"/>
          <w:b/>
          <w:szCs w:val="24"/>
          <w:u w:val="single"/>
        </w:rPr>
        <w:t xml:space="preserve"> S</w:t>
      </w:r>
      <w:r w:rsidR="003575F6" w:rsidRPr="001A5406">
        <w:rPr>
          <w:rFonts w:cs="Times New Roman"/>
          <w:b/>
          <w:szCs w:val="24"/>
          <w:u w:val="single"/>
        </w:rPr>
        <w:t>ite</w:t>
      </w:r>
      <w:r w:rsidRPr="001A5406">
        <w:rPr>
          <w:rFonts w:cs="Times New Roman"/>
          <w:b/>
          <w:szCs w:val="24"/>
          <w:u w:val="single"/>
        </w:rPr>
        <w:t xml:space="preserve"> C</w:t>
      </w:r>
      <w:r w:rsidR="003575F6" w:rsidRPr="001A5406">
        <w:rPr>
          <w:rFonts w:cs="Times New Roman"/>
          <w:b/>
          <w:szCs w:val="24"/>
          <w:u w:val="single"/>
        </w:rPr>
        <w:t>lassification</w:t>
      </w:r>
      <w:r w:rsidR="00242F87">
        <w:rPr>
          <w:rFonts w:cs="Times New Roman"/>
          <w:b/>
          <w:szCs w:val="24"/>
          <w:u w:val="single"/>
        </w:rPr>
        <w:t xml:space="preserve"> and Administrative Designations</w:t>
      </w:r>
      <w:r w:rsidRPr="001A5406">
        <w:rPr>
          <w:rFonts w:cs="Times New Roman"/>
          <w:b/>
          <w:szCs w:val="24"/>
          <w:u w:val="single"/>
        </w:rPr>
        <w:t xml:space="preserve"> </w:t>
      </w:r>
      <w:proofErr w:type="gramStart"/>
      <w:r w:rsidR="00C06537">
        <w:rPr>
          <w:rFonts w:cs="Times New Roman"/>
          <w:b/>
          <w:szCs w:val="24"/>
          <w:u w:val="single"/>
        </w:rPr>
        <w:t>-</w:t>
      </w:r>
      <w:r w:rsidR="00C06537">
        <w:rPr>
          <w:rFonts w:cs="Times New Roman"/>
          <w:b/>
          <w:szCs w:val="24"/>
        </w:rPr>
        <w:t xml:space="preserve"> </w:t>
      </w:r>
      <w:r w:rsidR="00943CBE">
        <w:rPr>
          <w:rFonts w:cs="Times New Roman"/>
          <w:b/>
          <w:szCs w:val="24"/>
        </w:rPr>
        <w:t xml:space="preserve"> </w:t>
      </w:r>
      <w:r w:rsidR="00242F87">
        <w:rPr>
          <w:rFonts w:cs="Times New Roman"/>
          <w:szCs w:val="24"/>
        </w:rPr>
        <w:t>Adding</w:t>
      </w:r>
      <w:proofErr w:type="gramEnd"/>
      <w:r w:rsidR="00242F87">
        <w:rPr>
          <w:rFonts w:cs="Times New Roman"/>
          <w:szCs w:val="24"/>
        </w:rPr>
        <w:t xml:space="preserve"> the administrative c</w:t>
      </w:r>
      <w:r w:rsidR="00481423" w:rsidRPr="001A5406">
        <w:rPr>
          <w:rFonts w:cs="Times New Roman"/>
          <w:szCs w:val="24"/>
        </w:rPr>
        <w:t>lassifications</w:t>
      </w:r>
      <w:r w:rsidR="00242F87">
        <w:rPr>
          <w:rFonts w:cs="Times New Roman"/>
          <w:szCs w:val="24"/>
        </w:rPr>
        <w:t xml:space="preserve"> used internally by the Department, but which have no statutory basis and are used nowhere else in the regulations,</w:t>
      </w:r>
      <w:r w:rsidR="00481423" w:rsidRPr="001A5406">
        <w:rPr>
          <w:rFonts w:cs="Times New Roman"/>
          <w:szCs w:val="24"/>
        </w:rPr>
        <w:t xml:space="preserve"> ha</w:t>
      </w:r>
      <w:r w:rsidR="00242F87">
        <w:rPr>
          <w:rFonts w:cs="Times New Roman"/>
          <w:szCs w:val="24"/>
        </w:rPr>
        <w:t>s</w:t>
      </w:r>
      <w:r w:rsidR="00481423" w:rsidRPr="001A5406">
        <w:rPr>
          <w:rFonts w:cs="Times New Roman"/>
          <w:szCs w:val="24"/>
        </w:rPr>
        <w:t xml:space="preserve"> the potential to cause great confusion and impact the marketability of sites across the </w:t>
      </w:r>
      <w:r w:rsidR="003575F6" w:rsidRPr="001A5406">
        <w:rPr>
          <w:rFonts w:cs="Times New Roman"/>
          <w:szCs w:val="24"/>
        </w:rPr>
        <w:t>state</w:t>
      </w:r>
      <w:r w:rsidR="0049663A">
        <w:rPr>
          <w:rFonts w:cs="Times New Roman"/>
          <w:szCs w:val="24"/>
        </w:rPr>
        <w:t>.  In addition, seeing that there is no other reference anywhere</w:t>
      </w:r>
      <w:r w:rsidR="00585890">
        <w:rPr>
          <w:rFonts w:cs="Times New Roman"/>
          <w:szCs w:val="24"/>
        </w:rPr>
        <w:t xml:space="preserve"> in the proposed changes to the</w:t>
      </w:r>
      <w:r w:rsidR="0049663A">
        <w:rPr>
          <w:rFonts w:cs="Times New Roman"/>
          <w:szCs w:val="24"/>
        </w:rPr>
        <w:t xml:space="preserve"> administrative designations, it seems that adding them to the proposed regulations serves no substantive purpose</w:t>
      </w:r>
      <w:r w:rsidR="001A6856">
        <w:rPr>
          <w:rFonts w:cs="Times New Roman"/>
          <w:szCs w:val="24"/>
        </w:rPr>
        <w:t xml:space="preserve"> other than the Department’s internal use of these classifications</w:t>
      </w:r>
      <w:r w:rsidR="0049663A">
        <w:rPr>
          <w:rFonts w:cs="Times New Roman"/>
          <w:szCs w:val="24"/>
        </w:rPr>
        <w:t xml:space="preserve">.  Accordingly, we strongly urge the Department to remove the administrative designations from the proposed regulations. </w:t>
      </w:r>
      <w:r w:rsidR="00481423" w:rsidRPr="001A5406">
        <w:rPr>
          <w:rFonts w:cs="Times New Roman"/>
          <w:szCs w:val="24"/>
        </w:rPr>
        <w:t xml:space="preserve"> </w:t>
      </w:r>
    </w:p>
    <w:p w14:paraId="0BB7ED67" w14:textId="77777777" w:rsidR="0049663A" w:rsidRDefault="0049663A" w:rsidP="00A5121D">
      <w:pPr>
        <w:spacing w:after="0"/>
        <w:ind w:firstLine="720"/>
        <w:rPr>
          <w:rFonts w:cs="Times New Roman"/>
          <w:szCs w:val="24"/>
        </w:rPr>
      </w:pPr>
    </w:p>
    <w:p w14:paraId="476B1962" w14:textId="77777777" w:rsidR="0049663A" w:rsidRDefault="0049663A" w:rsidP="00A5121D">
      <w:pPr>
        <w:spacing w:after="0"/>
        <w:ind w:left="1080"/>
        <w:rPr>
          <w:rFonts w:cs="Times New Roman"/>
          <w:szCs w:val="24"/>
        </w:rPr>
      </w:pPr>
      <w:r>
        <w:rPr>
          <w:rFonts w:cs="Times New Roman"/>
          <w:szCs w:val="24"/>
        </w:rPr>
        <w:t>In the alternative, the following issues must be addressed in the proposed text:</w:t>
      </w:r>
    </w:p>
    <w:p w14:paraId="5422FC31" w14:textId="77777777" w:rsidR="0049663A" w:rsidRDefault="0049663A" w:rsidP="00A5121D">
      <w:pPr>
        <w:spacing w:after="0"/>
        <w:ind w:left="1080" w:firstLine="360"/>
        <w:rPr>
          <w:rFonts w:cs="Times New Roman"/>
          <w:szCs w:val="24"/>
        </w:rPr>
      </w:pPr>
    </w:p>
    <w:p w14:paraId="30FE4F6F" w14:textId="580B61EF" w:rsidR="00AF252F" w:rsidRPr="0049663A" w:rsidRDefault="00481423" w:rsidP="00A5121D">
      <w:pPr>
        <w:spacing w:after="0"/>
        <w:ind w:left="1440"/>
        <w:rPr>
          <w:rFonts w:cs="Times New Roman"/>
          <w:szCs w:val="24"/>
        </w:rPr>
      </w:pPr>
      <w:r w:rsidRPr="0049663A">
        <w:rPr>
          <w:rFonts w:cs="Times New Roman"/>
          <w:szCs w:val="24"/>
        </w:rPr>
        <w:t>“No Further Action at the Time” implies that further action may be required at another time</w:t>
      </w:r>
      <w:r w:rsidR="00347D75" w:rsidRPr="0049663A">
        <w:rPr>
          <w:rFonts w:cs="Times New Roman"/>
          <w:szCs w:val="24"/>
        </w:rPr>
        <w:t>, but there is no language elsewhere in the regulations regarding that issue</w:t>
      </w:r>
      <w:r w:rsidRPr="0049663A">
        <w:rPr>
          <w:rFonts w:cs="Times New Roman"/>
          <w:szCs w:val="24"/>
        </w:rPr>
        <w:t>.  Fo</w:t>
      </w:r>
      <w:r w:rsidR="0049663A">
        <w:rPr>
          <w:rFonts w:cs="Times New Roman"/>
          <w:szCs w:val="24"/>
        </w:rPr>
        <w:t>r</w:t>
      </w:r>
      <w:r w:rsidRPr="0049663A">
        <w:rPr>
          <w:rFonts w:cs="Times New Roman"/>
          <w:szCs w:val="24"/>
        </w:rPr>
        <w:t xml:space="preserve"> </w:t>
      </w:r>
      <w:r w:rsidR="0049663A">
        <w:rPr>
          <w:rFonts w:cs="Times New Roman"/>
          <w:szCs w:val="24"/>
        </w:rPr>
        <w:t xml:space="preserve">each of </w:t>
      </w:r>
      <w:r w:rsidRPr="0049663A">
        <w:rPr>
          <w:rFonts w:cs="Times New Roman"/>
          <w:szCs w:val="24"/>
        </w:rPr>
        <w:t xml:space="preserve">the circumstances outlined in </w:t>
      </w:r>
      <w:r w:rsidR="001A6856">
        <w:rPr>
          <w:rFonts w:cs="Times New Roman"/>
          <w:szCs w:val="24"/>
        </w:rPr>
        <w:t>§ 375-1.7(a)</w:t>
      </w:r>
      <w:r w:rsidRPr="0049663A">
        <w:rPr>
          <w:rFonts w:cs="Times New Roman"/>
          <w:szCs w:val="24"/>
        </w:rPr>
        <w:t>(3)(</w:t>
      </w:r>
      <w:proofErr w:type="spellStart"/>
      <w:r w:rsidRPr="0049663A">
        <w:rPr>
          <w:rFonts w:cs="Times New Roman"/>
          <w:szCs w:val="24"/>
        </w:rPr>
        <w:t>i</w:t>
      </w:r>
      <w:proofErr w:type="spellEnd"/>
      <w:r w:rsidRPr="0049663A">
        <w:rPr>
          <w:rFonts w:cs="Times New Roman"/>
          <w:szCs w:val="24"/>
        </w:rPr>
        <w:t>)-(</w:t>
      </w:r>
      <w:r w:rsidR="001A6856">
        <w:rPr>
          <w:rFonts w:cs="Times New Roman"/>
          <w:szCs w:val="24"/>
        </w:rPr>
        <w:t>iv</w:t>
      </w:r>
      <w:r w:rsidRPr="0049663A">
        <w:rPr>
          <w:rFonts w:cs="Times New Roman"/>
          <w:szCs w:val="24"/>
        </w:rPr>
        <w:t xml:space="preserve">), the sites should simply be removed from the electronic database </w:t>
      </w:r>
      <w:r w:rsidR="0049663A">
        <w:rPr>
          <w:rFonts w:cs="Times New Roman"/>
          <w:szCs w:val="24"/>
        </w:rPr>
        <w:t xml:space="preserve">rather than being </w:t>
      </w:r>
      <w:r w:rsidRPr="0049663A">
        <w:rPr>
          <w:rFonts w:cs="Times New Roman"/>
          <w:szCs w:val="24"/>
        </w:rPr>
        <w:t xml:space="preserve">classified as </w:t>
      </w:r>
      <w:r w:rsidR="0049663A">
        <w:rPr>
          <w:rFonts w:cs="Times New Roman"/>
          <w:szCs w:val="24"/>
        </w:rPr>
        <w:t xml:space="preserve">an </w:t>
      </w:r>
      <w:r w:rsidR="003476A1">
        <w:rPr>
          <w:rFonts w:cs="Times New Roman"/>
          <w:szCs w:val="24"/>
        </w:rPr>
        <w:t>“</w:t>
      </w:r>
      <w:r w:rsidR="0049663A">
        <w:rPr>
          <w:rFonts w:cs="Times New Roman"/>
          <w:szCs w:val="24"/>
        </w:rPr>
        <w:t>N</w:t>
      </w:r>
      <w:r w:rsidR="003476A1">
        <w:rPr>
          <w:rFonts w:cs="Times New Roman"/>
          <w:szCs w:val="24"/>
        </w:rPr>
        <w:t>”</w:t>
      </w:r>
      <w:r w:rsidR="0049663A">
        <w:rPr>
          <w:rFonts w:cs="Times New Roman"/>
          <w:szCs w:val="24"/>
        </w:rPr>
        <w:t xml:space="preserve"> site</w:t>
      </w:r>
      <w:r w:rsidRPr="0049663A">
        <w:rPr>
          <w:rFonts w:cs="Times New Roman"/>
          <w:szCs w:val="24"/>
        </w:rPr>
        <w:t>.</w:t>
      </w:r>
    </w:p>
    <w:p w14:paraId="76B134F1" w14:textId="3E7984C5" w:rsidR="00AF252F" w:rsidRPr="00AF252F" w:rsidRDefault="00481423" w:rsidP="00A5121D">
      <w:pPr>
        <w:pStyle w:val="ListParagraph"/>
        <w:spacing w:after="0"/>
        <w:ind w:left="1440"/>
        <w:rPr>
          <w:rFonts w:cs="Times New Roman"/>
          <w:szCs w:val="24"/>
        </w:rPr>
      </w:pPr>
      <w:r w:rsidRPr="001A5406">
        <w:rPr>
          <w:rFonts w:cs="Times New Roman"/>
          <w:szCs w:val="24"/>
        </w:rPr>
        <w:t xml:space="preserve">Lastly, the site characterization </w:t>
      </w:r>
      <w:r w:rsidR="0049663A">
        <w:rPr>
          <w:rFonts w:cs="Times New Roman"/>
          <w:szCs w:val="24"/>
        </w:rPr>
        <w:t xml:space="preserve">activities applicable to a </w:t>
      </w:r>
      <w:r w:rsidR="0027564F">
        <w:rPr>
          <w:rFonts w:cs="Times New Roman"/>
          <w:szCs w:val="24"/>
        </w:rPr>
        <w:t>“</w:t>
      </w:r>
      <w:r w:rsidRPr="001A5406">
        <w:rPr>
          <w:rFonts w:cs="Times New Roman"/>
          <w:szCs w:val="24"/>
        </w:rPr>
        <w:t>P</w:t>
      </w:r>
      <w:r w:rsidR="0027564F">
        <w:rPr>
          <w:rFonts w:cs="Times New Roman"/>
          <w:szCs w:val="24"/>
        </w:rPr>
        <w:t>”</w:t>
      </w:r>
      <w:r w:rsidRPr="001A5406">
        <w:rPr>
          <w:rFonts w:cs="Times New Roman"/>
          <w:szCs w:val="24"/>
        </w:rPr>
        <w:t xml:space="preserve"> site should be transparent and detailed in the regulations.  The new definition of </w:t>
      </w:r>
      <w:r w:rsidR="0027564F">
        <w:rPr>
          <w:rFonts w:cs="Times New Roman"/>
          <w:szCs w:val="24"/>
        </w:rPr>
        <w:t>“</w:t>
      </w:r>
      <w:r w:rsidRPr="001A5406">
        <w:rPr>
          <w:rFonts w:cs="Times New Roman"/>
          <w:szCs w:val="24"/>
        </w:rPr>
        <w:t>site characterization</w:t>
      </w:r>
      <w:r w:rsidR="0027564F">
        <w:rPr>
          <w:rFonts w:cs="Times New Roman"/>
          <w:szCs w:val="24"/>
        </w:rPr>
        <w:t>”</w:t>
      </w:r>
      <w:r w:rsidRPr="001A5406">
        <w:rPr>
          <w:rFonts w:cs="Times New Roman"/>
          <w:szCs w:val="24"/>
        </w:rPr>
        <w:t xml:space="preserve"> in</w:t>
      </w:r>
      <w:r w:rsidR="00A33F4C" w:rsidRPr="001A5406">
        <w:rPr>
          <w:rFonts w:cs="Times New Roman"/>
          <w:szCs w:val="24"/>
        </w:rPr>
        <w:t xml:space="preserve"> </w:t>
      </w:r>
      <w:r w:rsidR="00A33F4C" w:rsidRPr="001A5406">
        <w:rPr>
          <w:rFonts w:cs="Times New Roman"/>
          <w:bCs/>
          <w:szCs w:val="24"/>
        </w:rPr>
        <w:t xml:space="preserve">§ </w:t>
      </w:r>
      <w:r w:rsidRPr="001A5406">
        <w:rPr>
          <w:rFonts w:cs="Times New Roman"/>
          <w:szCs w:val="24"/>
        </w:rPr>
        <w:t xml:space="preserve">375-1.2(au) is </w:t>
      </w:r>
      <w:r w:rsidR="0049663A">
        <w:rPr>
          <w:rFonts w:cs="Times New Roman"/>
          <w:szCs w:val="24"/>
        </w:rPr>
        <w:t>overly</w:t>
      </w:r>
      <w:r w:rsidRPr="001A5406">
        <w:rPr>
          <w:rFonts w:cs="Times New Roman"/>
          <w:szCs w:val="24"/>
        </w:rPr>
        <w:t xml:space="preserve"> broad</w:t>
      </w:r>
      <w:r w:rsidR="0027564F">
        <w:rPr>
          <w:rFonts w:cs="Times New Roman"/>
          <w:szCs w:val="24"/>
        </w:rPr>
        <w:t xml:space="preserve"> and does not clarify this issue</w:t>
      </w:r>
      <w:r w:rsidRPr="001A5406">
        <w:rPr>
          <w:rFonts w:cs="Times New Roman"/>
          <w:szCs w:val="24"/>
        </w:rPr>
        <w:t>.</w:t>
      </w:r>
      <w:r>
        <w:rPr>
          <w:rFonts w:cs="Times New Roman"/>
          <w:szCs w:val="24"/>
        </w:rPr>
        <w:t xml:space="preserve"> </w:t>
      </w:r>
      <w:r w:rsidR="001A6856">
        <w:rPr>
          <w:rFonts w:cs="Times New Roman"/>
          <w:szCs w:val="24"/>
        </w:rPr>
        <w:t xml:space="preserve"> Also, if a “P” site enters the BCP, the “P” designation should be removed from the Department’s electronic database.</w:t>
      </w:r>
    </w:p>
    <w:p w14:paraId="3B032E59" w14:textId="77777777" w:rsidR="00943CBE" w:rsidRDefault="00943CBE" w:rsidP="00A5121D">
      <w:pPr>
        <w:pStyle w:val="HTMLPreformatted"/>
        <w:ind w:left="916"/>
        <w:rPr>
          <w:rFonts w:ascii="Times New Roman" w:hAnsi="Times New Roman" w:cs="Times New Roman"/>
          <w:b w:val="0"/>
          <w:bCs w:val="0"/>
          <w:sz w:val="24"/>
          <w:szCs w:val="24"/>
        </w:rPr>
      </w:pPr>
    </w:p>
    <w:p w14:paraId="78399EA4" w14:textId="3E624E2E" w:rsidR="00AF252F" w:rsidRPr="00AF252F" w:rsidRDefault="00F43A67" w:rsidP="00A5121D">
      <w:pPr>
        <w:pStyle w:val="ListParagraph"/>
        <w:numPr>
          <w:ilvl w:val="0"/>
          <w:numId w:val="17"/>
        </w:numPr>
        <w:spacing w:after="0"/>
        <w:rPr>
          <w:rFonts w:cs="Times New Roman"/>
          <w:szCs w:val="24"/>
        </w:rPr>
      </w:pPr>
      <w:r w:rsidRPr="00AF252F">
        <w:rPr>
          <w:rFonts w:cs="Times New Roman"/>
          <w:b/>
          <w:bCs/>
          <w:szCs w:val="24"/>
          <w:u w:val="single"/>
        </w:rPr>
        <w:t xml:space="preserve">§ </w:t>
      </w:r>
      <w:r w:rsidR="00E02184" w:rsidRPr="00AF252F">
        <w:rPr>
          <w:rFonts w:cs="Times New Roman"/>
          <w:b/>
          <w:bCs/>
          <w:szCs w:val="24"/>
          <w:u w:val="single"/>
        </w:rPr>
        <w:t>375-1.8(d)(1)(iii)</w:t>
      </w:r>
      <w:r w:rsidR="00E02184" w:rsidRPr="00AF252F">
        <w:rPr>
          <w:rFonts w:cs="Times New Roman"/>
          <w:b/>
          <w:szCs w:val="24"/>
          <w:u w:val="single"/>
        </w:rPr>
        <w:t>: Efforts by Volunteers to Address Off-Site Contamination</w:t>
      </w:r>
      <w:r w:rsidR="00AF252F" w:rsidRPr="00AF252F">
        <w:rPr>
          <w:rFonts w:cs="Times New Roman"/>
          <w:b/>
          <w:szCs w:val="24"/>
          <w:u w:val="single"/>
        </w:rPr>
        <w:t xml:space="preserve"> - </w:t>
      </w:r>
      <w:r w:rsidR="00AF252F">
        <w:rPr>
          <w:rFonts w:cs="Times New Roman"/>
          <w:bCs/>
          <w:szCs w:val="24"/>
        </w:rPr>
        <w:t>W</w:t>
      </w:r>
      <w:r w:rsidR="00E02184" w:rsidRPr="00AF252F">
        <w:rPr>
          <w:rFonts w:cs="Times New Roman"/>
          <w:szCs w:val="24"/>
        </w:rPr>
        <w:t xml:space="preserve">e support the proposal to clarify that Volunteers are required to address only </w:t>
      </w:r>
      <w:r w:rsidR="00D90267">
        <w:rPr>
          <w:rFonts w:cs="Times New Roman"/>
          <w:szCs w:val="24"/>
        </w:rPr>
        <w:t xml:space="preserve">“the </w:t>
      </w:r>
      <w:r w:rsidR="00E02184" w:rsidRPr="00AF252F">
        <w:rPr>
          <w:rFonts w:cs="Times New Roman"/>
          <w:szCs w:val="24"/>
        </w:rPr>
        <w:lastRenderedPageBreak/>
        <w:t xml:space="preserve">on-site </w:t>
      </w:r>
      <w:r w:rsidR="00296B4F">
        <w:rPr>
          <w:rFonts w:cs="Times New Roman"/>
          <w:szCs w:val="24"/>
        </w:rPr>
        <w:t>p</w:t>
      </w:r>
      <w:r w:rsidR="00D90267">
        <w:rPr>
          <w:rFonts w:cs="Times New Roman"/>
          <w:szCs w:val="24"/>
        </w:rPr>
        <w:t>lume”</w:t>
      </w:r>
      <w:r w:rsidR="00E02184" w:rsidRPr="00AF252F">
        <w:rPr>
          <w:rFonts w:cs="Times New Roman"/>
          <w:szCs w:val="24"/>
        </w:rPr>
        <w:t xml:space="preserve"> of groundwater contamination and to prevent further migration </w:t>
      </w:r>
      <w:r w:rsidR="00296B4F">
        <w:rPr>
          <w:rFonts w:cs="Times New Roman"/>
          <w:szCs w:val="24"/>
        </w:rPr>
        <w:t xml:space="preserve">of </w:t>
      </w:r>
      <w:r w:rsidR="00296B4F">
        <w:rPr>
          <w:rFonts w:cs="Times New Roman"/>
          <w:b/>
          <w:i/>
          <w:szCs w:val="24"/>
        </w:rPr>
        <w:t xml:space="preserve">“any site-related plume off-site” </w:t>
      </w:r>
      <w:r w:rsidR="00296B4F">
        <w:rPr>
          <w:rFonts w:cs="Times New Roman"/>
          <w:szCs w:val="24"/>
        </w:rPr>
        <w:t xml:space="preserve">(emphasis added), </w:t>
      </w:r>
      <w:r w:rsidR="00E02184" w:rsidRPr="00AF252F">
        <w:rPr>
          <w:rFonts w:cs="Times New Roman"/>
          <w:szCs w:val="24"/>
        </w:rPr>
        <w:t xml:space="preserve">but the </w:t>
      </w:r>
      <w:r w:rsidR="00296B4F">
        <w:rPr>
          <w:rFonts w:cs="Times New Roman"/>
          <w:szCs w:val="24"/>
        </w:rPr>
        <w:t xml:space="preserve">added </w:t>
      </w:r>
      <w:r w:rsidR="00E02184" w:rsidRPr="00AF252F">
        <w:rPr>
          <w:rFonts w:cs="Times New Roman"/>
          <w:szCs w:val="24"/>
        </w:rPr>
        <w:t>phrase “at the site boundary” should be omitted. Several remedial technologies are available that may address the source of the contamination and prevent off-site plume migration but that are not required to be implemented “at the site boundary.”</w:t>
      </w:r>
      <w:r w:rsidR="002B7188" w:rsidRPr="00AF252F">
        <w:rPr>
          <w:rFonts w:cs="Times New Roman"/>
          <w:szCs w:val="24"/>
        </w:rPr>
        <w:t xml:space="preserve">  Note that there is also a provision in the Subpart 3 Brownfield Program regulations at § 375-3.8(f)(4)(ii), which states that to the extent feasible, a </w:t>
      </w:r>
      <w:r w:rsidR="001F0EE6" w:rsidRPr="00AF252F">
        <w:rPr>
          <w:rFonts w:cs="Times New Roman"/>
          <w:szCs w:val="24"/>
        </w:rPr>
        <w:t>V</w:t>
      </w:r>
      <w:r w:rsidR="002B7188" w:rsidRPr="00AF252F">
        <w:rPr>
          <w:rFonts w:cs="Times New Roman"/>
          <w:szCs w:val="24"/>
        </w:rPr>
        <w:t xml:space="preserve">olunteer shall address the on-site plume and prevent migration of </w:t>
      </w:r>
      <w:r w:rsidR="002B7188" w:rsidRPr="00AF252F">
        <w:rPr>
          <w:rFonts w:cs="Times New Roman"/>
          <w:b/>
          <w:bCs/>
          <w:i/>
          <w:iCs/>
          <w:szCs w:val="24"/>
        </w:rPr>
        <w:t>any plume</w:t>
      </w:r>
      <w:r w:rsidR="002B7188" w:rsidRPr="00AF252F">
        <w:rPr>
          <w:rFonts w:cs="Times New Roman"/>
          <w:szCs w:val="24"/>
        </w:rPr>
        <w:t xml:space="preserve"> off-site at the site boundary.</w:t>
      </w:r>
      <w:r w:rsidR="00C23146" w:rsidRPr="00AF252F">
        <w:rPr>
          <w:rFonts w:cs="Times New Roman"/>
          <w:szCs w:val="24"/>
        </w:rPr>
        <w:t xml:space="preserve">  </w:t>
      </w:r>
      <w:r w:rsidR="0099080A">
        <w:rPr>
          <w:rFonts w:cs="Times New Roman"/>
          <w:szCs w:val="24"/>
        </w:rPr>
        <w:t>Section</w:t>
      </w:r>
      <w:r w:rsidR="00A33F4C" w:rsidRPr="00A33F4C">
        <w:rPr>
          <w:rFonts w:cs="Times New Roman"/>
          <w:szCs w:val="24"/>
        </w:rPr>
        <w:t xml:space="preserve"> 375-3.8(f)(4)(ii)</w:t>
      </w:r>
      <w:r w:rsidR="00C23146" w:rsidRPr="00AF252F">
        <w:rPr>
          <w:rFonts w:cs="Times New Roman"/>
          <w:szCs w:val="24"/>
        </w:rPr>
        <w:t xml:space="preserve"> should be amended to </w:t>
      </w:r>
      <w:r w:rsidR="00A33F4C">
        <w:rPr>
          <w:rFonts w:cs="Times New Roman"/>
          <w:szCs w:val="24"/>
        </w:rPr>
        <w:t xml:space="preserve">align with the </w:t>
      </w:r>
      <w:r w:rsidR="00C23146" w:rsidRPr="00AF252F">
        <w:rPr>
          <w:rFonts w:cs="Times New Roman"/>
          <w:szCs w:val="24"/>
        </w:rPr>
        <w:t xml:space="preserve">language in </w:t>
      </w:r>
      <w:r w:rsidR="00A33F4C" w:rsidRPr="00A33F4C">
        <w:rPr>
          <w:rFonts w:cs="Times New Roman"/>
          <w:szCs w:val="24"/>
        </w:rPr>
        <w:t>§ 375-1.8(d)(1)(iii)</w:t>
      </w:r>
      <w:r w:rsidR="0099080A">
        <w:rPr>
          <w:rFonts w:cs="Times New Roman"/>
          <w:szCs w:val="24"/>
        </w:rPr>
        <w:t xml:space="preserve"> to state that a V</w:t>
      </w:r>
      <w:r w:rsidR="00A33F4C">
        <w:rPr>
          <w:rFonts w:cs="Times New Roman"/>
          <w:szCs w:val="24"/>
        </w:rPr>
        <w:t>olunteer shall</w:t>
      </w:r>
      <w:r w:rsidR="00D90267">
        <w:rPr>
          <w:rFonts w:cs="Times New Roman"/>
          <w:szCs w:val="24"/>
        </w:rPr>
        <w:t xml:space="preserve"> prevent migration of “any site-</w:t>
      </w:r>
      <w:r w:rsidR="00A33F4C">
        <w:rPr>
          <w:rFonts w:cs="Times New Roman"/>
          <w:szCs w:val="24"/>
        </w:rPr>
        <w:t>related plume.”</w:t>
      </w:r>
    </w:p>
    <w:p w14:paraId="72308154" w14:textId="0F4120AF" w:rsidR="00943CBE" w:rsidRPr="00A5121D" w:rsidRDefault="00943CBE" w:rsidP="00A5121D">
      <w:pPr>
        <w:spacing w:after="0"/>
        <w:rPr>
          <w:rFonts w:cs="Times New Roman"/>
          <w:szCs w:val="24"/>
        </w:rPr>
      </w:pPr>
    </w:p>
    <w:p w14:paraId="59FA7D6B" w14:textId="26CEBC17" w:rsidR="00AF252F" w:rsidRPr="00AF252F" w:rsidRDefault="00F43A67" w:rsidP="00A5121D">
      <w:pPr>
        <w:pStyle w:val="ListParagraph"/>
        <w:numPr>
          <w:ilvl w:val="0"/>
          <w:numId w:val="17"/>
        </w:numPr>
        <w:spacing w:after="0"/>
        <w:rPr>
          <w:rFonts w:cs="Times New Roman"/>
          <w:b/>
          <w:szCs w:val="24"/>
        </w:rPr>
      </w:pPr>
      <w:r w:rsidRPr="00AF252F">
        <w:rPr>
          <w:rFonts w:cs="Times New Roman"/>
          <w:b/>
          <w:bCs/>
          <w:szCs w:val="24"/>
          <w:u w:val="single"/>
        </w:rPr>
        <w:t xml:space="preserve">§ </w:t>
      </w:r>
      <w:r w:rsidR="00E02184" w:rsidRPr="00AF252F">
        <w:rPr>
          <w:rFonts w:cs="Times New Roman"/>
          <w:b/>
          <w:bCs/>
          <w:szCs w:val="24"/>
          <w:u w:val="single"/>
        </w:rPr>
        <w:t>375-1.8(d)(2)(ii)(c):</w:t>
      </w:r>
      <w:r w:rsidR="00E02184" w:rsidRPr="00AF252F">
        <w:rPr>
          <w:rFonts w:cs="Times New Roman"/>
          <w:b/>
          <w:szCs w:val="24"/>
          <w:u w:val="single"/>
        </w:rPr>
        <w:t xml:space="preserve"> Actions Addressing Off-Site Contamination</w:t>
      </w:r>
      <w:r w:rsidR="00C06537">
        <w:rPr>
          <w:rFonts w:cs="Times New Roman"/>
          <w:b/>
          <w:szCs w:val="24"/>
          <w:u w:val="single"/>
        </w:rPr>
        <w:t xml:space="preserve"> </w:t>
      </w:r>
      <w:proofErr w:type="gramStart"/>
      <w:r w:rsidR="00C06537">
        <w:rPr>
          <w:rFonts w:cs="Times New Roman"/>
          <w:b/>
          <w:szCs w:val="24"/>
          <w:u w:val="single"/>
        </w:rPr>
        <w:t>-</w:t>
      </w:r>
      <w:r w:rsidR="00E02184" w:rsidRPr="00AF252F">
        <w:rPr>
          <w:rFonts w:cs="Times New Roman"/>
          <w:b/>
          <w:szCs w:val="24"/>
        </w:rPr>
        <w:t xml:space="preserve"> </w:t>
      </w:r>
      <w:r w:rsidR="00943CBE">
        <w:rPr>
          <w:rFonts w:cs="Times New Roman"/>
          <w:b/>
          <w:szCs w:val="24"/>
        </w:rPr>
        <w:t xml:space="preserve"> </w:t>
      </w:r>
      <w:r w:rsidR="008179A2" w:rsidRPr="00AF252F">
        <w:rPr>
          <w:rFonts w:cs="Times New Roman"/>
          <w:bCs/>
          <w:szCs w:val="24"/>
        </w:rPr>
        <w:t>It</w:t>
      </w:r>
      <w:proofErr w:type="gramEnd"/>
      <w:r w:rsidR="008179A2" w:rsidRPr="00AF252F">
        <w:rPr>
          <w:rFonts w:cs="Times New Roman"/>
          <w:bCs/>
          <w:szCs w:val="24"/>
        </w:rPr>
        <w:t xml:space="preserve"> makes sense that a Volunteer must include actions which would eliminate or mitigate any on-site “public health exposures”</w:t>
      </w:r>
      <w:r w:rsidR="005B1622">
        <w:rPr>
          <w:rFonts w:cs="Times New Roman"/>
          <w:bCs/>
          <w:szCs w:val="24"/>
        </w:rPr>
        <w:t xml:space="preserve"> as part of a remedy</w:t>
      </w:r>
      <w:r w:rsidR="008179A2" w:rsidRPr="00AF252F">
        <w:rPr>
          <w:rFonts w:cs="Times New Roman"/>
          <w:bCs/>
          <w:szCs w:val="24"/>
        </w:rPr>
        <w:t>.  However, i</w:t>
      </w:r>
      <w:r w:rsidR="000A6262" w:rsidRPr="00AF252F">
        <w:rPr>
          <w:rFonts w:cs="Times New Roman"/>
          <w:bCs/>
          <w:szCs w:val="24"/>
        </w:rPr>
        <w:t xml:space="preserve">t </w:t>
      </w:r>
      <w:r w:rsidR="000E2196" w:rsidRPr="00AF252F">
        <w:rPr>
          <w:rFonts w:cs="Times New Roman"/>
          <w:bCs/>
          <w:szCs w:val="24"/>
        </w:rPr>
        <w:t>is not clear</w:t>
      </w:r>
      <w:r w:rsidR="00EC028C" w:rsidRPr="00AF252F">
        <w:rPr>
          <w:rFonts w:cs="Times New Roman"/>
          <w:bCs/>
          <w:szCs w:val="24"/>
        </w:rPr>
        <w:t xml:space="preserve"> what is meant by the </w:t>
      </w:r>
      <w:r w:rsidRPr="00AF252F">
        <w:rPr>
          <w:rFonts w:cs="Times New Roman"/>
          <w:bCs/>
          <w:szCs w:val="24"/>
        </w:rPr>
        <w:t xml:space="preserve">phrase “environmental exposures” or </w:t>
      </w:r>
      <w:r w:rsidR="000E2196" w:rsidRPr="00AF252F">
        <w:rPr>
          <w:rFonts w:cs="Times New Roman"/>
          <w:bCs/>
          <w:szCs w:val="24"/>
        </w:rPr>
        <w:t xml:space="preserve">by </w:t>
      </w:r>
      <w:r w:rsidRPr="00AF252F">
        <w:rPr>
          <w:rFonts w:cs="Times New Roman"/>
          <w:bCs/>
          <w:szCs w:val="24"/>
        </w:rPr>
        <w:t xml:space="preserve">the </w:t>
      </w:r>
      <w:r w:rsidR="00EC028C" w:rsidRPr="00AF252F">
        <w:rPr>
          <w:rFonts w:cs="Times New Roman"/>
          <w:bCs/>
          <w:szCs w:val="24"/>
        </w:rPr>
        <w:t>proposal that remedial parties</w:t>
      </w:r>
      <w:r w:rsidR="008179A2" w:rsidRPr="00AF252F">
        <w:rPr>
          <w:rFonts w:cs="Times New Roman"/>
          <w:bCs/>
          <w:szCs w:val="24"/>
        </w:rPr>
        <w:t>, including Volunteers,</w:t>
      </w:r>
      <w:r w:rsidR="00EC028C" w:rsidRPr="00AF252F">
        <w:rPr>
          <w:rFonts w:cs="Times New Roman"/>
          <w:bCs/>
          <w:szCs w:val="24"/>
        </w:rPr>
        <w:t xml:space="preserve"> must eliminate </w:t>
      </w:r>
      <w:r w:rsidR="00EC028C" w:rsidRPr="00AF252F">
        <w:rPr>
          <w:rFonts w:cs="Times New Roman"/>
          <w:szCs w:val="24"/>
        </w:rPr>
        <w:t>or</w:t>
      </w:r>
      <w:r w:rsidR="00EC028C" w:rsidRPr="00AF252F">
        <w:rPr>
          <w:rFonts w:cs="Times New Roman"/>
          <w:bCs/>
          <w:szCs w:val="24"/>
        </w:rPr>
        <w:t xml:space="preserve"> mitigate on-site “environmental exposures” attributable to an off-site source of groundwater contamination. </w:t>
      </w:r>
      <w:r w:rsidRPr="00AF252F">
        <w:rPr>
          <w:rFonts w:cs="Times New Roman"/>
          <w:bCs/>
          <w:szCs w:val="24"/>
        </w:rPr>
        <w:t xml:space="preserve"> </w:t>
      </w:r>
      <w:r w:rsidR="00DA648F" w:rsidRPr="00AF252F">
        <w:rPr>
          <w:rFonts w:cs="Times New Roman"/>
          <w:bCs/>
          <w:szCs w:val="24"/>
        </w:rPr>
        <w:t xml:space="preserve">Moreover, </w:t>
      </w:r>
      <w:r w:rsidR="008179A2" w:rsidRPr="00AF252F">
        <w:rPr>
          <w:rFonts w:cs="Times New Roman"/>
          <w:bCs/>
          <w:szCs w:val="24"/>
        </w:rPr>
        <w:t>Volunteer</w:t>
      </w:r>
      <w:r w:rsidR="0012249C" w:rsidRPr="00AF252F">
        <w:rPr>
          <w:rFonts w:cs="Times New Roman"/>
          <w:bCs/>
          <w:szCs w:val="24"/>
        </w:rPr>
        <w:t>s</w:t>
      </w:r>
      <w:r w:rsidR="008179A2" w:rsidRPr="00AF252F">
        <w:rPr>
          <w:rFonts w:cs="Times New Roman"/>
          <w:bCs/>
          <w:szCs w:val="24"/>
        </w:rPr>
        <w:t xml:space="preserve"> </w:t>
      </w:r>
      <w:r w:rsidR="0012249C" w:rsidRPr="00AF252F">
        <w:rPr>
          <w:rFonts w:cs="Times New Roman"/>
          <w:bCs/>
          <w:szCs w:val="24"/>
        </w:rPr>
        <w:t xml:space="preserve">should not be required to </w:t>
      </w:r>
      <w:r w:rsidR="008179A2" w:rsidRPr="00AF252F">
        <w:rPr>
          <w:rFonts w:cs="Times New Roman"/>
          <w:bCs/>
          <w:szCs w:val="24"/>
        </w:rPr>
        <w:t>remediate off-site contamination causing the “environmental exposure”</w:t>
      </w:r>
      <w:r w:rsidR="0022607B" w:rsidRPr="00AF252F">
        <w:rPr>
          <w:rFonts w:cs="Times New Roman"/>
          <w:bCs/>
          <w:szCs w:val="24"/>
        </w:rPr>
        <w:t>,</w:t>
      </w:r>
      <w:r w:rsidR="0012249C" w:rsidRPr="00AF252F">
        <w:rPr>
          <w:rFonts w:cs="Times New Roman"/>
          <w:bCs/>
          <w:szCs w:val="24"/>
        </w:rPr>
        <w:t xml:space="preserve"> since this</w:t>
      </w:r>
      <w:r w:rsidR="008179A2" w:rsidRPr="00AF252F">
        <w:rPr>
          <w:rFonts w:cs="Times New Roman"/>
          <w:bCs/>
          <w:szCs w:val="24"/>
        </w:rPr>
        <w:t xml:space="preserve"> </w:t>
      </w:r>
      <w:r w:rsidR="0066006B" w:rsidRPr="00AF252F">
        <w:rPr>
          <w:rFonts w:cs="Times New Roman"/>
          <w:bCs/>
          <w:szCs w:val="24"/>
        </w:rPr>
        <w:t xml:space="preserve">would contradict </w:t>
      </w:r>
      <w:r w:rsidR="0012249C" w:rsidRPr="00AF252F">
        <w:rPr>
          <w:rFonts w:cs="Times New Roman"/>
          <w:bCs/>
          <w:szCs w:val="24"/>
        </w:rPr>
        <w:t xml:space="preserve">proposed </w:t>
      </w:r>
      <w:r w:rsidR="000A6262" w:rsidRPr="00AF252F">
        <w:rPr>
          <w:rFonts w:cs="Times New Roman"/>
          <w:bCs/>
          <w:szCs w:val="24"/>
        </w:rPr>
        <w:t xml:space="preserve">§ 375-1.8(d)(1)(iii), which </w:t>
      </w:r>
      <w:r w:rsidRPr="00AF252F">
        <w:rPr>
          <w:rFonts w:cs="Times New Roman"/>
          <w:bCs/>
          <w:szCs w:val="24"/>
        </w:rPr>
        <w:t xml:space="preserve">would </w:t>
      </w:r>
      <w:r w:rsidR="000A6262" w:rsidRPr="00AF252F">
        <w:rPr>
          <w:rFonts w:cs="Times New Roman"/>
          <w:bCs/>
          <w:szCs w:val="24"/>
        </w:rPr>
        <w:t>cl</w:t>
      </w:r>
      <w:r w:rsidRPr="00AF252F">
        <w:rPr>
          <w:rFonts w:cs="Times New Roman"/>
          <w:bCs/>
          <w:szCs w:val="24"/>
        </w:rPr>
        <w:t>arify</w:t>
      </w:r>
      <w:r w:rsidR="000A6262" w:rsidRPr="00AF252F">
        <w:rPr>
          <w:rFonts w:cs="Times New Roman"/>
          <w:bCs/>
          <w:szCs w:val="24"/>
        </w:rPr>
        <w:t xml:space="preserve"> that a </w:t>
      </w:r>
      <w:r w:rsidR="0066006B" w:rsidRPr="00AF252F">
        <w:rPr>
          <w:rFonts w:cs="Times New Roman"/>
          <w:bCs/>
          <w:szCs w:val="24"/>
        </w:rPr>
        <w:t>V</w:t>
      </w:r>
      <w:r w:rsidR="000A6262" w:rsidRPr="00AF252F">
        <w:rPr>
          <w:rFonts w:cs="Times New Roman"/>
          <w:bCs/>
          <w:szCs w:val="24"/>
        </w:rPr>
        <w:t xml:space="preserve">olunteer </w:t>
      </w:r>
      <w:r w:rsidR="0066006B" w:rsidRPr="00AF252F">
        <w:rPr>
          <w:rFonts w:cs="Times New Roman"/>
          <w:bCs/>
          <w:szCs w:val="24"/>
        </w:rPr>
        <w:t>is not required to</w:t>
      </w:r>
      <w:r w:rsidR="008179A2" w:rsidRPr="00AF252F">
        <w:rPr>
          <w:rFonts w:cs="Times New Roman"/>
          <w:bCs/>
          <w:szCs w:val="24"/>
        </w:rPr>
        <w:t xml:space="preserve"> address a</w:t>
      </w:r>
      <w:r w:rsidR="00D90267">
        <w:rPr>
          <w:rFonts w:cs="Times New Roman"/>
          <w:bCs/>
          <w:szCs w:val="24"/>
        </w:rPr>
        <w:t>n off-site</w:t>
      </w:r>
      <w:r w:rsidR="008179A2" w:rsidRPr="00AF252F">
        <w:rPr>
          <w:rFonts w:cs="Times New Roman"/>
          <w:bCs/>
          <w:szCs w:val="24"/>
        </w:rPr>
        <w:t xml:space="preserve"> groundwater</w:t>
      </w:r>
      <w:r w:rsidR="000A6262" w:rsidRPr="00AF252F">
        <w:rPr>
          <w:rFonts w:cs="Times New Roman"/>
          <w:bCs/>
          <w:szCs w:val="24"/>
        </w:rPr>
        <w:t xml:space="preserve"> plume </w:t>
      </w:r>
      <w:r w:rsidR="00D90267">
        <w:rPr>
          <w:rFonts w:cs="Times New Roman"/>
          <w:bCs/>
          <w:szCs w:val="24"/>
        </w:rPr>
        <w:t xml:space="preserve">emanating onto </w:t>
      </w:r>
      <w:r w:rsidR="0043575E" w:rsidRPr="00AF252F">
        <w:rPr>
          <w:rFonts w:cs="Times New Roman"/>
          <w:bCs/>
          <w:szCs w:val="24"/>
        </w:rPr>
        <w:t xml:space="preserve">its </w:t>
      </w:r>
      <w:r w:rsidR="000A6262" w:rsidRPr="00AF252F">
        <w:rPr>
          <w:rFonts w:cs="Times New Roman"/>
          <w:bCs/>
          <w:szCs w:val="24"/>
        </w:rPr>
        <w:t>site</w:t>
      </w:r>
      <w:r w:rsidR="00D90267">
        <w:rPr>
          <w:rFonts w:cs="Times New Roman"/>
          <w:bCs/>
          <w:szCs w:val="24"/>
        </w:rPr>
        <w:t xml:space="preserve"> or beyond the borders of its site</w:t>
      </w:r>
      <w:r w:rsidR="00B5026A" w:rsidRPr="00AF252F">
        <w:rPr>
          <w:rFonts w:cs="Times New Roman"/>
          <w:bCs/>
          <w:szCs w:val="24"/>
        </w:rPr>
        <w:t xml:space="preserve">. </w:t>
      </w:r>
      <w:r w:rsidR="0022607B" w:rsidRPr="00AF252F">
        <w:rPr>
          <w:rFonts w:cs="Times New Roman"/>
          <w:bCs/>
          <w:szCs w:val="24"/>
        </w:rPr>
        <w:t xml:space="preserve"> </w:t>
      </w:r>
      <w:r w:rsidR="0099080A">
        <w:rPr>
          <w:rFonts w:cs="Times New Roman"/>
          <w:bCs/>
          <w:szCs w:val="24"/>
        </w:rPr>
        <w:t>Requiring V</w:t>
      </w:r>
      <w:r w:rsidR="00B5026A" w:rsidRPr="00AF252F">
        <w:rPr>
          <w:rFonts w:cs="Times New Roman"/>
          <w:bCs/>
          <w:szCs w:val="24"/>
        </w:rPr>
        <w:t xml:space="preserve">olunteers to address off-site </w:t>
      </w:r>
      <w:r w:rsidR="00DD7698" w:rsidRPr="00AF252F">
        <w:rPr>
          <w:rFonts w:cs="Times New Roman"/>
          <w:bCs/>
          <w:szCs w:val="24"/>
        </w:rPr>
        <w:t>“</w:t>
      </w:r>
      <w:r w:rsidR="00B5026A" w:rsidRPr="00AF252F">
        <w:rPr>
          <w:rFonts w:cs="Times New Roman"/>
          <w:bCs/>
          <w:szCs w:val="24"/>
        </w:rPr>
        <w:t>environmental exposures</w:t>
      </w:r>
      <w:r w:rsidR="00DD7698" w:rsidRPr="00AF252F">
        <w:rPr>
          <w:rFonts w:cs="Times New Roman"/>
          <w:bCs/>
          <w:szCs w:val="24"/>
        </w:rPr>
        <w:t>”</w:t>
      </w:r>
      <w:r w:rsidR="00B5026A" w:rsidRPr="00AF252F">
        <w:rPr>
          <w:rFonts w:cs="Times New Roman"/>
          <w:bCs/>
          <w:szCs w:val="24"/>
        </w:rPr>
        <w:t xml:space="preserve"> </w:t>
      </w:r>
      <w:r w:rsidR="004F4A8C" w:rsidRPr="00AF252F">
        <w:rPr>
          <w:rFonts w:cs="Times New Roman"/>
          <w:bCs/>
          <w:szCs w:val="24"/>
        </w:rPr>
        <w:t>would seem</w:t>
      </w:r>
      <w:r w:rsidR="00DD7698" w:rsidRPr="00AF252F">
        <w:rPr>
          <w:rFonts w:cs="Times New Roman"/>
          <w:bCs/>
          <w:szCs w:val="24"/>
        </w:rPr>
        <w:t xml:space="preserve"> to </w:t>
      </w:r>
      <w:r w:rsidR="0022607B" w:rsidRPr="00AF252F">
        <w:rPr>
          <w:rFonts w:cs="Times New Roman"/>
          <w:bCs/>
          <w:szCs w:val="24"/>
        </w:rPr>
        <w:t>eviscerate</w:t>
      </w:r>
      <w:r w:rsidR="008420E3" w:rsidRPr="00AF252F">
        <w:rPr>
          <w:rFonts w:cs="Times New Roman"/>
          <w:bCs/>
          <w:szCs w:val="24"/>
        </w:rPr>
        <w:t xml:space="preserve"> </w:t>
      </w:r>
      <w:r w:rsidR="004F4A8C" w:rsidRPr="00AF252F">
        <w:rPr>
          <w:rFonts w:cs="Times New Roman"/>
          <w:bCs/>
          <w:szCs w:val="24"/>
        </w:rPr>
        <w:t xml:space="preserve">the </w:t>
      </w:r>
      <w:r w:rsidR="0012249C" w:rsidRPr="00AF252F">
        <w:rPr>
          <w:rFonts w:cs="Times New Roman"/>
          <w:bCs/>
          <w:szCs w:val="24"/>
        </w:rPr>
        <w:t>statut</w:t>
      </w:r>
      <w:r w:rsidR="004F4A8C" w:rsidRPr="00AF252F">
        <w:rPr>
          <w:rFonts w:cs="Times New Roman"/>
          <w:bCs/>
          <w:szCs w:val="24"/>
        </w:rPr>
        <w:t xml:space="preserve">ory protections </w:t>
      </w:r>
      <w:r w:rsidR="00DA648F" w:rsidRPr="00AF252F">
        <w:rPr>
          <w:rFonts w:cs="Times New Roman"/>
          <w:bCs/>
          <w:szCs w:val="24"/>
        </w:rPr>
        <w:t>absolv</w:t>
      </w:r>
      <w:r w:rsidR="008420E3" w:rsidRPr="00AF252F">
        <w:rPr>
          <w:rFonts w:cs="Times New Roman"/>
          <w:bCs/>
          <w:szCs w:val="24"/>
        </w:rPr>
        <w:t>ing</w:t>
      </w:r>
      <w:r w:rsidR="0022607B" w:rsidRPr="00AF252F">
        <w:rPr>
          <w:rFonts w:cs="Times New Roman"/>
          <w:bCs/>
          <w:szCs w:val="24"/>
        </w:rPr>
        <w:t xml:space="preserve"> V</w:t>
      </w:r>
      <w:r w:rsidR="00DA648F" w:rsidRPr="00AF252F">
        <w:rPr>
          <w:rFonts w:cs="Times New Roman"/>
          <w:bCs/>
          <w:szCs w:val="24"/>
        </w:rPr>
        <w:t>olunteers from addressing off-site contamination</w:t>
      </w:r>
      <w:r w:rsidR="000A6262" w:rsidRPr="00AF252F">
        <w:rPr>
          <w:rFonts w:cs="Times New Roman"/>
          <w:bCs/>
          <w:szCs w:val="24"/>
        </w:rPr>
        <w:t xml:space="preserve">. </w:t>
      </w:r>
      <w:r w:rsidR="0022607B" w:rsidRPr="00AF252F">
        <w:rPr>
          <w:rFonts w:cs="Times New Roman"/>
          <w:bCs/>
          <w:szCs w:val="24"/>
        </w:rPr>
        <w:t xml:space="preserve"> </w:t>
      </w:r>
      <w:r w:rsidR="00365ABA" w:rsidRPr="00AF252F">
        <w:rPr>
          <w:rFonts w:cs="Times New Roman"/>
          <w:bCs/>
          <w:szCs w:val="24"/>
        </w:rPr>
        <w:t>As such, th</w:t>
      </w:r>
      <w:r w:rsidR="008420E3" w:rsidRPr="00AF252F">
        <w:rPr>
          <w:rFonts w:cs="Times New Roman"/>
          <w:bCs/>
          <w:szCs w:val="24"/>
        </w:rPr>
        <w:t xml:space="preserve">is proposed section is </w:t>
      </w:r>
      <w:r w:rsidR="008420E3" w:rsidRPr="00D90267">
        <w:rPr>
          <w:rFonts w:cs="Times New Roman"/>
          <w:bCs/>
          <w:i/>
          <w:szCs w:val="24"/>
        </w:rPr>
        <w:t>ultra vires</w:t>
      </w:r>
      <w:r w:rsidR="008420E3" w:rsidRPr="00AF252F">
        <w:rPr>
          <w:rFonts w:cs="Times New Roman"/>
          <w:bCs/>
          <w:szCs w:val="24"/>
        </w:rPr>
        <w:t xml:space="preserve"> and </w:t>
      </w:r>
      <w:r w:rsidR="00830B20" w:rsidRPr="00AF252F">
        <w:rPr>
          <w:rFonts w:cs="Times New Roman"/>
          <w:bCs/>
          <w:szCs w:val="24"/>
        </w:rPr>
        <w:t>should be deleted.</w:t>
      </w:r>
    </w:p>
    <w:p w14:paraId="79AA4A35" w14:textId="77777777" w:rsidR="00AF252F" w:rsidRPr="00AF252F" w:rsidRDefault="00AF252F" w:rsidP="00A5121D">
      <w:pPr>
        <w:pStyle w:val="ListParagraph"/>
        <w:spacing w:after="0"/>
        <w:rPr>
          <w:rFonts w:cs="Times New Roman"/>
          <w:bCs/>
          <w:szCs w:val="24"/>
        </w:rPr>
      </w:pPr>
    </w:p>
    <w:p w14:paraId="121F9441" w14:textId="7D0C6461" w:rsidR="00AF252F" w:rsidRDefault="000A6262" w:rsidP="00A5121D">
      <w:pPr>
        <w:pStyle w:val="ListParagraph"/>
        <w:spacing w:after="0"/>
        <w:ind w:left="1080"/>
        <w:rPr>
          <w:rFonts w:cs="Times New Roman"/>
          <w:bCs/>
          <w:szCs w:val="24"/>
        </w:rPr>
      </w:pPr>
      <w:r w:rsidRPr="00AF252F">
        <w:rPr>
          <w:rFonts w:cs="Times New Roman"/>
          <w:bCs/>
          <w:szCs w:val="24"/>
        </w:rPr>
        <w:t xml:space="preserve">Moreover, the regulations </w:t>
      </w:r>
      <w:r w:rsidR="00F43A67" w:rsidRPr="00AF252F">
        <w:rPr>
          <w:rFonts w:cs="Times New Roman"/>
          <w:bCs/>
          <w:szCs w:val="24"/>
        </w:rPr>
        <w:t xml:space="preserve">in Part 375-1 and/or Part 375-3 should </w:t>
      </w:r>
      <w:r w:rsidRPr="00AF252F">
        <w:rPr>
          <w:rFonts w:cs="Times New Roman"/>
          <w:bCs/>
          <w:szCs w:val="24"/>
        </w:rPr>
        <w:t xml:space="preserve">clarify that </w:t>
      </w:r>
      <w:r w:rsidR="00F43A67" w:rsidRPr="00AF252F">
        <w:rPr>
          <w:rFonts w:cs="Times New Roman"/>
          <w:bCs/>
          <w:szCs w:val="24"/>
        </w:rPr>
        <w:t xml:space="preserve">if </w:t>
      </w:r>
      <w:r w:rsidRPr="00AF252F">
        <w:rPr>
          <w:rFonts w:cs="Times New Roman"/>
          <w:bCs/>
          <w:szCs w:val="24"/>
        </w:rPr>
        <w:t xml:space="preserve">a </w:t>
      </w:r>
      <w:r w:rsidR="00F43A67" w:rsidRPr="00AF252F">
        <w:rPr>
          <w:rFonts w:cs="Times New Roman"/>
          <w:bCs/>
          <w:szCs w:val="24"/>
        </w:rPr>
        <w:t>Volunteer has achieved a T</w:t>
      </w:r>
      <w:r w:rsidRPr="00AF252F">
        <w:rPr>
          <w:rFonts w:cs="Times New Roman"/>
          <w:bCs/>
          <w:szCs w:val="24"/>
        </w:rPr>
        <w:t xml:space="preserve">rack 1 </w:t>
      </w:r>
      <w:r w:rsidR="00F43A67" w:rsidRPr="00AF252F">
        <w:rPr>
          <w:rFonts w:cs="Times New Roman"/>
          <w:bCs/>
          <w:szCs w:val="24"/>
        </w:rPr>
        <w:t>cleanup</w:t>
      </w:r>
      <w:r w:rsidRPr="00AF252F">
        <w:rPr>
          <w:rFonts w:cs="Times New Roman"/>
          <w:bCs/>
          <w:szCs w:val="24"/>
        </w:rPr>
        <w:t xml:space="preserve">, </w:t>
      </w:r>
      <w:r w:rsidR="00F43A67" w:rsidRPr="00AF252F">
        <w:rPr>
          <w:rFonts w:cs="Times New Roman"/>
          <w:bCs/>
          <w:szCs w:val="24"/>
        </w:rPr>
        <w:t xml:space="preserve">that level of cleanup will not be lost </w:t>
      </w:r>
      <w:r w:rsidRPr="00AF252F">
        <w:rPr>
          <w:rFonts w:cs="Times New Roman"/>
          <w:bCs/>
          <w:szCs w:val="24"/>
        </w:rPr>
        <w:t xml:space="preserve">because of </w:t>
      </w:r>
      <w:r w:rsidR="00F43A67" w:rsidRPr="00AF252F">
        <w:rPr>
          <w:rFonts w:cs="Times New Roman"/>
          <w:bCs/>
          <w:szCs w:val="24"/>
        </w:rPr>
        <w:t xml:space="preserve">a </w:t>
      </w:r>
      <w:r w:rsidRPr="00AF252F">
        <w:rPr>
          <w:rFonts w:cs="Times New Roman"/>
          <w:bCs/>
          <w:szCs w:val="24"/>
        </w:rPr>
        <w:t xml:space="preserve">need to mitigate </w:t>
      </w:r>
      <w:r w:rsidR="00D90267">
        <w:rPr>
          <w:rFonts w:cs="Times New Roman"/>
          <w:bCs/>
          <w:szCs w:val="24"/>
        </w:rPr>
        <w:t xml:space="preserve">public health exposures from </w:t>
      </w:r>
      <w:r w:rsidRPr="00AF252F">
        <w:rPr>
          <w:rFonts w:cs="Times New Roman"/>
          <w:bCs/>
          <w:szCs w:val="24"/>
        </w:rPr>
        <w:t xml:space="preserve">off-site </w:t>
      </w:r>
      <w:r w:rsidRPr="00AF252F">
        <w:rPr>
          <w:rFonts w:cs="Times New Roman"/>
          <w:szCs w:val="24"/>
        </w:rPr>
        <w:t>groundwater</w:t>
      </w:r>
      <w:r w:rsidRPr="00AF252F">
        <w:rPr>
          <w:rFonts w:cs="Times New Roman"/>
          <w:bCs/>
          <w:szCs w:val="24"/>
        </w:rPr>
        <w:t xml:space="preserve"> or vapor contamination </w:t>
      </w:r>
      <w:r w:rsidR="00830B20" w:rsidRPr="00AF252F">
        <w:rPr>
          <w:rFonts w:cs="Times New Roman"/>
          <w:bCs/>
          <w:szCs w:val="24"/>
        </w:rPr>
        <w:t xml:space="preserve">migrating onto </w:t>
      </w:r>
      <w:r w:rsidR="00F43A67" w:rsidRPr="00AF252F">
        <w:rPr>
          <w:rFonts w:cs="Times New Roman"/>
          <w:bCs/>
          <w:szCs w:val="24"/>
        </w:rPr>
        <w:t xml:space="preserve">the </w:t>
      </w:r>
      <w:r w:rsidR="00830B20" w:rsidRPr="00AF252F">
        <w:rPr>
          <w:rFonts w:cs="Times New Roman"/>
          <w:bCs/>
          <w:szCs w:val="24"/>
        </w:rPr>
        <w:t>BCP site</w:t>
      </w:r>
      <w:r w:rsidRPr="00AF252F">
        <w:rPr>
          <w:rFonts w:cs="Times New Roman"/>
          <w:bCs/>
          <w:szCs w:val="24"/>
        </w:rPr>
        <w:t xml:space="preserve">.  </w:t>
      </w:r>
      <w:r w:rsidR="00F43A67" w:rsidRPr="00AF252F">
        <w:rPr>
          <w:rFonts w:cs="Times New Roman"/>
          <w:bCs/>
          <w:szCs w:val="24"/>
        </w:rPr>
        <w:t>Such a result would be unjust, and parties would be</w:t>
      </w:r>
      <w:r w:rsidR="005B1622">
        <w:rPr>
          <w:rFonts w:cs="Times New Roman"/>
          <w:bCs/>
          <w:szCs w:val="24"/>
        </w:rPr>
        <w:t xml:space="preserve"> </w:t>
      </w:r>
      <w:r w:rsidR="00F43A67" w:rsidRPr="00AF252F">
        <w:rPr>
          <w:rFonts w:cs="Times New Roman"/>
          <w:bCs/>
          <w:szCs w:val="24"/>
        </w:rPr>
        <w:t>disincentivized</w:t>
      </w:r>
      <w:r w:rsidRPr="00AF252F">
        <w:rPr>
          <w:rFonts w:cs="Times New Roman"/>
          <w:bCs/>
          <w:szCs w:val="24"/>
        </w:rPr>
        <w:t xml:space="preserve"> from attempting to achieve </w:t>
      </w:r>
      <w:r w:rsidR="00F43A67" w:rsidRPr="00AF252F">
        <w:rPr>
          <w:rFonts w:cs="Times New Roman"/>
          <w:bCs/>
          <w:szCs w:val="24"/>
        </w:rPr>
        <w:t>T</w:t>
      </w:r>
      <w:r w:rsidRPr="00AF252F">
        <w:rPr>
          <w:rFonts w:cs="Times New Roman"/>
          <w:bCs/>
          <w:szCs w:val="24"/>
        </w:rPr>
        <w:t xml:space="preserve">rack 1 </w:t>
      </w:r>
      <w:r w:rsidR="00F43A67" w:rsidRPr="00AF252F">
        <w:rPr>
          <w:rFonts w:cs="Times New Roman"/>
          <w:bCs/>
          <w:szCs w:val="24"/>
        </w:rPr>
        <w:t xml:space="preserve">cleanups. </w:t>
      </w:r>
    </w:p>
    <w:p w14:paraId="02598DDA" w14:textId="297DCD26" w:rsidR="00AF252F" w:rsidRDefault="00AF252F" w:rsidP="00A5121D">
      <w:pPr>
        <w:spacing w:after="0"/>
        <w:rPr>
          <w:rFonts w:cs="Times New Roman"/>
          <w:bCs/>
          <w:szCs w:val="24"/>
        </w:rPr>
      </w:pPr>
    </w:p>
    <w:p w14:paraId="1B4D9610" w14:textId="42166626" w:rsidR="00AF252F" w:rsidRDefault="0057336A" w:rsidP="00A5121D">
      <w:pPr>
        <w:pStyle w:val="ListParagraph"/>
        <w:numPr>
          <w:ilvl w:val="0"/>
          <w:numId w:val="17"/>
        </w:numPr>
        <w:spacing w:after="0"/>
        <w:rPr>
          <w:rFonts w:cs="Times New Roman"/>
          <w:szCs w:val="24"/>
        </w:rPr>
      </w:pPr>
      <w:r w:rsidRPr="00AF252F">
        <w:rPr>
          <w:rFonts w:cs="Times New Roman"/>
          <w:b/>
          <w:szCs w:val="24"/>
          <w:u w:val="single"/>
        </w:rPr>
        <w:t>§ 375-1.8(g)(2)(</w:t>
      </w:r>
      <w:proofErr w:type="spellStart"/>
      <w:r w:rsidRPr="00AF252F">
        <w:rPr>
          <w:rFonts w:cs="Times New Roman"/>
          <w:b/>
          <w:szCs w:val="24"/>
          <w:u w:val="single"/>
        </w:rPr>
        <w:t>i</w:t>
      </w:r>
      <w:proofErr w:type="spellEnd"/>
      <w:r w:rsidRPr="00AF252F">
        <w:rPr>
          <w:rFonts w:cs="Times New Roman"/>
          <w:b/>
          <w:szCs w:val="24"/>
          <w:u w:val="single"/>
        </w:rPr>
        <w:t>) and § 375-2.8(f): Use of Institutional or Engineering Controls at Residential Use Sites</w:t>
      </w:r>
      <w:r w:rsidR="00C06537">
        <w:rPr>
          <w:rFonts w:cs="Times New Roman"/>
          <w:b/>
          <w:szCs w:val="24"/>
          <w:u w:val="single"/>
        </w:rPr>
        <w:t xml:space="preserve"> -</w:t>
      </w:r>
      <w:r w:rsidR="00AF252F" w:rsidRPr="00AF252F">
        <w:rPr>
          <w:rFonts w:cs="Times New Roman"/>
          <w:bCs/>
          <w:szCs w:val="24"/>
        </w:rPr>
        <w:t xml:space="preserve">  </w:t>
      </w:r>
      <w:r w:rsidRPr="00AF252F">
        <w:rPr>
          <w:rFonts w:cs="Times New Roman"/>
          <w:szCs w:val="24"/>
        </w:rPr>
        <w:t xml:space="preserve">These proposals </w:t>
      </w:r>
      <w:r w:rsidR="00B26BAF" w:rsidRPr="00AF252F">
        <w:rPr>
          <w:rFonts w:cs="Times New Roman"/>
          <w:szCs w:val="24"/>
        </w:rPr>
        <w:t xml:space="preserve">together </w:t>
      </w:r>
      <w:r w:rsidRPr="00AF252F">
        <w:rPr>
          <w:rFonts w:cs="Times New Roman"/>
          <w:szCs w:val="24"/>
        </w:rPr>
        <w:t>provide that at residential use sites, groundwater use may be restricted but no institutional or engineering controls are allowed relative to applicable soil cleanup objectives (“SCOs”), except “in</w:t>
      </w:r>
      <w:r w:rsidR="00787811" w:rsidRPr="00AF252F">
        <w:rPr>
          <w:rFonts w:cs="Times New Roman"/>
          <w:szCs w:val="24"/>
        </w:rPr>
        <w:t xml:space="preserve"> limited instances where the d</w:t>
      </w:r>
      <w:r w:rsidRPr="00AF252F">
        <w:rPr>
          <w:rFonts w:cs="Times New Roman"/>
          <w:szCs w:val="24"/>
        </w:rPr>
        <w:t xml:space="preserve">epartment determines the remediation is not technically feasible or the remedial benefit is outweighed by other factors”. </w:t>
      </w:r>
    </w:p>
    <w:p w14:paraId="355FBCC1" w14:textId="77777777" w:rsidR="00AF252F" w:rsidRDefault="0057336A" w:rsidP="00A5121D">
      <w:pPr>
        <w:pStyle w:val="ListParagraph"/>
        <w:spacing w:after="0"/>
        <w:ind w:left="1080"/>
        <w:rPr>
          <w:rFonts w:cs="Times New Roman"/>
          <w:szCs w:val="24"/>
        </w:rPr>
      </w:pPr>
      <w:r w:rsidRPr="00AF252F">
        <w:rPr>
          <w:rFonts w:cs="Times New Roman"/>
          <w:szCs w:val="24"/>
        </w:rPr>
        <w:t xml:space="preserve">These proposals appear to contradict the proposal in § 375-3.8(e)(2)(iii), which would give the Department discretion for all Track 2 cleanups </w:t>
      </w:r>
      <w:r w:rsidR="00B26BAF" w:rsidRPr="00AF252F">
        <w:rPr>
          <w:rFonts w:cs="Times New Roman"/>
          <w:szCs w:val="24"/>
        </w:rPr>
        <w:t>“</w:t>
      </w:r>
      <w:r w:rsidRPr="00AF252F">
        <w:rPr>
          <w:rFonts w:cs="Times New Roman"/>
          <w:bCs/>
          <w:i/>
          <w:iCs/>
          <w:szCs w:val="24"/>
        </w:rPr>
        <w:t xml:space="preserve">other than </w:t>
      </w:r>
      <w:r w:rsidRPr="00AF252F">
        <w:rPr>
          <w:rFonts w:cs="Times New Roman"/>
          <w:szCs w:val="24"/>
        </w:rPr>
        <w:t>Residential</w:t>
      </w:r>
      <w:r w:rsidR="00B26BAF" w:rsidRPr="00AF252F">
        <w:rPr>
          <w:rFonts w:cs="Times New Roman"/>
          <w:bCs/>
          <w:iCs/>
          <w:szCs w:val="24"/>
        </w:rPr>
        <w:t>” (emphasis added)</w:t>
      </w:r>
      <w:r w:rsidRPr="00AF252F">
        <w:rPr>
          <w:rFonts w:cs="Times New Roman"/>
          <w:szCs w:val="24"/>
        </w:rPr>
        <w:t xml:space="preserve">, to allow contamination below 15 feet at levels exceeding the protection of groundwater SCOs if the contamination is being addressed by an on-going groundwater remedy.  </w:t>
      </w:r>
    </w:p>
    <w:p w14:paraId="066A5120" w14:textId="77777777" w:rsidR="00AF252F" w:rsidRDefault="00AF252F" w:rsidP="00A5121D">
      <w:pPr>
        <w:pStyle w:val="ListParagraph"/>
        <w:spacing w:after="0"/>
        <w:ind w:left="1080"/>
        <w:rPr>
          <w:rFonts w:cs="Times New Roman"/>
          <w:szCs w:val="24"/>
        </w:rPr>
      </w:pPr>
    </w:p>
    <w:p w14:paraId="45F9DE70" w14:textId="34D910E8" w:rsidR="0057336A" w:rsidRPr="00DC1D53" w:rsidRDefault="0057336A" w:rsidP="00A5121D">
      <w:pPr>
        <w:pStyle w:val="ListParagraph"/>
        <w:spacing w:after="0"/>
        <w:ind w:left="1080"/>
        <w:rPr>
          <w:rFonts w:cs="Times New Roman"/>
          <w:szCs w:val="24"/>
        </w:rPr>
      </w:pPr>
      <w:r>
        <w:rPr>
          <w:rFonts w:cs="Times New Roman"/>
          <w:bCs/>
          <w:szCs w:val="24"/>
        </w:rPr>
        <w:lastRenderedPageBreak/>
        <w:t>I</w:t>
      </w:r>
      <w:r w:rsidRPr="00DC1D53">
        <w:rPr>
          <w:rFonts w:cs="Times New Roman"/>
          <w:bCs/>
          <w:szCs w:val="24"/>
        </w:rPr>
        <w:t xml:space="preserve">t is unclear if the inconsistencies </w:t>
      </w:r>
      <w:r>
        <w:rPr>
          <w:rFonts w:cs="Times New Roman"/>
          <w:bCs/>
          <w:szCs w:val="24"/>
        </w:rPr>
        <w:t xml:space="preserve">described above </w:t>
      </w:r>
      <w:r w:rsidR="0043575E">
        <w:rPr>
          <w:rFonts w:cs="Times New Roman"/>
          <w:bCs/>
          <w:szCs w:val="24"/>
        </w:rPr>
        <w:t>a</w:t>
      </w:r>
      <w:r w:rsidRPr="00DC1D53">
        <w:rPr>
          <w:rFonts w:cs="Times New Roman"/>
          <w:bCs/>
          <w:szCs w:val="24"/>
        </w:rPr>
        <w:t>re intentional</w:t>
      </w:r>
      <w:r>
        <w:rPr>
          <w:rFonts w:cs="Times New Roman"/>
          <w:bCs/>
          <w:szCs w:val="24"/>
        </w:rPr>
        <w:t xml:space="preserve">.  We recommend </w:t>
      </w:r>
      <w:r w:rsidR="00B26BAF">
        <w:rPr>
          <w:rFonts w:cs="Times New Roman"/>
          <w:bCs/>
          <w:szCs w:val="24"/>
        </w:rPr>
        <w:t>that the Department strike “other than Residential” from proposed § 375-3.8(e)(2)(iii)</w:t>
      </w:r>
      <w:r>
        <w:rPr>
          <w:rFonts w:cs="Times New Roman"/>
          <w:bCs/>
          <w:szCs w:val="24"/>
        </w:rPr>
        <w:t>.</w:t>
      </w:r>
    </w:p>
    <w:p w14:paraId="1F414685" w14:textId="7A905A3E" w:rsidR="00E02184" w:rsidRDefault="00E02184" w:rsidP="00A5121D">
      <w:pPr>
        <w:spacing w:after="0"/>
        <w:rPr>
          <w:rFonts w:cs="Times New Roman"/>
          <w:szCs w:val="24"/>
        </w:rPr>
      </w:pPr>
    </w:p>
    <w:p w14:paraId="2D7E60EC" w14:textId="537B20F4" w:rsidR="008942B9" w:rsidRDefault="000C7E12" w:rsidP="00A5121D">
      <w:pPr>
        <w:pStyle w:val="ListParagraph"/>
        <w:numPr>
          <w:ilvl w:val="0"/>
          <w:numId w:val="17"/>
        </w:numPr>
        <w:spacing w:after="0"/>
        <w:rPr>
          <w:rFonts w:cs="Times New Roman"/>
          <w:bCs/>
          <w:szCs w:val="24"/>
        </w:rPr>
      </w:pPr>
      <w:r w:rsidRPr="007F1CD2">
        <w:rPr>
          <w:rFonts w:cs="Times New Roman"/>
          <w:b/>
          <w:szCs w:val="24"/>
          <w:u w:val="single"/>
        </w:rPr>
        <w:t xml:space="preserve">§ </w:t>
      </w:r>
      <w:r w:rsidR="00B47CA7" w:rsidRPr="007F1CD2">
        <w:rPr>
          <w:rFonts w:cs="Times New Roman"/>
          <w:b/>
          <w:szCs w:val="24"/>
          <w:u w:val="single"/>
        </w:rPr>
        <w:t>375-1.8(g)</w:t>
      </w:r>
      <w:r w:rsidR="0057336A" w:rsidRPr="007F1CD2">
        <w:rPr>
          <w:rFonts w:cs="Times New Roman"/>
          <w:b/>
          <w:szCs w:val="24"/>
          <w:u w:val="single"/>
        </w:rPr>
        <w:t>(2)</w:t>
      </w:r>
      <w:r w:rsidR="00B47CA7" w:rsidRPr="007F1CD2">
        <w:rPr>
          <w:rFonts w:cs="Times New Roman"/>
          <w:b/>
          <w:szCs w:val="24"/>
          <w:u w:val="single"/>
        </w:rPr>
        <w:t xml:space="preserve">(ii): </w:t>
      </w:r>
      <w:r w:rsidR="001142E8" w:rsidRPr="007F1CD2">
        <w:rPr>
          <w:rFonts w:cs="Times New Roman"/>
          <w:b/>
          <w:szCs w:val="24"/>
          <w:u w:val="single"/>
        </w:rPr>
        <w:t>Describing “Restricted-residential use”</w:t>
      </w:r>
      <w:r w:rsidR="00C06537">
        <w:rPr>
          <w:rFonts w:cs="Times New Roman"/>
          <w:b/>
          <w:szCs w:val="24"/>
          <w:u w:val="single"/>
        </w:rPr>
        <w:t xml:space="preserve"> </w:t>
      </w:r>
      <w:proofErr w:type="gramStart"/>
      <w:r w:rsidR="00C06537">
        <w:rPr>
          <w:rFonts w:cs="Times New Roman"/>
          <w:b/>
          <w:szCs w:val="24"/>
          <w:u w:val="single"/>
        </w:rPr>
        <w:t>-</w:t>
      </w:r>
      <w:r w:rsidR="001142E8" w:rsidRPr="007F1CD2">
        <w:rPr>
          <w:rFonts w:cs="Times New Roman"/>
          <w:szCs w:val="24"/>
        </w:rPr>
        <w:t xml:space="preserve"> </w:t>
      </w:r>
      <w:r w:rsidR="00943CBE">
        <w:rPr>
          <w:rFonts w:cs="Times New Roman"/>
          <w:szCs w:val="24"/>
        </w:rPr>
        <w:t xml:space="preserve"> </w:t>
      </w:r>
      <w:r w:rsidR="00F1379B" w:rsidRPr="007F1CD2">
        <w:rPr>
          <w:rFonts w:cs="Times New Roman"/>
          <w:szCs w:val="24"/>
        </w:rPr>
        <w:t>We</w:t>
      </w:r>
      <w:proofErr w:type="gramEnd"/>
      <w:r w:rsidR="00F1379B" w:rsidRPr="007F1CD2">
        <w:rPr>
          <w:rFonts w:cs="Times New Roman"/>
          <w:szCs w:val="24"/>
        </w:rPr>
        <w:t xml:space="preserve"> support </w:t>
      </w:r>
      <w:r w:rsidR="00D90267">
        <w:rPr>
          <w:rFonts w:cs="Times New Roman"/>
          <w:szCs w:val="24"/>
        </w:rPr>
        <w:t xml:space="preserve">the concept of </w:t>
      </w:r>
      <w:r w:rsidR="00F1379B" w:rsidRPr="007F1CD2">
        <w:rPr>
          <w:rFonts w:cs="Times New Roman"/>
          <w:szCs w:val="24"/>
        </w:rPr>
        <w:t xml:space="preserve">this proposal to clarify that restricted residential uses prohibit single-family housing unless the land is commonly owned in perpetuity.  However, we note that some Tax Law </w:t>
      </w:r>
      <w:r w:rsidR="00F1379B" w:rsidRPr="007F1CD2">
        <w:rPr>
          <w:rFonts w:cs="Times New Roman"/>
          <w:bCs/>
          <w:szCs w:val="24"/>
        </w:rPr>
        <w:t>amendments ma</w:t>
      </w:r>
      <w:r w:rsidR="00B26BAF" w:rsidRPr="007F1CD2">
        <w:rPr>
          <w:rFonts w:cs="Times New Roman"/>
          <w:bCs/>
          <w:szCs w:val="24"/>
        </w:rPr>
        <w:t xml:space="preserve">y be needed </w:t>
      </w:r>
      <w:proofErr w:type="gramStart"/>
      <w:r w:rsidR="00B26BAF" w:rsidRPr="007F1CD2">
        <w:rPr>
          <w:rFonts w:cs="Times New Roman"/>
          <w:bCs/>
          <w:szCs w:val="24"/>
        </w:rPr>
        <w:t>in order for</w:t>
      </w:r>
      <w:proofErr w:type="gramEnd"/>
      <w:r w:rsidR="00B26BAF" w:rsidRPr="007F1CD2">
        <w:rPr>
          <w:rFonts w:cs="Times New Roman"/>
          <w:bCs/>
          <w:szCs w:val="24"/>
        </w:rPr>
        <w:t xml:space="preserve"> single-</w:t>
      </w:r>
      <w:r w:rsidR="00F1379B" w:rsidRPr="007F1CD2">
        <w:rPr>
          <w:rFonts w:cs="Times New Roman"/>
          <w:bCs/>
          <w:szCs w:val="24"/>
        </w:rPr>
        <w:t>family projects to take advantage of associated tax credits</w:t>
      </w:r>
      <w:r w:rsidR="00D90267">
        <w:rPr>
          <w:rFonts w:cs="Times New Roman"/>
          <w:bCs/>
          <w:szCs w:val="24"/>
        </w:rPr>
        <w:t xml:space="preserve"> </w:t>
      </w:r>
      <w:r w:rsidR="00D90267" w:rsidRPr="00BB4F59">
        <w:rPr>
          <w:rFonts w:cs="Times New Roman"/>
          <w:bCs/>
          <w:szCs w:val="24"/>
        </w:rPr>
        <w:t>and clarification of the “common ownership in perpetuity” requirement is required.  If a “horizontal” condominium for single-family homes is the concept that was contemplated by this phrase, it is unclear what type of real property interest must be held in common for perpetuity</w:t>
      </w:r>
      <w:r w:rsidR="00D90267">
        <w:rPr>
          <w:rFonts w:cs="Times New Roman"/>
          <w:bCs/>
          <w:szCs w:val="24"/>
        </w:rPr>
        <w:t xml:space="preserve">, e.g. would a </w:t>
      </w:r>
      <w:r w:rsidR="00D90267" w:rsidRPr="00BB4F59">
        <w:rPr>
          <w:rFonts w:cs="Times New Roman"/>
          <w:bCs/>
          <w:szCs w:val="24"/>
        </w:rPr>
        <w:t xml:space="preserve">fee title </w:t>
      </w:r>
      <w:r w:rsidR="00D90267">
        <w:rPr>
          <w:rFonts w:cs="Times New Roman"/>
          <w:bCs/>
          <w:szCs w:val="24"/>
        </w:rPr>
        <w:t xml:space="preserve">be required </w:t>
      </w:r>
      <w:r w:rsidR="00D90267" w:rsidRPr="00BB4F59">
        <w:rPr>
          <w:rFonts w:cs="Times New Roman"/>
          <w:bCs/>
          <w:szCs w:val="24"/>
        </w:rPr>
        <w:t xml:space="preserve">or would a perpetual tenancy in common </w:t>
      </w:r>
      <w:r w:rsidR="00D90267">
        <w:rPr>
          <w:rFonts w:cs="Times New Roman"/>
          <w:bCs/>
          <w:szCs w:val="24"/>
        </w:rPr>
        <w:t>suffice</w:t>
      </w:r>
      <w:r w:rsidR="00D90267" w:rsidRPr="00BB4F59">
        <w:rPr>
          <w:rFonts w:cs="Times New Roman"/>
          <w:bCs/>
          <w:szCs w:val="24"/>
        </w:rPr>
        <w:t>?  Alternatively, woul</w:t>
      </w:r>
      <w:r w:rsidR="006869E0">
        <w:rPr>
          <w:rFonts w:cs="Times New Roman"/>
          <w:bCs/>
          <w:szCs w:val="24"/>
        </w:rPr>
        <w:t>d an indefeasible and perpetual</w:t>
      </w:r>
      <w:r w:rsidR="00D90267" w:rsidRPr="00BB4F59">
        <w:rPr>
          <w:rFonts w:cs="Times New Roman"/>
          <w:bCs/>
          <w:szCs w:val="24"/>
        </w:rPr>
        <w:t xml:space="preserve"> fee title ownership of the land be require</w:t>
      </w:r>
      <w:r w:rsidR="00D90267">
        <w:rPr>
          <w:rFonts w:cs="Times New Roman"/>
          <w:bCs/>
          <w:szCs w:val="24"/>
        </w:rPr>
        <w:t>d</w:t>
      </w:r>
      <w:r w:rsidR="00D90267" w:rsidRPr="00BB4F59">
        <w:rPr>
          <w:rFonts w:cs="Times New Roman"/>
          <w:bCs/>
          <w:szCs w:val="24"/>
        </w:rPr>
        <w:t xml:space="preserve"> by a “common owner”? </w:t>
      </w:r>
      <w:r w:rsidR="006869E0">
        <w:rPr>
          <w:rFonts w:cs="Times New Roman"/>
          <w:bCs/>
          <w:szCs w:val="24"/>
        </w:rPr>
        <w:t xml:space="preserve"> </w:t>
      </w:r>
      <w:r w:rsidR="00D90267" w:rsidRPr="00BB4F59">
        <w:rPr>
          <w:rFonts w:cs="Times New Roman"/>
          <w:bCs/>
          <w:szCs w:val="24"/>
        </w:rPr>
        <w:t>If so, what property interest would the single-family-home owner</w:t>
      </w:r>
      <w:r w:rsidR="006869E0">
        <w:rPr>
          <w:rFonts w:cs="Times New Roman"/>
          <w:bCs/>
          <w:szCs w:val="24"/>
        </w:rPr>
        <w:t xml:space="preserve">’s interest have in the land?  </w:t>
      </w:r>
      <w:r w:rsidR="00D90267" w:rsidRPr="00BB4F59">
        <w:rPr>
          <w:rFonts w:cs="Times New Roman"/>
          <w:bCs/>
          <w:szCs w:val="24"/>
        </w:rPr>
        <w:t xml:space="preserve">EELS is willing to work with the Department </w:t>
      </w:r>
      <w:proofErr w:type="gramStart"/>
      <w:r w:rsidR="00D90267" w:rsidRPr="00BB4F59">
        <w:rPr>
          <w:rFonts w:cs="Times New Roman"/>
          <w:bCs/>
          <w:szCs w:val="24"/>
        </w:rPr>
        <w:t>to  flesh</w:t>
      </w:r>
      <w:proofErr w:type="gramEnd"/>
      <w:r w:rsidR="00D90267" w:rsidRPr="00BB4F59">
        <w:rPr>
          <w:rFonts w:cs="Times New Roman"/>
          <w:bCs/>
          <w:szCs w:val="24"/>
        </w:rPr>
        <w:t xml:space="preserve"> out the details needed to make this new positive comment work effectively</w:t>
      </w:r>
      <w:r w:rsidR="00F1379B" w:rsidRPr="007F1CD2">
        <w:rPr>
          <w:rFonts w:cs="Times New Roman"/>
          <w:bCs/>
          <w:szCs w:val="24"/>
        </w:rPr>
        <w:t>.</w:t>
      </w:r>
    </w:p>
    <w:p w14:paraId="781300AB" w14:textId="1B8A00FD" w:rsidR="007F1CD2" w:rsidRDefault="007F1CD2" w:rsidP="00A5121D">
      <w:pPr>
        <w:pStyle w:val="ListParagraph"/>
        <w:spacing w:after="0"/>
        <w:ind w:left="1080"/>
        <w:rPr>
          <w:rFonts w:cs="Times New Roman"/>
          <w:bCs/>
          <w:szCs w:val="24"/>
        </w:rPr>
      </w:pPr>
    </w:p>
    <w:p w14:paraId="0AEED425" w14:textId="0BAB5888" w:rsidR="008F41EA" w:rsidRPr="00334C1F" w:rsidRDefault="008F41EA" w:rsidP="00A5121D">
      <w:pPr>
        <w:pStyle w:val="ListParagraph"/>
        <w:numPr>
          <w:ilvl w:val="0"/>
          <w:numId w:val="17"/>
        </w:numPr>
        <w:spacing w:after="0"/>
        <w:rPr>
          <w:rFonts w:cs="Times New Roman"/>
          <w:b/>
          <w:szCs w:val="24"/>
        </w:rPr>
      </w:pPr>
      <w:r w:rsidRPr="00943CBE">
        <w:rPr>
          <w:rFonts w:cs="Times New Roman"/>
          <w:b/>
          <w:szCs w:val="24"/>
          <w:u w:val="single"/>
        </w:rPr>
        <w:t>§ 375-1.8(g)(6)</w:t>
      </w:r>
      <w:r w:rsidR="00943CBE">
        <w:rPr>
          <w:rFonts w:cs="Times New Roman"/>
          <w:b/>
          <w:szCs w:val="24"/>
          <w:u w:val="single"/>
        </w:rPr>
        <w:t>:</w:t>
      </w:r>
      <w:r w:rsidRPr="00943CBE">
        <w:rPr>
          <w:rFonts w:cs="Times New Roman"/>
          <w:b/>
          <w:szCs w:val="24"/>
          <w:u w:val="single"/>
        </w:rPr>
        <w:t xml:space="preserve"> </w:t>
      </w:r>
      <w:r w:rsidRPr="00943CBE">
        <w:rPr>
          <w:b/>
          <w:u w:val="single"/>
        </w:rPr>
        <w:t>Department</w:t>
      </w:r>
      <w:r w:rsidRPr="00943CBE">
        <w:rPr>
          <w:rFonts w:cs="Times New Roman"/>
          <w:b/>
          <w:szCs w:val="24"/>
          <w:u w:val="single"/>
        </w:rPr>
        <w:t xml:space="preserve"> Determination of Appropriate Land Use</w:t>
      </w:r>
      <w:r w:rsidR="00DA03C9" w:rsidRPr="00943CBE">
        <w:rPr>
          <w:rFonts w:cs="Times New Roman"/>
          <w:b/>
          <w:szCs w:val="24"/>
          <w:u w:val="single"/>
        </w:rPr>
        <w:t xml:space="preserve"> </w:t>
      </w:r>
      <w:proofErr w:type="gramStart"/>
      <w:r w:rsidR="00DA03C9" w:rsidRPr="00943CBE">
        <w:rPr>
          <w:rFonts w:cs="Times New Roman"/>
          <w:b/>
          <w:szCs w:val="24"/>
          <w:u w:val="single"/>
        </w:rPr>
        <w:t>-</w:t>
      </w:r>
      <w:r w:rsidR="00DA03C9">
        <w:rPr>
          <w:rFonts w:cs="Times New Roman"/>
          <w:b/>
          <w:szCs w:val="24"/>
        </w:rPr>
        <w:t xml:space="preserve"> </w:t>
      </w:r>
      <w:r w:rsidR="00943CBE">
        <w:rPr>
          <w:rFonts w:cs="Times New Roman"/>
          <w:b/>
          <w:szCs w:val="24"/>
        </w:rPr>
        <w:t xml:space="preserve"> </w:t>
      </w:r>
      <w:r w:rsidRPr="00DA03C9">
        <w:rPr>
          <w:rFonts w:cs="Times New Roman"/>
          <w:bCs/>
          <w:szCs w:val="24"/>
        </w:rPr>
        <w:t>We</w:t>
      </w:r>
      <w:proofErr w:type="gramEnd"/>
      <w:r w:rsidRPr="00DA03C9">
        <w:rPr>
          <w:rFonts w:cs="Times New Roman"/>
          <w:bCs/>
          <w:szCs w:val="24"/>
        </w:rPr>
        <w:t xml:space="preserve"> object to the proposed amendment to the extent that it would give the Department the authority to determine the appropriate land use category for a site. And therefore, the proposed change should not be made.</w:t>
      </w:r>
    </w:p>
    <w:p w14:paraId="59981D70" w14:textId="5A33EE1F" w:rsidR="00585890" w:rsidRDefault="00585890" w:rsidP="00A5121D">
      <w:pPr>
        <w:pStyle w:val="ListParagraph"/>
        <w:spacing w:after="0"/>
        <w:ind w:left="1080"/>
        <w:rPr>
          <w:rFonts w:cs="Times New Roman"/>
          <w:bCs/>
          <w:szCs w:val="24"/>
        </w:rPr>
      </w:pPr>
    </w:p>
    <w:p w14:paraId="76F7BDB9" w14:textId="472FE569" w:rsidR="008F41EA" w:rsidRDefault="008F41EA" w:rsidP="00A5121D">
      <w:pPr>
        <w:pStyle w:val="ListParagraph"/>
        <w:numPr>
          <w:ilvl w:val="0"/>
          <w:numId w:val="17"/>
        </w:numPr>
        <w:spacing w:after="0"/>
        <w:rPr>
          <w:rFonts w:cs="Times New Roman"/>
          <w:bCs/>
          <w:szCs w:val="24"/>
        </w:rPr>
      </w:pPr>
      <w:r w:rsidRPr="00943CBE">
        <w:rPr>
          <w:rFonts w:cs="Times New Roman"/>
          <w:b/>
          <w:szCs w:val="24"/>
          <w:u w:val="single"/>
        </w:rPr>
        <w:t>§ 375-1.8(h)(2)(iii)</w:t>
      </w:r>
      <w:r w:rsidR="00943CBE">
        <w:rPr>
          <w:rFonts w:cs="Times New Roman"/>
          <w:bCs/>
          <w:szCs w:val="24"/>
          <w:u w:val="single"/>
        </w:rPr>
        <w:t xml:space="preserve">: </w:t>
      </w:r>
      <w:r w:rsidRPr="00943CBE">
        <w:rPr>
          <w:rFonts w:cs="Times New Roman"/>
          <w:b/>
          <w:bCs/>
          <w:szCs w:val="24"/>
          <w:u w:val="single"/>
        </w:rPr>
        <w:t>Environmental Easement Unnecessary in Some Circumstances</w:t>
      </w:r>
      <w:r w:rsidR="00943CBE">
        <w:rPr>
          <w:rFonts w:cs="Times New Roman"/>
          <w:bCs/>
          <w:szCs w:val="24"/>
          <w:u w:val="single"/>
        </w:rPr>
        <w:t xml:space="preserve"> </w:t>
      </w:r>
      <w:proofErr w:type="gramStart"/>
      <w:r w:rsidR="00943CBE">
        <w:rPr>
          <w:rFonts w:cs="Times New Roman"/>
          <w:bCs/>
          <w:szCs w:val="24"/>
          <w:u w:val="single"/>
        </w:rPr>
        <w:t>-</w:t>
      </w:r>
      <w:r w:rsidRPr="008F41EA">
        <w:rPr>
          <w:rFonts w:cs="Times New Roman"/>
          <w:bCs/>
          <w:szCs w:val="24"/>
        </w:rPr>
        <w:t xml:space="preserve"> </w:t>
      </w:r>
      <w:r w:rsidR="00943CBE">
        <w:rPr>
          <w:rFonts w:cs="Times New Roman"/>
          <w:bCs/>
          <w:szCs w:val="24"/>
        </w:rPr>
        <w:t xml:space="preserve"> </w:t>
      </w:r>
      <w:r w:rsidRPr="008F41EA">
        <w:rPr>
          <w:rFonts w:cs="Times New Roman"/>
          <w:bCs/>
          <w:szCs w:val="24"/>
        </w:rPr>
        <w:t>We</w:t>
      </w:r>
      <w:proofErr w:type="gramEnd"/>
      <w:r w:rsidRPr="008F41EA">
        <w:rPr>
          <w:rFonts w:cs="Times New Roman"/>
          <w:bCs/>
          <w:szCs w:val="24"/>
        </w:rPr>
        <w:t xml:space="preserve"> support the clarification that an environmental easement is not needed where the only restriction imposed by the easement would be a restriction on using groundwater, and there is already a local prohibition in place.</w:t>
      </w:r>
    </w:p>
    <w:p w14:paraId="4DE9D79F" w14:textId="77777777" w:rsidR="008F41EA" w:rsidRDefault="008F41EA" w:rsidP="00A5121D">
      <w:pPr>
        <w:pStyle w:val="ListParagraph"/>
        <w:spacing w:after="0"/>
        <w:ind w:left="1080"/>
        <w:rPr>
          <w:rFonts w:cs="Times New Roman"/>
          <w:bCs/>
          <w:szCs w:val="24"/>
        </w:rPr>
      </w:pPr>
    </w:p>
    <w:p w14:paraId="050A0EAC" w14:textId="025244FF" w:rsidR="002C20D7" w:rsidRDefault="008F41EA" w:rsidP="00A5121D">
      <w:pPr>
        <w:pStyle w:val="ListParagraph"/>
        <w:numPr>
          <w:ilvl w:val="0"/>
          <w:numId w:val="17"/>
        </w:numPr>
        <w:spacing w:after="0"/>
        <w:rPr>
          <w:rFonts w:cs="Times New Roman"/>
          <w:bCs/>
          <w:szCs w:val="24"/>
        </w:rPr>
      </w:pPr>
      <w:r w:rsidRPr="00943CBE">
        <w:rPr>
          <w:rFonts w:cs="Times New Roman"/>
          <w:b/>
          <w:szCs w:val="24"/>
          <w:u w:val="single"/>
        </w:rPr>
        <w:t>§ 375-1.9(e)(1)(iv)</w:t>
      </w:r>
      <w:r w:rsidR="00943CBE">
        <w:rPr>
          <w:rFonts w:cs="Times New Roman"/>
          <w:b/>
          <w:szCs w:val="24"/>
          <w:u w:val="single"/>
        </w:rPr>
        <w:t>:</w:t>
      </w:r>
      <w:r w:rsidRPr="00943CBE">
        <w:rPr>
          <w:rFonts w:cs="Times New Roman"/>
          <w:b/>
          <w:szCs w:val="24"/>
          <w:u w:val="single"/>
        </w:rPr>
        <w:t xml:space="preserve"> Revocation of Certificate of Completion in Some Circumstances</w:t>
      </w:r>
      <w:r w:rsidR="00943CBE">
        <w:rPr>
          <w:rFonts w:cs="Times New Roman"/>
          <w:b/>
          <w:szCs w:val="24"/>
          <w:u w:val="single"/>
        </w:rPr>
        <w:t xml:space="preserve"> </w:t>
      </w:r>
      <w:proofErr w:type="gramStart"/>
      <w:r w:rsidR="00943CBE">
        <w:rPr>
          <w:rFonts w:cs="Times New Roman"/>
          <w:b/>
          <w:szCs w:val="24"/>
          <w:u w:val="single"/>
        </w:rPr>
        <w:t>-</w:t>
      </w:r>
      <w:r w:rsidRPr="008F41EA">
        <w:rPr>
          <w:rFonts w:cs="Times New Roman"/>
          <w:bCs/>
          <w:szCs w:val="24"/>
        </w:rPr>
        <w:t xml:space="preserve"> </w:t>
      </w:r>
      <w:r w:rsidR="00943CBE">
        <w:rPr>
          <w:rFonts w:cs="Times New Roman"/>
          <w:bCs/>
          <w:szCs w:val="24"/>
        </w:rPr>
        <w:t xml:space="preserve"> </w:t>
      </w:r>
      <w:r w:rsidRPr="008F41EA">
        <w:rPr>
          <w:rFonts w:cs="Times New Roman"/>
          <w:bCs/>
          <w:szCs w:val="24"/>
        </w:rPr>
        <w:t>We</w:t>
      </w:r>
      <w:proofErr w:type="gramEnd"/>
      <w:r w:rsidRPr="008F41EA">
        <w:rPr>
          <w:rFonts w:cs="Times New Roman"/>
          <w:bCs/>
          <w:szCs w:val="24"/>
        </w:rPr>
        <w:t xml:space="preserve"> object to this proposal because </w:t>
      </w:r>
      <w:r w:rsidR="006869E0">
        <w:rPr>
          <w:rFonts w:cs="Times New Roman"/>
          <w:bCs/>
          <w:szCs w:val="24"/>
        </w:rPr>
        <w:t xml:space="preserve">it </w:t>
      </w:r>
      <w:r w:rsidRPr="008F41EA">
        <w:rPr>
          <w:rFonts w:cs="Times New Roman"/>
          <w:bCs/>
          <w:szCs w:val="24"/>
        </w:rPr>
        <w:t>exceeds the scope of specific statutory language set forth in the ECL. It is unclear why this regulation is in Part 375-1 (General Remedial Program Requirements) when</w:t>
      </w:r>
      <w:r w:rsidR="00FA37AA">
        <w:rPr>
          <w:rFonts w:cs="Times New Roman"/>
          <w:bCs/>
          <w:szCs w:val="24"/>
        </w:rPr>
        <w:t xml:space="preserve"> t</w:t>
      </w:r>
      <w:r w:rsidR="00FA37AA" w:rsidRPr="00FA37AA">
        <w:rPr>
          <w:rFonts w:cs="Times New Roman"/>
          <w:bCs/>
          <w:szCs w:val="24"/>
        </w:rPr>
        <w:t>he edits are based solely on the BCP tax credits.  Moreover, we recommend that this regulation be deleted since ECL § 27-1419(</w:t>
      </w:r>
      <w:proofErr w:type="gramStart"/>
      <w:r w:rsidR="00FA37AA" w:rsidRPr="00FA37AA">
        <w:rPr>
          <w:rFonts w:cs="Times New Roman"/>
          <w:bCs/>
          <w:szCs w:val="24"/>
        </w:rPr>
        <w:t>5)(</w:t>
      </w:r>
      <w:proofErr w:type="gramEnd"/>
      <w:r w:rsidR="00FA37AA" w:rsidRPr="00FA37AA">
        <w:rPr>
          <w:rFonts w:cs="Times New Roman"/>
          <w:bCs/>
          <w:szCs w:val="24"/>
        </w:rPr>
        <w:t xml:space="preserve">a-d) already provides the grounds for revocation of a COC and includes a catch all “good cause” provision.  This draft regulation goes far beyond the statutory provision specifically in ECL § 27-1419(5)(b), which permits the Department to modify or revoke a certificate of completion (“COC”) if an applicant for a New York City site makes a misrepresentation of a material fact relating to one of the eligibility “gates” pursuant to 27-1407(1-a) for the “tangible property credit component of the brownfield redevelopment tax credit”.  In contrast, the proposed regulation would allow the Department to modify or revoke a COC for any applicant who makes any misrepresentation related to “elements thereof of the brownfield redevelopment tax credit.”  The proposed language suggests that the COC can be revoked based on any disagreement between an applicant and the Department </w:t>
      </w:r>
      <w:r w:rsidR="00FA37AA" w:rsidRPr="00FA37AA">
        <w:rPr>
          <w:rFonts w:cs="Times New Roman"/>
          <w:bCs/>
          <w:szCs w:val="24"/>
        </w:rPr>
        <w:lastRenderedPageBreak/>
        <w:t xml:space="preserve">regarding any component of a tax credit claim, a result which we believe would be unjustifiably punitive since a party that has earned a COC has completed the remediation on the Site.  </w:t>
      </w:r>
    </w:p>
    <w:p w14:paraId="353C2A50" w14:textId="77777777" w:rsidR="002C20D7" w:rsidRDefault="002C20D7" w:rsidP="00A5121D">
      <w:pPr>
        <w:pStyle w:val="ListParagraph"/>
        <w:spacing w:after="0"/>
        <w:ind w:left="1080"/>
        <w:rPr>
          <w:rFonts w:cs="Times New Roman"/>
          <w:bCs/>
          <w:szCs w:val="24"/>
        </w:rPr>
      </w:pPr>
    </w:p>
    <w:p w14:paraId="0D634BF0" w14:textId="2A08FCC1" w:rsidR="008F41EA" w:rsidRPr="00A5121D" w:rsidRDefault="002C20D7" w:rsidP="00A5121D">
      <w:pPr>
        <w:pStyle w:val="ListParagraph"/>
        <w:spacing w:after="0"/>
        <w:ind w:left="1080"/>
        <w:rPr>
          <w:rFonts w:cs="Times New Roman"/>
          <w:bCs/>
          <w:szCs w:val="24"/>
        </w:rPr>
      </w:pPr>
      <w:r>
        <w:rPr>
          <w:rFonts w:cs="Times New Roman"/>
          <w:bCs/>
          <w:szCs w:val="24"/>
        </w:rPr>
        <w:t>In addition, t</w:t>
      </w:r>
      <w:r w:rsidRPr="002C20D7">
        <w:rPr>
          <w:rFonts w:cs="Times New Roman"/>
          <w:bCs/>
          <w:szCs w:val="24"/>
        </w:rPr>
        <w:t>h</w:t>
      </w:r>
      <w:r>
        <w:rPr>
          <w:rFonts w:cs="Times New Roman"/>
          <w:bCs/>
          <w:szCs w:val="24"/>
        </w:rPr>
        <w:t xml:space="preserve">e proposed change </w:t>
      </w:r>
      <w:r w:rsidRPr="002C20D7">
        <w:rPr>
          <w:rFonts w:cs="Times New Roman"/>
          <w:bCs/>
          <w:szCs w:val="24"/>
        </w:rPr>
        <w:t xml:space="preserve">indicates that a taxpayer who is eligible for the tangible property credit component (under ECL 27-1407 subd 1-a or otherwise) and whose claim is adjusted downward on audit could have their COC revoked or modified. There is no authority for COC revocation or modification in the ECL or the Tax Law, and the Tax Law contains a well-understood set of rules for audit adjustments, including where applicable the imposition of penalties, interest, and other sanctions for taxpayer errors, understatements, or misrepresentations when calculating their tax (or tax credits). The </w:t>
      </w:r>
      <w:r>
        <w:rPr>
          <w:rFonts w:cs="Times New Roman"/>
          <w:bCs/>
          <w:szCs w:val="24"/>
        </w:rPr>
        <w:t>change should be rejected</w:t>
      </w:r>
      <w:r w:rsidRPr="002C20D7">
        <w:rPr>
          <w:rFonts w:cs="Times New Roman"/>
          <w:bCs/>
          <w:szCs w:val="24"/>
        </w:rPr>
        <w:t>. Doing so would align the regulation with the statutory authority to revoke.</w:t>
      </w:r>
      <w:r>
        <w:rPr>
          <w:rFonts w:cs="Times New Roman"/>
          <w:bCs/>
          <w:szCs w:val="24"/>
        </w:rPr>
        <w:t xml:space="preserve">  </w:t>
      </w:r>
      <w:r w:rsidR="00FA37AA" w:rsidRPr="002C20D7">
        <w:rPr>
          <w:rFonts w:cs="Times New Roman"/>
          <w:bCs/>
          <w:szCs w:val="24"/>
        </w:rPr>
        <w:t>If not withdrawn completely, we recommend that the language in this proposal be revised to mirror the language of ECL § 27-1419(5)(b).</w:t>
      </w:r>
    </w:p>
    <w:p w14:paraId="66A0F60F" w14:textId="77777777" w:rsidR="00943CBE" w:rsidRDefault="00943CBE" w:rsidP="00A5121D">
      <w:pPr>
        <w:pStyle w:val="ListParagraph"/>
        <w:spacing w:after="0"/>
        <w:ind w:left="1080"/>
        <w:rPr>
          <w:rFonts w:cs="Times New Roman"/>
          <w:bCs/>
          <w:szCs w:val="24"/>
        </w:rPr>
      </w:pPr>
    </w:p>
    <w:p w14:paraId="7CBB1232" w14:textId="5236E396" w:rsidR="007F1CD2" w:rsidRDefault="00F96E6A" w:rsidP="00A5121D">
      <w:pPr>
        <w:pStyle w:val="ListParagraph"/>
        <w:numPr>
          <w:ilvl w:val="0"/>
          <w:numId w:val="17"/>
        </w:numPr>
        <w:spacing w:after="0"/>
        <w:rPr>
          <w:rFonts w:cs="Times New Roman"/>
          <w:szCs w:val="24"/>
        </w:rPr>
      </w:pPr>
      <w:r w:rsidRPr="007F1CD2">
        <w:rPr>
          <w:b/>
          <w:bCs/>
          <w:u w:val="single"/>
        </w:rPr>
        <w:t xml:space="preserve">§ </w:t>
      </w:r>
      <w:r w:rsidR="00E02184" w:rsidRPr="007F1CD2">
        <w:rPr>
          <w:b/>
          <w:bCs/>
          <w:u w:val="single"/>
        </w:rPr>
        <w:t>375-1.11(d)</w:t>
      </w:r>
      <w:r w:rsidR="00705958" w:rsidRPr="007F1CD2">
        <w:rPr>
          <w:b/>
          <w:bCs/>
          <w:u w:val="single"/>
        </w:rPr>
        <w:t>(2)</w:t>
      </w:r>
      <w:r w:rsidR="001D1187" w:rsidRPr="007F1CD2">
        <w:rPr>
          <w:b/>
          <w:bCs/>
          <w:u w:val="single"/>
        </w:rPr>
        <w:t xml:space="preserve">: </w:t>
      </w:r>
      <w:r w:rsidR="00EC373C" w:rsidRPr="007F1CD2">
        <w:rPr>
          <w:b/>
          <w:bCs/>
          <w:u w:val="single"/>
        </w:rPr>
        <w:t>Work Plan</w:t>
      </w:r>
      <w:r w:rsidRPr="007F1CD2">
        <w:rPr>
          <w:b/>
          <w:bCs/>
          <w:u w:val="single"/>
        </w:rPr>
        <w:t>s Required for Changes of Use</w:t>
      </w:r>
      <w:r w:rsidR="00705958" w:rsidRPr="007F1CD2">
        <w:rPr>
          <w:b/>
          <w:bCs/>
          <w:u w:val="single"/>
        </w:rPr>
        <w:t>, But Waivers Available</w:t>
      </w:r>
      <w:r w:rsidR="00C06537">
        <w:rPr>
          <w:b/>
          <w:bCs/>
          <w:u w:val="single"/>
        </w:rPr>
        <w:t xml:space="preserve"> -</w:t>
      </w:r>
      <w:r w:rsidR="007F1CD2">
        <w:t xml:space="preserve">  </w:t>
      </w:r>
      <w:r w:rsidR="00214269">
        <w:rPr>
          <w:rFonts w:cs="Times New Roman"/>
          <w:szCs w:val="24"/>
        </w:rPr>
        <w:t xml:space="preserve">ECL </w:t>
      </w:r>
      <w:r w:rsidR="00214269" w:rsidRPr="00214269">
        <w:rPr>
          <w:rFonts w:cs="Times New Roman"/>
          <w:szCs w:val="24"/>
        </w:rPr>
        <w:t>§</w:t>
      </w:r>
      <w:r w:rsidR="00214269">
        <w:rPr>
          <w:rFonts w:cs="Times New Roman"/>
          <w:szCs w:val="24"/>
        </w:rPr>
        <w:t xml:space="preserve"> </w:t>
      </w:r>
      <w:r w:rsidR="00214269" w:rsidRPr="00214269">
        <w:rPr>
          <w:rFonts w:cs="Times New Roman"/>
          <w:szCs w:val="24"/>
        </w:rPr>
        <w:t>27-1425</w:t>
      </w:r>
      <w:r w:rsidR="00214269">
        <w:rPr>
          <w:rFonts w:cs="Times New Roman"/>
          <w:szCs w:val="24"/>
        </w:rPr>
        <w:t xml:space="preserve"> is</w:t>
      </w:r>
      <w:r w:rsidR="00F0720D">
        <w:rPr>
          <w:rFonts w:cs="Times New Roman"/>
          <w:szCs w:val="24"/>
        </w:rPr>
        <w:t xml:space="preserve"> clear that </w:t>
      </w:r>
      <w:r w:rsidR="006869E0">
        <w:rPr>
          <w:rFonts w:cs="Times New Roman"/>
          <w:szCs w:val="24"/>
        </w:rPr>
        <w:t>this regulation</w:t>
      </w:r>
      <w:r w:rsidR="00F0720D">
        <w:rPr>
          <w:rFonts w:cs="Times New Roman"/>
          <w:szCs w:val="24"/>
        </w:rPr>
        <w:t xml:space="preserve"> is meant to be </w:t>
      </w:r>
      <w:r w:rsidR="006869E0">
        <w:rPr>
          <w:rFonts w:cs="Times New Roman"/>
          <w:szCs w:val="24"/>
        </w:rPr>
        <w:t xml:space="preserve">only </w:t>
      </w:r>
      <w:r w:rsidR="00F0720D">
        <w:rPr>
          <w:rFonts w:cs="Times New Roman"/>
          <w:szCs w:val="24"/>
        </w:rPr>
        <w:t>a notice provision only</w:t>
      </w:r>
      <w:r w:rsidR="00214269">
        <w:rPr>
          <w:rFonts w:cs="Times New Roman"/>
          <w:szCs w:val="24"/>
        </w:rPr>
        <w:t>, yet t</w:t>
      </w:r>
      <w:r w:rsidRPr="007F1CD2">
        <w:rPr>
          <w:rFonts w:cs="Times New Roman"/>
          <w:szCs w:val="24"/>
        </w:rPr>
        <w:t xml:space="preserve">he Department’s proposal would require a </w:t>
      </w:r>
      <w:r w:rsidR="00EC373C" w:rsidRPr="007F1CD2">
        <w:rPr>
          <w:rFonts w:cs="Times New Roman"/>
          <w:szCs w:val="24"/>
        </w:rPr>
        <w:t>Work P</w:t>
      </w:r>
      <w:r w:rsidRPr="007F1CD2">
        <w:rPr>
          <w:rFonts w:cs="Times New Roman"/>
          <w:szCs w:val="24"/>
        </w:rPr>
        <w:t xml:space="preserve">lan for </w:t>
      </w:r>
      <w:r w:rsidRPr="00A33F4C">
        <w:rPr>
          <w:rFonts w:cs="Times New Roman"/>
          <w:i/>
          <w:iCs/>
          <w:szCs w:val="24"/>
        </w:rPr>
        <w:t>any</w:t>
      </w:r>
      <w:r w:rsidRPr="007F1CD2">
        <w:rPr>
          <w:rFonts w:cs="Times New Roman"/>
          <w:szCs w:val="24"/>
        </w:rPr>
        <w:t xml:space="preserve"> change of use, </w:t>
      </w:r>
      <w:r w:rsidR="00EC373C" w:rsidRPr="007F1CD2">
        <w:rPr>
          <w:rFonts w:cs="Times New Roman"/>
          <w:szCs w:val="24"/>
        </w:rPr>
        <w:t xml:space="preserve">except </w:t>
      </w:r>
      <w:r w:rsidR="00214269">
        <w:rPr>
          <w:rFonts w:cs="Times New Roman"/>
          <w:szCs w:val="24"/>
        </w:rPr>
        <w:t xml:space="preserve">that </w:t>
      </w:r>
      <w:r w:rsidR="00EC373C" w:rsidRPr="007F1CD2">
        <w:rPr>
          <w:rFonts w:cs="Times New Roman"/>
          <w:szCs w:val="24"/>
        </w:rPr>
        <w:t>“</w:t>
      </w:r>
      <w:r w:rsidRPr="007F1CD2">
        <w:rPr>
          <w:rFonts w:cs="Times New Roman"/>
          <w:szCs w:val="24"/>
        </w:rPr>
        <w:t xml:space="preserve">the </w:t>
      </w:r>
      <w:r w:rsidR="00787811" w:rsidRPr="007F1CD2">
        <w:rPr>
          <w:rFonts w:cs="Times New Roman"/>
          <w:szCs w:val="24"/>
        </w:rPr>
        <w:t>d</w:t>
      </w:r>
      <w:r w:rsidRPr="007F1CD2">
        <w:rPr>
          <w:rFonts w:cs="Times New Roman"/>
          <w:szCs w:val="24"/>
        </w:rPr>
        <w:t xml:space="preserve">epartment </w:t>
      </w:r>
      <w:r w:rsidR="00EC373C" w:rsidRPr="007F1CD2">
        <w:rPr>
          <w:rFonts w:cs="Times New Roman"/>
          <w:szCs w:val="24"/>
        </w:rPr>
        <w:t xml:space="preserve">may </w:t>
      </w:r>
      <w:r w:rsidRPr="007F1CD2">
        <w:rPr>
          <w:rFonts w:cs="Times New Roman"/>
          <w:szCs w:val="24"/>
        </w:rPr>
        <w:t>waive th</w:t>
      </w:r>
      <w:r w:rsidR="00EC373C" w:rsidRPr="007F1CD2">
        <w:rPr>
          <w:rFonts w:cs="Times New Roman"/>
          <w:szCs w:val="24"/>
        </w:rPr>
        <w:t>e</w:t>
      </w:r>
      <w:r w:rsidRPr="007F1CD2">
        <w:rPr>
          <w:rFonts w:cs="Times New Roman"/>
          <w:szCs w:val="24"/>
        </w:rPr>
        <w:t xml:space="preserve"> requirement</w:t>
      </w:r>
      <w:r w:rsidR="00EC373C" w:rsidRPr="007F1CD2">
        <w:rPr>
          <w:rFonts w:cs="Times New Roman"/>
          <w:szCs w:val="24"/>
        </w:rPr>
        <w:t>”</w:t>
      </w:r>
      <w:r w:rsidRPr="007F1CD2">
        <w:rPr>
          <w:rFonts w:cs="Times New Roman"/>
          <w:szCs w:val="24"/>
        </w:rPr>
        <w:t xml:space="preserve"> if the change of use would “not involve a physical </w:t>
      </w:r>
      <w:r w:rsidR="003E1539" w:rsidRPr="007F1CD2">
        <w:rPr>
          <w:rFonts w:cs="Times New Roman"/>
          <w:szCs w:val="24"/>
        </w:rPr>
        <w:t xml:space="preserve">alteration of the site”.  </w:t>
      </w:r>
      <w:r w:rsidR="00BB2535" w:rsidRPr="007F1CD2">
        <w:rPr>
          <w:rFonts w:cs="Times New Roman"/>
          <w:szCs w:val="24"/>
        </w:rPr>
        <w:t xml:space="preserve">Under the proposal, </w:t>
      </w:r>
      <w:r w:rsidRPr="007F1CD2">
        <w:rPr>
          <w:rFonts w:cs="Times New Roman"/>
          <w:szCs w:val="24"/>
        </w:rPr>
        <w:t xml:space="preserve">it appears that parties will have to </w:t>
      </w:r>
      <w:r w:rsidR="00BB2535" w:rsidRPr="007F1CD2">
        <w:rPr>
          <w:rFonts w:cs="Times New Roman"/>
          <w:szCs w:val="24"/>
        </w:rPr>
        <w:t>request</w:t>
      </w:r>
      <w:r w:rsidRPr="007F1CD2">
        <w:rPr>
          <w:rFonts w:cs="Times New Roman"/>
          <w:szCs w:val="24"/>
        </w:rPr>
        <w:t xml:space="preserve"> a waiver</w:t>
      </w:r>
      <w:r w:rsidR="00C23146" w:rsidRPr="007F1CD2">
        <w:rPr>
          <w:rFonts w:cs="Times New Roman"/>
          <w:szCs w:val="24"/>
        </w:rPr>
        <w:t xml:space="preserve"> even before submitting a change of use form</w:t>
      </w:r>
      <w:r w:rsidR="00214269">
        <w:rPr>
          <w:rFonts w:cs="Times New Roman"/>
          <w:szCs w:val="24"/>
        </w:rPr>
        <w:t xml:space="preserve"> to </w:t>
      </w:r>
      <w:r w:rsidR="005B1622">
        <w:rPr>
          <w:rFonts w:cs="Times New Roman"/>
          <w:szCs w:val="24"/>
        </w:rPr>
        <w:t>determine</w:t>
      </w:r>
      <w:r w:rsidR="00214269">
        <w:rPr>
          <w:rFonts w:cs="Times New Roman"/>
          <w:szCs w:val="24"/>
        </w:rPr>
        <w:t xml:space="preserve"> if </w:t>
      </w:r>
      <w:r w:rsidR="005B1622">
        <w:rPr>
          <w:rFonts w:cs="Times New Roman"/>
          <w:szCs w:val="24"/>
        </w:rPr>
        <w:t xml:space="preserve">a </w:t>
      </w:r>
      <w:r w:rsidR="00214269">
        <w:rPr>
          <w:rFonts w:cs="Times New Roman"/>
          <w:szCs w:val="24"/>
        </w:rPr>
        <w:t>work plan</w:t>
      </w:r>
      <w:r w:rsidR="005B1622">
        <w:rPr>
          <w:rFonts w:cs="Times New Roman"/>
          <w:szCs w:val="24"/>
        </w:rPr>
        <w:t xml:space="preserve"> will be required</w:t>
      </w:r>
      <w:r w:rsidR="00C23146" w:rsidRPr="007F1CD2">
        <w:rPr>
          <w:rFonts w:cs="Times New Roman"/>
          <w:szCs w:val="24"/>
        </w:rPr>
        <w:t>, add</w:t>
      </w:r>
      <w:r w:rsidR="005B1622">
        <w:rPr>
          <w:rFonts w:cs="Times New Roman"/>
          <w:szCs w:val="24"/>
        </w:rPr>
        <w:t>ing</w:t>
      </w:r>
      <w:r w:rsidR="00C23146" w:rsidRPr="007F1CD2">
        <w:rPr>
          <w:rFonts w:cs="Times New Roman"/>
          <w:szCs w:val="24"/>
        </w:rPr>
        <w:t xml:space="preserve"> unnecessary time for certain change of use scenarios which should be “as of right</w:t>
      </w:r>
      <w:r w:rsidR="005B1622">
        <w:rPr>
          <w:rFonts w:cs="Times New Roman"/>
          <w:szCs w:val="24"/>
        </w:rPr>
        <w:t>,</w:t>
      </w:r>
      <w:r w:rsidR="00C23146" w:rsidRPr="007F1CD2">
        <w:rPr>
          <w:rFonts w:cs="Times New Roman"/>
          <w:szCs w:val="24"/>
        </w:rPr>
        <w:t>” including change of ownership, tax lot changes and address changes</w:t>
      </w:r>
      <w:r w:rsidR="00BB2535" w:rsidRPr="007F1CD2">
        <w:rPr>
          <w:rFonts w:cs="Times New Roman"/>
          <w:szCs w:val="24"/>
        </w:rPr>
        <w:t>.</w:t>
      </w:r>
      <w:r w:rsidRPr="007F1CD2">
        <w:rPr>
          <w:rFonts w:cs="Times New Roman"/>
          <w:szCs w:val="24"/>
        </w:rPr>
        <w:t xml:space="preserve">  </w:t>
      </w:r>
    </w:p>
    <w:p w14:paraId="7301CB9F" w14:textId="77777777" w:rsidR="007F1CD2" w:rsidRDefault="007F1CD2" w:rsidP="00A5121D">
      <w:pPr>
        <w:pStyle w:val="ListParagraph"/>
        <w:spacing w:after="0"/>
        <w:ind w:left="1080"/>
        <w:rPr>
          <w:rFonts w:cs="Times New Roman"/>
          <w:b/>
          <w:bCs/>
          <w:szCs w:val="24"/>
          <w:u w:val="single"/>
        </w:rPr>
      </w:pPr>
    </w:p>
    <w:p w14:paraId="61D4E41C" w14:textId="74E7F9A3" w:rsidR="00A33F4C" w:rsidRDefault="008506D1" w:rsidP="00A5121D">
      <w:pPr>
        <w:pStyle w:val="ListParagraph"/>
        <w:spacing w:after="0"/>
        <w:ind w:left="1080"/>
        <w:rPr>
          <w:rFonts w:cs="Times New Roman"/>
          <w:bCs/>
          <w:szCs w:val="24"/>
        </w:rPr>
      </w:pPr>
      <w:r w:rsidRPr="007F1CD2">
        <w:rPr>
          <w:rFonts w:cs="Times New Roman"/>
          <w:bCs/>
          <w:szCs w:val="24"/>
        </w:rPr>
        <w:t xml:space="preserve">We recommend that </w:t>
      </w:r>
      <w:r w:rsidR="00214269">
        <w:rPr>
          <w:rFonts w:cs="Times New Roman"/>
          <w:bCs/>
          <w:szCs w:val="24"/>
        </w:rPr>
        <w:t xml:space="preserve">the proposal be clarified such that </w:t>
      </w:r>
      <w:r w:rsidRPr="007F1CD2">
        <w:rPr>
          <w:rFonts w:cs="Times New Roman"/>
          <w:bCs/>
          <w:szCs w:val="24"/>
        </w:rPr>
        <w:t xml:space="preserve">no </w:t>
      </w:r>
      <w:r w:rsidR="009D39D7" w:rsidRPr="007F1CD2">
        <w:rPr>
          <w:rFonts w:cs="Times New Roman"/>
          <w:szCs w:val="24"/>
        </w:rPr>
        <w:t>W</w:t>
      </w:r>
      <w:r w:rsidRPr="007F1CD2">
        <w:rPr>
          <w:rFonts w:cs="Times New Roman"/>
          <w:szCs w:val="24"/>
        </w:rPr>
        <w:t xml:space="preserve">ork </w:t>
      </w:r>
      <w:r w:rsidR="009D39D7" w:rsidRPr="007F1CD2">
        <w:rPr>
          <w:rFonts w:cs="Times New Roman"/>
          <w:szCs w:val="24"/>
        </w:rPr>
        <w:t>P</w:t>
      </w:r>
      <w:r w:rsidRPr="007F1CD2">
        <w:rPr>
          <w:rFonts w:cs="Times New Roman"/>
          <w:szCs w:val="24"/>
        </w:rPr>
        <w:t xml:space="preserve">lan </w:t>
      </w:r>
      <w:r w:rsidR="00214269">
        <w:rPr>
          <w:rFonts w:cs="Times New Roman"/>
          <w:szCs w:val="24"/>
        </w:rPr>
        <w:t xml:space="preserve">will </w:t>
      </w:r>
      <w:r w:rsidRPr="007F1CD2">
        <w:rPr>
          <w:rFonts w:cs="Times New Roman"/>
          <w:szCs w:val="24"/>
        </w:rPr>
        <w:t xml:space="preserve">be required </w:t>
      </w:r>
      <w:r w:rsidRPr="007F1CD2">
        <w:rPr>
          <w:rFonts w:cs="Times New Roman"/>
          <w:i/>
          <w:szCs w:val="24"/>
        </w:rPr>
        <w:t>unless</w:t>
      </w:r>
      <w:r w:rsidRPr="007F1CD2">
        <w:rPr>
          <w:rFonts w:cs="Times New Roman"/>
          <w:szCs w:val="24"/>
        </w:rPr>
        <w:t xml:space="preserve"> the proposed change of use would involve a physical alteration of the site</w:t>
      </w:r>
      <w:r w:rsidR="00214269">
        <w:rPr>
          <w:rFonts w:cs="Times New Roman"/>
          <w:szCs w:val="24"/>
        </w:rPr>
        <w:t xml:space="preserve">.  </w:t>
      </w:r>
      <w:r w:rsidR="006869E0">
        <w:rPr>
          <w:rFonts w:cs="Times New Roman"/>
          <w:szCs w:val="24"/>
        </w:rPr>
        <w:t>Neither a</w:t>
      </w:r>
      <w:r w:rsidR="00214269">
        <w:rPr>
          <w:rFonts w:cs="Times New Roman"/>
          <w:szCs w:val="24"/>
        </w:rPr>
        <w:t xml:space="preserve"> </w:t>
      </w:r>
      <w:r w:rsidR="009D39D7" w:rsidRPr="007F1CD2">
        <w:rPr>
          <w:rFonts w:cs="Times New Roman"/>
          <w:szCs w:val="24"/>
        </w:rPr>
        <w:t>W</w:t>
      </w:r>
      <w:r w:rsidR="00976DC3" w:rsidRPr="007F1CD2">
        <w:rPr>
          <w:rFonts w:cs="Times New Roman"/>
          <w:szCs w:val="24"/>
        </w:rPr>
        <w:t>ork</w:t>
      </w:r>
      <w:r w:rsidR="009D39D7" w:rsidRPr="007F1CD2">
        <w:rPr>
          <w:rFonts w:cs="Times New Roman"/>
          <w:szCs w:val="24"/>
        </w:rPr>
        <w:t xml:space="preserve"> P</w:t>
      </w:r>
      <w:r w:rsidR="00976DC3" w:rsidRPr="007F1CD2">
        <w:rPr>
          <w:rFonts w:cs="Times New Roman"/>
          <w:szCs w:val="24"/>
        </w:rPr>
        <w:t xml:space="preserve">lan </w:t>
      </w:r>
      <w:r w:rsidR="006869E0">
        <w:rPr>
          <w:rFonts w:cs="Times New Roman"/>
          <w:szCs w:val="24"/>
        </w:rPr>
        <w:t xml:space="preserve">nor a waiver process </w:t>
      </w:r>
      <w:r w:rsidR="00214269">
        <w:rPr>
          <w:rFonts w:cs="Times New Roman"/>
          <w:szCs w:val="24"/>
        </w:rPr>
        <w:t xml:space="preserve">should </w:t>
      </w:r>
      <w:r w:rsidR="00976DC3" w:rsidRPr="007F1CD2">
        <w:rPr>
          <w:rFonts w:cs="Times New Roman"/>
          <w:szCs w:val="24"/>
        </w:rPr>
        <w:t xml:space="preserve">be required for </w:t>
      </w:r>
      <w:r w:rsidR="00976DC3" w:rsidRPr="007F1CD2">
        <w:rPr>
          <w:rFonts w:cs="Times New Roman"/>
          <w:bCs/>
          <w:szCs w:val="24"/>
        </w:rPr>
        <w:t xml:space="preserve">a </w:t>
      </w:r>
      <w:r w:rsidR="00F96E6A" w:rsidRPr="007F1CD2">
        <w:rPr>
          <w:rFonts w:cs="Times New Roman"/>
          <w:bCs/>
          <w:szCs w:val="24"/>
        </w:rPr>
        <w:t xml:space="preserve">change of use </w:t>
      </w:r>
      <w:r w:rsidR="00976DC3" w:rsidRPr="007F1CD2">
        <w:rPr>
          <w:rFonts w:cs="Times New Roman"/>
          <w:bCs/>
          <w:szCs w:val="24"/>
        </w:rPr>
        <w:t>involving</w:t>
      </w:r>
      <w:r w:rsidR="006869E0">
        <w:rPr>
          <w:rFonts w:cs="Times New Roman"/>
          <w:bCs/>
          <w:szCs w:val="24"/>
        </w:rPr>
        <w:t xml:space="preserve"> non-physical changes</w:t>
      </w:r>
      <w:r w:rsidR="0022607B" w:rsidRPr="007F1CD2">
        <w:rPr>
          <w:rFonts w:cs="Times New Roman"/>
          <w:bCs/>
          <w:szCs w:val="24"/>
        </w:rPr>
        <w:t xml:space="preserve">, </w:t>
      </w:r>
      <w:r w:rsidR="006869E0">
        <w:rPr>
          <w:rFonts w:cs="Times New Roman"/>
          <w:bCs/>
          <w:szCs w:val="24"/>
        </w:rPr>
        <w:t>including</w:t>
      </w:r>
      <w:r w:rsidR="00CF4948" w:rsidRPr="007F1CD2">
        <w:rPr>
          <w:rFonts w:cs="Times New Roman"/>
          <w:bCs/>
          <w:szCs w:val="24"/>
        </w:rPr>
        <w:t xml:space="preserve">: </w:t>
      </w:r>
      <w:r w:rsidR="00F96E6A" w:rsidRPr="007F1CD2">
        <w:rPr>
          <w:rFonts w:cs="Times New Roman"/>
          <w:bCs/>
          <w:szCs w:val="24"/>
        </w:rPr>
        <w:t>(1) transfer of title to all or part of the site</w:t>
      </w:r>
      <w:r w:rsidR="00C23146" w:rsidRPr="007F1CD2">
        <w:rPr>
          <w:rFonts w:cs="Times New Roman"/>
          <w:bCs/>
          <w:szCs w:val="24"/>
        </w:rPr>
        <w:t>;</w:t>
      </w:r>
      <w:r w:rsidR="00F96E6A" w:rsidRPr="007F1CD2">
        <w:rPr>
          <w:rFonts w:cs="Times New Roman"/>
          <w:bCs/>
          <w:szCs w:val="24"/>
        </w:rPr>
        <w:t xml:space="preserve"> (2) any change to the tax lot designation or boundary</w:t>
      </w:r>
      <w:r w:rsidR="00A33F4C">
        <w:rPr>
          <w:rFonts w:cs="Times New Roman"/>
          <w:bCs/>
          <w:szCs w:val="24"/>
        </w:rPr>
        <w:t>;</w:t>
      </w:r>
      <w:r w:rsidR="00C23146" w:rsidRPr="007F1CD2">
        <w:rPr>
          <w:rFonts w:cs="Times New Roman"/>
          <w:bCs/>
          <w:szCs w:val="24"/>
        </w:rPr>
        <w:t xml:space="preserve"> and (3) address changes</w:t>
      </w:r>
      <w:r w:rsidR="00F96E6A" w:rsidRPr="007F1CD2">
        <w:rPr>
          <w:rFonts w:cs="Times New Roman"/>
          <w:bCs/>
          <w:szCs w:val="24"/>
        </w:rPr>
        <w:t>.</w:t>
      </w:r>
      <w:r w:rsidR="006869E0">
        <w:rPr>
          <w:rFonts w:cs="Times New Roman"/>
          <w:bCs/>
          <w:szCs w:val="24"/>
        </w:rPr>
        <w:t xml:space="preserve">  These non-physical changes should also not be subject to the 60-day notice requirement because </w:t>
      </w:r>
      <w:proofErr w:type="gramStart"/>
      <w:r w:rsidR="006869E0">
        <w:rPr>
          <w:rFonts w:cs="Times New Roman"/>
          <w:bCs/>
          <w:szCs w:val="24"/>
        </w:rPr>
        <w:t>more often than not</w:t>
      </w:r>
      <w:proofErr w:type="gramEnd"/>
      <w:r w:rsidR="006869E0">
        <w:rPr>
          <w:rFonts w:cs="Times New Roman"/>
          <w:bCs/>
          <w:szCs w:val="24"/>
        </w:rPr>
        <w:t xml:space="preserve"> these property related changes are not known to be occurring 60 days beforehand. </w:t>
      </w:r>
      <w:r w:rsidR="00C23146" w:rsidRPr="007F1CD2">
        <w:rPr>
          <w:rFonts w:cs="Times New Roman"/>
          <w:bCs/>
          <w:szCs w:val="24"/>
        </w:rPr>
        <w:t xml:space="preserve">  </w:t>
      </w:r>
    </w:p>
    <w:p w14:paraId="6BDDC8A8" w14:textId="77777777" w:rsidR="00F0720D" w:rsidRDefault="00F0720D" w:rsidP="00A5121D">
      <w:pPr>
        <w:pStyle w:val="ListParagraph"/>
        <w:spacing w:after="0"/>
        <w:ind w:left="1080"/>
        <w:rPr>
          <w:rFonts w:cs="Times New Roman"/>
          <w:bCs/>
          <w:szCs w:val="24"/>
        </w:rPr>
      </w:pPr>
    </w:p>
    <w:p w14:paraId="3FD84AFC" w14:textId="519D46B0" w:rsidR="00F0720D" w:rsidRDefault="00F0720D" w:rsidP="00A5121D">
      <w:pPr>
        <w:pStyle w:val="ListParagraph"/>
        <w:spacing w:after="0"/>
        <w:ind w:left="1080"/>
        <w:rPr>
          <w:rFonts w:cs="Times New Roman"/>
          <w:bCs/>
          <w:szCs w:val="24"/>
        </w:rPr>
      </w:pPr>
      <w:r w:rsidRPr="00F0720D">
        <w:rPr>
          <w:rFonts w:cs="Times New Roman"/>
          <w:bCs/>
          <w:szCs w:val="24"/>
        </w:rPr>
        <w:t>These proposed changes would mitigate the time and administrative burden on both the Department and remedial parties for changes of use that clearly do not involve a physical alteration of the site</w:t>
      </w:r>
      <w:r w:rsidR="00214269">
        <w:rPr>
          <w:rFonts w:cs="Times New Roman"/>
          <w:bCs/>
          <w:szCs w:val="24"/>
        </w:rPr>
        <w:t xml:space="preserve"> and merely require notice </w:t>
      </w:r>
      <w:r w:rsidR="006869E0">
        <w:rPr>
          <w:rFonts w:cs="Times New Roman"/>
          <w:bCs/>
          <w:szCs w:val="24"/>
        </w:rPr>
        <w:t xml:space="preserve">and perhaps a BCA Amendment </w:t>
      </w:r>
      <w:r w:rsidR="00214269">
        <w:rPr>
          <w:rFonts w:cs="Times New Roman"/>
          <w:bCs/>
          <w:szCs w:val="24"/>
        </w:rPr>
        <w:t>as contemplated by the statutory language</w:t>
      </w:r>
      <w:r w:rsidRPr="00F0720D">
        <w:rPr>
          <w:rFonts w:cs="Times New Roman"/>
          <w:bCs/>
          <w:szCs w:val="24"/>
        </w:rPr>
        <w:t xml:space="preserve">.       </w:t>
      </w:r>
    </w:p>
    <w:p w14:paraId="1552CD49" w14:textId="77777777" w:rsidR="00A33F4C" w:rsidRDefault="00A33F4C" w:rsidP="00A5121D">
      <w:pPr>
        <w:pStyle w:val="ListParagraph"/>
        <w:spacing w:after="0"/>
        <w:ind w:left="1080"/>
        <w:rPr>
          <w:rFonts w:cs="Times New Roman"/>
          <w:bCs/>
          <w:szCs w:val="24"/>
        </w:rPr>
      </w:pPr>
    </w:p>
    <w:p w14:paraId="0D20661C" w14:textId="4DFA03C1" w:rsidR="00F0720D" w:rsidRDefault="00C23146" w:rsidP="00A5121D">
      <w:pPr>
        <w:pStyle w:val="ListParagraph"/>
        <w:spacing w:after="0"/>
        <w:ind w:left="1080"/>
        <w:rPr>
          <w:rFonts w:cs="Times New Roman"/>
          <w:bCs/>
          <w:szCs w:val="24"/>
        </w:rPr>
      </w:pPr>
      <w:r w:rsidRPr="007F1CD2">
        <w:rPr>
          <w:rFonts w:cs="Times New Roman"/>
          <w:bCs/>
          <w:szCs w:val="24"/>
        </w:rPr>
        <w:t xml:space="preserve">Moreover, </w:t>
      </w:r>
      <w:r w:rsidR="00214269">
        <w:rPr>
          <w:rFonts w:cs="Times New Roman"/>
          <w:bCs/>
          <w:szCs w:val="24"/>
        </w:rPr>
        <w:t xml:space="preserve">for changes that do involve a </w:t>
      </w:r>
      <w:r w:rsidR="00214269" w:rsidRPr="00214269">
        <w:rPr>
          <w:rFonts w:cs="Times New Roman"/>
          <w:bCs/>
          <w:szCs w:val="24"/>
        </w:rPr>
        <w:t>physical alteration of the site</w:t>
      </w:r>
      <w:r w:rsidR="00214269">
        <w:rPr>
          <w:rFonts w:cs="Times New Roman"/>
          <w:bCs/>
          <w:szCs w:val="24"/>
        </w:rPr>
        <w:t>,</w:t>
      </w:r>
      <w:r w:rsidR="00214269" w:rsidRPr="00214269">
        <w:rPr>
          <w:rFonts w:cs="Times New Roman"/>
          <w:bCs/>
          <w:szCs w:val="24"/>
        </w:rPr>
        <w:t xml:space="preserve"> </w:t>
      </w:r>
      <w:r w:rsidRPr="007F1CD2">
        <w:rPr>
          <w:rFonts w:cs="Times New Roman"/>
          <w:bCs/>
          <w:szCs w:val="24"/>
        </w:rPr>
        <w:t xml:space="preserve">the regulations should </w:t>
      </w:r>
      <w:r w:rsidR="00A33F4C">
        <w:rPr>
          <w:rFonts w:cs="Times New Roman"/>
          <w:bCs/>
          <w:szCs w:val="24"/>
        </w:rPr>
        <w:t xml:space="preserve">clarify which substantive elements </w:t>
      </w:r>
      <w:r w:rsidR="00214269">
        <w:rPr>
          <w:rFonts w:cs="Times New Roman"/>
          <w:bCs/>
          <w:szCs w:val="24"/>
        </w:rPr>
        <w:t xml:space="preserve">will be required in a </w:t>
      </w:r>
      <w:r w:rsidR="00A33F4C">
        <w:rPr>
          <w:rFonts w:cs="Times New Roman"/>
          <w:bCs/>
          <w:szCs w:val="24"/>
        </w:rPr>
        <w:t xml:space="preserve">work plan subject to Department approval.  For example, our understanding is that the Department does not “approve” work plans related to </w:t>
      </w:r>
      <w:r w:rsidR="00214269">
        <w:rPr>
          <w:rFonts w:cs="Times New Roman"/>
          <w:bCs/>
          <w:szCs w:val="24"/>
        </w:rPr>
        <w:t xml:space="preserve">issue such as </w:t>
      </w:r>
      <w:r w:rsidRPr="007F1CD2">
        <w:rPr>
          <w:rFonts w:cs="Times New Roman"/>
          <w:bCs/>
          <w:szCs w:val="24"/>
        </w:rPr>
        <w:t xml:space="preserve">asbestos or lead paint removal, </w:t>
      </w:r>
      <w:proofErr w:type="gramStart"/>
      <w:r w:rsidRPr="007F1CD2">
        <w:rPr>
          <w:rFonts w:cs="Times New Roman"/>
          <w:bCs/>
          <w:szCs w:val="24"/>
        </w:rPr>
        <w:t>demolition</w:t>
      </w:r>
      <w:proofErr w:type="gramEnd"/>
      <w:r w:rsidRPr="007F1CD2">
        <w:rPr>
          <w:rFonts w:cs="Times New Roman"/>
          <w:bCs/>
          <w:szCs w:val="24"/>
        </w:rPr>
        <w:t xml:space="preserve"> or support of excavation installation</w:t>
      </w:r>
      <w:r w:rsidR="00A33F4C">
        <w:rPr>
          <w:rFonts w:cs="Times New Roman"/>
          <w:bCs/>
          <w:szCs w:val="24"/>
        </w:rPr>
        <w:t xml:space="preserve">, but rather </w:t>
      </w:r>
      <w:r w:rsidR="00214269">
        <w:rPr>
          <w:rFonts w:cs="Times New Roman"/>
          <w:bCs/>
          <w:szCs w:val="24"/>
        </w:rPr>
        <w:t xml:space="preserve">the Department </w:t>
      </w:r>
      <w:r w:rsidR="00A33F4C">
        <w:rPr>
          <w:rFonts w:cs="Times New Roman"/>
          <w:bCs/>
          <w:szCs w:val="24"/>
        </w:rPr>
        <w:t xml:space="preserve">is seeking to review and approve </w:t>
      </w:r>
      <w:r w:rsidR="00214269">
        <w:rPr>
          <w:rFonts w:cs="Times New Roman"/>
          <w:bCs/>
          <w:szCs w:val="24"/>
        </w:rPr>
        <w:t xml:space="preserve">work plan </w:t>
      </w:r>
      <w:r w:rsidR="00F0720D">
        <w:rPr>
          <w:rFonts w:cs="Times New Roman"/>
          <w:bCs/>
          <w:szCs w:val="24"/>
        </w:rPr>
        <w:t xml:space="preserve">elements such as </w:t>
      </w:r>
      <w:r w:rsidR="00A33F4C">
        <w:rPr>
          <w:rFonts w:cs="Times New Roman"/>
          <w:bCs/>
          <w:szCs w:val="24"/>
        </w:rPr>
        <w:t xml:space="preserve">the </w:t>
      </w:r>
      <w:r w:rsidRPr="007F1CD2">
        <w:rPr>
          <w:rFonts w:cs="Times New Roman"/>
          <w:bCs/>
          <w:szCs w:val="24"/>
        </w:rPr>
        <w:t xml:space="preserve">implementation of community </w:t>
      </w:r>
      <w:r w:rsidRPr="007F1CD2">
        <w:rPr>
          <w:rFonts w:cs="Times New Roman"/>
          <w:bCs/>
          <w:szCs w:val="24"/>
        </w:rPr>
        <w:lastRenderedPageBreak/>
        <w:t xml:space="preserve">air monitoring, </w:t>
      </w:r>
      <w:r w:rsidR="00F0720D">
        <w:rPr>
          <w:rFonts w:cs="Times New Roman"/>
          <w:bCs/>
          <w:szCs w:val="24"/>
        </w:rPr>
        <w:t xml:space="preserve">equipment decontamination procedures </w:t>
      </w:r>
      <w:r w:rsidRPr="007F1CD2">
        <w:rPr>
          <w:rFonts w:cs="Times New Roman"/>
          <w:bCs/>
          <w:szCs w:val="24"/>
        </w:rPr>
        <w:t xml:space="preserve">and other health and safety measures designed to prevent off-site impacts </w:t>
      </w:r>
      <w:r w:rsidR="00F0720D">
        <w:rPr>
          <w:rFonts w:cs="Times New Roman"/>
          <w:bCs/>
          <w:szCs w:val="24"/>
        </w:rPr>
        <w:t xml:space="preserve">arising from the </w:t>
      </w:r>
      <w:r w:rsidRPr="007F1CD2">
        <w:rPr>
          <w:rFonts w:cs="Times New Roman"/>
          <w:bCs/>
          <w:szCs w:val="24"/>
        </w:rPr>
        <w:t>physical alteration.</w:t>
      </w:r>
    </w:p>
    <w:p w14:paraId="7D6A8848" w14:textId="6C235A5F" w:rsidR="00943CBE" w:rsidRPr="00A5121D" w:rsidRDefault="00C23146" w:rsidP="00A5121D">
      <w:pPr>
        <w:pStyle w:val="ListParagraph"/>
        <w:spacing w:after="0"/>
        <w:ind w:left="1080"/>
        <w:rPr>
          <w:rFonts w:cs="Times New Roman"/>
          <w:bCs/>
          <w:szCs w:val="24"/>
        </w:rPr>
      </w:pPr>
      <w:r w:rsidRPr="007F1CD2">
        <w:rPr>
          <w:rFonts w:cs="Times New Roman"/>
          <w:bCs/>
          <w:szCs w:val="24"/>
        </w:rPr>
        <w:t xml:space="preserve"> </w:t>
      </w:r>
    </w:p>
    <w:p w14:paraId="47F44158" w14:textId="2A1157F9" w:rsidR="007F1CD2" w:rsidRDefault="00705958" w:rsidP="00A5121D">
      <w:pPr>
        <w:pStyle w:val="ListParagraph"/>
        <w:numPr>
          <w:ilvl w:val="0"/>
          <w:numId w:val="17"/>
        </w:numPr>
        <w:spacing w:after="0"/>
        <w:rPr>
          <w:rFonts w:cs="Times New Roman"/>
          <w:szCs w:val="24"/>
        </w:rPr>
      </w:pPr>
      <w:r w:rsidRPr="007F1CD2">
        <w:rPr>
          <w:rFonts w:cs="Times New Roman"/>
          <w:b/>
          <w:bCs/>
          <w:szCs w:val="24"/>
          <w:u w:val="single"/>
        </w:rPr>
        <w:t xml:space="preserve">§ 375-1.11(d)(3): Work Plans Required for Changes of Use After a </w:t>
      </w:r>
      <w:r w:rsidRPr="007F1CD2">
        <w:rPr>
          <w:rFonts w:cs="Times New Roman"/>
          <w:b/>
          <w:szCs w:val="24"/>
          <w:u w:val="single"/>
        </w:rPr>
        <w:t>Certificate of Completion (“COC”)</w:t>
      </w:r>
      <w:r w:rsidRPr="007F1CD2">
        <w:rPr>
          <w:rFonts w:cs="Times New Roman"/>
          <w:b/>
          <w:bCs/>
          <w:szCs w:val="24"/>
          <w:u w:val="single"/>
        </w:rPr>
        <w:t xml:space="preserve"> is Issued</w:t>
      </w:r>
      <w:r w:rsidR="00C06537">
        <w:rPr>
          <w:rFonts w:cs="Times New Roman"/>
          <w:b/>
          <w:bCs/>
          <w:szCs w:val="24"/>
          <w:u w:val="single"/>
        </w:rPr>
        <w:t xml:space="preserve"> </w:t>
      </w:r>
      <w:proofErr w:type="gramStart"/>
      <w:r w:rsidR="00C06537">
        <w:rPr>
          <w:rFonts w:cs="Times New Roman"/>
          <w:b/>
          <w:bCs/>
          <w:szCs w:val="24"/>
          <w:u w:val="single"/>
        </w:rPr>
        <w:t>-</w:t>
      </w:r>
      <w:r w:rsidR="007F1CD2" w:rsidRPr="007F1CD2">
        <w:rPr>
          <w:rFonts w:cs="Times New Roman"/>
          <w:szCs w:val="24"/>
        </w:rPr>
        <w:t xml:space="preserve"> </w:t>
      </w:r>
      <w:r w:rsidR="00C06537">
        <w:rPr>
          <w:rFonts w:cs="Times New Roman"/>
          <w:szCs w:val="24"/>
        </w:rPr>
        <w:t xml:space="preserve"> </w:t>
      </w:r>
      <w:r w:rsidRPr="007F1CD2">
        <w:rPr>
          <w:rFonts w:cs="Times New Roman"/>
          <w:szCs w:val="24"/>
        </w:rPr>
        <w:t>The</w:t>
      </w:r>
      <w:proofErr w:type="gramEnd"/>
      <w:r w:rsidRPr="007F1CD2">
        <w:rPr>
          <w:rFonts w:cs="Times New Roman"/>
          <w:szCs w:val="24"/>
        </w:rPr>
        <w:t xml:space="preserve"> proposal provides that after a COC is issued, a “Change of Use notice is not required if the person complies with the notification requirements of the Site Management Plan.”  </w:t>
      </w:r>
      <w:r w:rsidR="003E1539" w:rsidRPr="007F1CD2">
        <w:rPr>
          <w:rFonts w:cs="Times New Roman"/>
          <w:szCs w:val="24"/>
        </w:rPr>
        <w:t>We recommend that the work plan</w:t>
      </w:r>
      <w:r w:rsidR="00EC373C" w:rsidRPr="007F1CD2">
        <w:rPr>
          <w:rFonts w:cs="Times New Roman"/>
          <w:szCs w:val="24"/>
        </w:rPr>
        <w:t xml:space="preserve"> requirement should not apply to Track 1</w:t>
      </w:r>
      <w:r w:rsidR="003E1539" w:rsidRPr="007F1CD2">
        <w:rPr>
          <w:rFonts w:cs="Times New Roman"/>
          <w:szCs w:val="24"/>
        </w:rPr>
        <w:t xml:space="preserve"> COCs</w:t>
      </w:r>
      <w:r w:rsidRPr="007F1CD2">
        <w:rPr>
          <w:rFonts w:cs="Times New Roman"/>
          <w:szCs w:val="24"/>
        </w:rPr>
        <w:t xml:space="preserve"> that do not have </w:t>
      </w:r>
      <w:r w:rsidR="00787811" w:rsidRPr="007F1CD2">
        <w:rPr>
          <w:rFonts w:cs="Times New Roman"/>
          <w:szCs w:val="24"/>
        </w:rPr>
        <w:t>Site Management Plans</w:t>
      </w:r>
      <w:r w:rsidR="003E1539" w:rsidRPr="007F1CD2">
        <w:rPr>
          <w:rFonts w:cs="Times New Roman"/>
          <w:szCs w:val="24"/>
        </w:rPr>
        <w:t>, given that such sites pose no threat to human health or the environment.</w:t>
      </w:r>
      <w:bookmarkStart w:id="1" w:name="_Hlk164695034"/>
    </w:p>
    <w:p w14:paraId="6EFA4E18" w14:textId="77777777" w:rsidR="00792BA7" w:rsidRDefault="00792BA7" w:rsidP="00A5121D">
      <w:pPr>
        <w:pStyle w:val="ListParagraph"/>
        <w:spacing w:after="0"/>
        <w:ind w:left="1080"/>
        <w:rPr>
          <w:rFonts w:cs="Times New Roman"/>
          <w:b/>
          <w:bCs/>
          <w:szCs w:val="24"/>
          <w:u w:val="single"/>
        </w:rPr>
      </w:pPr>
    </w:p>
    <w:p w14:paraId="0138C133" w14:textId="12C29348" w:rsidR="00792BA7" w:rsidRDefault="00792BA7" w:rsidP="00A5121D">
      <w:pPr>
        <w:spacing w:after="0"/>
        <w:ind w:left="1080"/>
      </w:pPr>
      <w:r>
        <w:t xml:space="preserve">Separately, the existing regulation sets forth the entire procedure to follow when there is a change of ownership of a Site. </w:t>
      </w:r>
      <w:r w:rsidR="0099080A">
        <w:t xml:space="preserve"> </w:t>
      </w:r>
      <w:r>
        <w:t xml:space="preserve">The Department’s own website confirms this procedure is the one to follow. </w:t>
      </w:r>
      <w:r w:rsidR="0099080A">
        <w:t xml:space="preserve"> </w:t>
      </w:r>
      <w:r>
        <w:rPr>
          <w:i/>
          <w:iCs/>
        </w:rPr>
        <w:t xml:space="preserve">See </w:t>
      </w:r>
      <w:r>
        <w:t xml:space="preserve">“Post Notification for Changes in Ownership” at </w:t>
      </w:r>
      <w:hyperlink r:id="rId7" w:history="1">
        <w:r>
          <w:rPr>
            <w:rStyle w:val="Hyperlink"/>
          </w:rPr>
          <w:t>https://dec.ny.gov/environmental-protection/site-cleanup/brownfield-and-state-superfund-programs/finalizing-remedial-projects/change-of-use-notifications</w:t>
        </w:r>
      </w:hyperlink>
      <w:r>
        <w:rPr>
          <w:rFonts w:ascii="Aptos" w:hAnsi="Aptos"/>
        </w:rPr>
        <w:t xml:space="preserve">. </w:t>
      </w:r>
      <w:r>
        <w:t xml:space="preserve">Notwithstanding the express language in § 375-1.11(d)(3) and the summary on the Department’s website, the Department has been imposing an additional requirement for Brownfield Sites when there is nothing more than a change of ownership: the filing of a Request to Amend a Brownfield Cleanup Agreement. </w:t>
      </w:r>
      <w:r w:rsidR="0099080A">
        <w:t xml:space="preserve"> </w:t>
      </w:r>
      <w:r>
        <w:t xml:space="preserve">By requiring an amendment to the BCA for a change of ownership, the Department is disregarding its own established regulations, and doing so without following proper rulemaking procedure. Given the express provision in the existing regulation regarding change of ownership, there is no practical need (and perhaps no legal authority) to require a separate BCA amendment to cover that issue. The BCP statute requires including in the BCA a provision only describing the </w:t>
      </w:r>
      <w:r>
        <w:rPr>
          <w:b/>
          <w:bCs/>
          <w:i/>
          <w:iCs/>
        </w:rPr>
        <w:t>boundaries</w:t>
      </w:r>
      <w:r>
        <w:t xml:space="preserve"> of the property (</w:t>
      </w:r>
      <w:r>
        <w:rPr>
          <w:i/>
          <w:iCs/>
        </w:rPr>
        <w:t xml:space="preserve">see </w:t>
      </w:r>
      <w:r>
        <w:t xml:space="preserve">ECL §27-1409[1]); there is no requirement to include a provision identifying the </w:t>
      </w:r>
      <w:r>
        <w:rPr>
          <w:b/>
          <w:bCs/>
          <w:i/>
          <w:iCs/>
        </w:rPr>
        <w:t>owner</w:t>
      </w:r>
      <w:r>
        <w:t xml:space="preserve"> of the property. </w:t>
      </w:r>
      <w:r w:rsidR="0099080A">
        <w:t xml:space="preserve"> </w:t>
      </w:r>
      <w:r>
        <w:t>If it</w:t>
      </w:r>
      <w:r w:rsidR="0099080A">
        <w:t xml:space="preserve"> i</w:t>
      </w:r>
      <w:r>
        <w:t>s not statutorily</w:t>
      </w:r>
      <w:r w:rsidR="006869E0">
        <w:t xml:space="preserve"> </w:t>
      </w:r>
      <w:r>
        <w:t>required to include the identi</w:t>
      </w:r>
      <w:r w:rsidR="005B1622">
        <w:t>t</w:t>
      </w:r>
      <w:r>
        <w:t>y of the owner in the original BCA, there is no justification to amend the BCA when the owner of the property has changed.</w:t>
      </w:r>
    </w:p>
    <w:p w14:paraId="4D98F412" w14:textId="77777777" w:rsidR="00A5121D" w:rsidRDefault="00A5121D" w:rsidP="00A5121D">
      <w:pPr>
        <w:spacing w:after="0"/>
        <w:ind w:left="1080"/>
      </w:pPr>
    </w:p>
    <w:p w14:paraId="66C445E6" w14:textId="375FDBA1" w:rsidR="00FA37AA" w:rsidRDefault="00943CBE" w:rsidP="00A5121D">
      <w:pPr>
        <w:pStyle w:val="ListParagraph"/>
        <w:numPr>
          <w:ilvl w:val="0"/>
          <w:numId w:val="17"/>
        </w:numPr>
        <w:spacing w:after="0"/>
      </w:pPr>
      <w:r>
        <w:rPr>
          <w:b/>
          <w:bCs/>
          <w:u w:val="single"/>
        </w:rPr>
        <w:t>§ 375-1.12(a)(1):</w:t>
      </w:r>
      <w:r w:rsidR="00FA37AA" w:rsidRPr="00943CBE">
        <w:rPr>
          <w:b/>
          <w:bCs/>
          <w:u w:val="single"/>
        </w:rPr>
        <w:t xml:space="preserve"> Permit Exemptions/Terminology</w:t>
      </w:r>
      <w:r>
        <w:rPr>
          <w:u w:val="single"/>
        </w:rPr>
        <w:t xml:space="preserve"> </w:t>
      </w:r>
      <w:proofErr w:type="gramStart"/>
      <w:r>
        <w:rPr>
          <w:u w:val="single"/>
        </w:rPr>
        <w:t>-</w:t>
      </w:r>
      <w:r w:rsidR="00FA37AA">
        <w:t xml:space="preserve"> </w:t>
      </w:r>
      <w:r>
        <w:t xml:space="preserve"> </w:t>
      </w:r>
      <w:r w:rsidR="00FA37AA">
        <w:t>This</w:t>
      </w:r>
      <w:proofErr w:type="gramEnd"/>
      <w:r w:rsidR="00FA37AA">
        <w:t xml:space="preserve"> proposal would extend the Department’s authority to </w:t>
      </w:r>
      <w:r w:rsidR="00FA37AA" w:rsidRPr="00FA37AA">
        <w:rPr>
          <w:rFonts w:cs="Times New Roman"/>
          <w:szCs w:val="24"/>
        </w:rPr>
        <w:t>exempt</w:t>
      </w:r>
      <w:r w:rsidR="00FA37AA">
        <w:t xml:space="preserve"> the requirement to obtain certain State and local permits for “investigation and/or remediation of contamination on or emanating from a site which the department is handling.” We note that the Department has sometimes used the phrase “migrating” rather than “emanating,” and we suggest using the term “migrating” here.</w:t>
      </w:r>
    </w:p>
    <w:p w14:paraId="5EAEE0EF" w14:textId="4BFF0C34" w:rsidR="00FA37AA" w:rsidRDefault="00FA37AA" w:rsidP="00A5121D">
      <w:pPr>
        <w:spacing w:after="0"/>
        <w:ind w:left="1080"/>
        <w:rPr>
          <w:sz w:val="22"/>
        </w:rPr>
      </w:pPr>
    </w:p>
    <w:p w14:paraId="12840262" w14:textId="5642B648" w:rsidR="00A5121D" w:rsidRDefault="00A5121D" w:rsidP="00A5121D">
      <w:pPr>
        <w:spacing w:after="0"/>
        <w:ind w:left="1080"/>
        <w:rPr>
          <w:sz w:val="22"/>
        </w:rPr>
      </w:pPr>
    </w:p>
    <w:p w14:paraId="5857D70D" w14:textId="77777777" w:rsidR="00A5121D" w:rsidRDefault="00A5121D" w:rsidP="00A5121D">
      <w:pPr>
        <w:spacing w:after="0"/>
        <w:ind w:left="1080"/>
        <w:rPr>
          <w:sz w:val="22"/>
        </w:rPr>
      </w:pPr>
    </w:p>
    <w:p w14:paraId="53FD4B56" w14:textId="3CC57BD0" w:rsidR="00FA37AA" w:rsidRPr="006869E0" w:rsidRDefault="00FA37AA" w:rsidP="00A5121D">
      <w:pPr>
        <w:spacing w:after="0"/>
        <w:rPr>
          <w:b/>
          <w:bCs/>
          <w:szCs w:val="24"/>
          <w:u w:val="single"/>
        </w:rPr>
      </w:pPr>
      <w:r w:rsidRPr="006869E0">
        <w:rPr>
          <w:b/>
          <w:bCs/>
          <w:szCs w:val="24"/>
          <w:u w:val="single"/>
        </w:rPr>
        <w:t>6 NYCRR Subpart 375-2</w:t>
      </w:r>
    </w:p>
    <w:p w14:paraId="259BD5CA" w14:textId="531B0280" w:rsidR="00EE099F" w:rsidRPr="00A5121D" w:rsidRDefault="00EE099F" w:rsidP="00A5121D">
      <w:pPr>
        <w:pStyle w:val="ListParagraph"/>
        <w:numPr>
          <w:ilvl w:val="0"/>
          <w:numId w:val="17"/>
        </w:numPr>
        <w:spacing w:after="0"/>
        <w:rPr>
          <w:b/>
          <w:bCs/>
          <w:szCs w:val="24"/>
        </w:rPr>
      </w:pPr>
      <w:r w:rsidRPr="00943CBE">
        <w:rPr>
          <w:b/>
          <w:bCs/>
          <w:szCs w:val="24"/>
          <w:u w:val="single"/>
        </w:rPr>
        <w:t>§ 375-2.</w:t>
      </w:r>
      <w:r w:rsidR="00D026FE" w:rsidRPr="00943CBE">
        <w:rPr>
          <w:b/>
          <w:bCs/>
          <w:szCs w:val="24"/>
          <w:u w:val="single"/>
        </w:rPr>
        <w:t>7</w:t>
      </w:r>
      <w:r w:rsidR="00943CBE">
        <w:rPr>
          <w:b/>
          <w:bCs/>
          <w:szCs w:val="24"/>
          <w:u w:val="single"/>
        </w:rPr>
        <w:t>(e)(4)(ii)(b)(2):</w:t>
      </w:r>
      <w:r w:rsidRPr="00943CBE">
        <w:rPr>
          <w:b/>
          <w:bCs/>
          <w:szCs w:val="24"/>
          <w:u w:val="single"/>
        </w:rPr>
        <w:t xml:space="preserve"> Department May Delist a Site When Soil Vapor I</w:t>
      </w:r>
      <w:r w:rsidR="00943CBE">
        <w:rPr>
          <w:b/>
          <w:bCs/>
          <w:szCs w:val="24"/>
          <w:u w:val="single"/>
        </w:rPr>
        <w:t xml:space="preserve">ntrusion Measures Are in Place </w:t>
      </w:r>
      <w:proofErr w:type="gramStart"/>
      <w:r w:rsidR="00943CBE">
        <w:rPr>
          <w:b/>
          <w:bCs/>
          <w:szCs w:val="24"/>
          <w:u w:val="single"/>
        </w:rPr>
        <w:t>-</w:t>
      </w:r>
      <w:r w:rsidRPr="00334C1F">
        <w:rPr>
          <w:b/>
          <w:bCs/>
          <w:szCs w:val="24"/>
        </w:rPr>
        <w:t xml:space="preserve"> </w:t>
      </w:r>
      <w:r w:rsidR="00943CBE">
        <w:rPr>
          <w:b/>
          <w:bCs/>
          <w:szCs w:val="24"/>
        </w:rPr>
        <w:t xml:space="preserve"> </w:t>
      </w:r>
      <w:r w:rsidRPr="00334C1F">
        <w:rPr>
          <w:szCs w:val="24"/>
        </w:rPr>
        <w:t>We</w:t>
      </w:r>
      <w:proofErr w:type="gramEnd"/>
      <w:r w:rsidRPr="00334C1F">
        <w:rPr>
          <w:szCs w:val="24"/>
        </w:rPr>
        <w:t xml:space="preserve"> support this change to provide that a site may be delisted in certain circumstances even if there are engineering controls in place to address potential soil vapor intrusion.</w:t>
      </w:r>
    </w:p>
    <w:p w14:paraId="6F1AEA04" w14:textId="77777777" w:rsidR="00943CBE" w:rsidRPr="00334C1F" w:rsidRDefault="00943CBE" w:rsidP="00A5121D">
      <w:pPr>
        <w:spacing w:after="0"/>
        <w:rPr>
          <w:b/>
          <w:bCs/>
          <w:szCs w:val="24"/>
        </w:rPr>
      </w:pPr>
    </w:p>
    <w:p w14:paraId="0968A25A" w14:textId="39937EEB" w:rsidR="00FA37AA" w:rsidRDefault="00943CBE" w:rsidP="00A5121D">
      <w:pPr>
        <w:pStyle w:val="ListParagraph"/>
        <w:numPr>
          <w:ilvl w:val="0"/>
          <w:numId w:val="17"/>
        </w:numPr>
        <w:spacing w:after="0"/>
        <w:rPr>
          <w:szCs w:val="24"/>
        </w:rPr>
      </w:pPr>
      <w:r>
        <w:rPr>
          <w:b/>
          <w:bCs/>
          <w:szCs w:val="24"/>
          <w:u w:val="single"/>
        </w:rPr>
        <w:lastRenderedPageBreak/>
        <w:t>§ 375-2.7(e)(1)(iv):</w:t>
      </w:r>
      <w:r w:rsidR="00FA37AA" w:rsidRPr="00943CBE">
        <w:rPr>
          <w:b/>
          <w:bCs/>
          <w:szCs w:val="24"/>
          <w:u w:val="single"/>
        </w:rPr>
        <w:t xml:space="preserve"> Notifications Regarding the Delisting of a Site</w:t>
      </w:r>
      <w:r>
        <w:rPr>
          <w:szCs w:val="24"/>
          <w:u w:val="single"/>
        </w:rPr>
        <w:t xml:space="preserve"> </w:t>
      </w:r>
      <w:proofErr w:type="gramStart"/>
      <w:r>
        <w:rPr>
          <w:szCs w:val="24"/>
          <w:u w:val="single"/>
        </w:rPr>
        <w:t>-</w:t>
      </w:r>
      <w:r w:rsidR="00FA37AA" w:rsidRPr="00334C1F">
        <w:rPr>
          <w:szCs w:val="24"/>
        </w:rPr>
        <w:t xml:space="preserve"> </w:t>
      </w:r>
      <w:r>
        <w:rPr>
          <w:szCs w:val="24"/>
        </w:rPr>
        <w:t xml:space="preserve"> </w:t>
      </w:r>
      <w:r w:rsidR="00FA37AA" w:rsidRPr="00334C1F">
        <w:rPr>
          <w:szCs w:val="24"/>
        </w:rPr>
        <w:t>The</w:t>
      </w:r>
      <w:proofErr w:type="gramEnd"/>
      <w:r w:rsidR="00FA37AA" w:rsidRPr="00334C1F">
        <w:rPr>
          <w:szCs w:val="24"/>
        </w:rPr>
        <w:t xml:space="preserve"> proposal provides that notification of the reclassification of a site should be made to “local governments of jurisdiction” within ten days. The proposal should be revised to clarify who should provide this notice (e.g., the Department or responsible parties).</w:t>
      </w:r>
    </w:p>
    <w:p w14:paraId="6A78C53A" w14:textId="77777777" w:rsidR="00A5121D" w:rsidRPr="00A5121D" w:rsidRDefault="00A5121D" w:rsidP="00A5121D">
      <w:pPr>
        <w:pStyle w:val="ListParagraph"/>
        <w:numPr>
          <w:ilvl w:val="0"/>
          <w:numId w:val="17"/>
        </w:numPr>
        <w:spacing w:after="0"/>
        <w:rPr>
          <w:szCs w:val="24"/>
        </w:rPr>
      </w:pPr>
    </w:p>
    <w:p w14:paraId="1234D41C" w14:textId="77777777" w:rsidR="00A5121D" w:rsidRPr="00334C1F" w:rsidRDefault="00A5121D" w:rsidP="00A5121D">
      <w:pPr>
        <w:spacing w:after="0"/>
        <w:rPr>
          <w:sz w:val="22"/>
        </w:rPr>
      </w:pPr>
    </w:p>
    <w:p w14:paraId="05A46427" w14:textId="4200D95C" w:rsidR="00FA37AA" w:rsidRPr="007F1CD2" w:rsidRDefault="007F1CD2" w:rsidP="00A5121D">
      <w:pPr>
        <w:spacing w:after="0"/>
        <w:rPr>
          <w:rFonts w:cs="Times New Roman"/>
          <w:b/>
          <w:bCs/>
          <w:szCs w:val="24"/>
          <w:u w:val="single"/>
        </w:rPr>
      </w:pPr>
      <w:r w:rsidRPr="007F1CD2">
        <w:rPr>
          <w:rFonts w:cs="Times New Roman"/>
          <w:b/>
          <w:bCs/>
          <w:szCs w:val="24"/>
          <w:u w:val="single"/>
        </w:rPr>
        <w:t>6 NYCRR Subpart 375-3</w:t>
      </w:r>
    </w:p>
    <w:p w14:paraId="04C3B66D" w14:textId="77777777" w:rsidR="007F1CD2" w:rsidRDefault="007F1CD2" w:rsidP="00A5121D">
      <w:pPr>
        <w:pStyle w:val="ListParagraph"/>
        <w:spacing w:after="0"/>
        <w:ind w:left="1080"/>
        <w:rPr>
          <w:rFonts w:cs="Times New Roman"/>
          <w:szCs w:val="24"/>
        </w:rPr>
      </w:pPr>
    </w:p>
    <w:p w14:paraId="1BA556D8" w14:textId="74BF476D" w:rsidR="007F1CD2" w:rsidRPr="007F1CD2" w:rsidRDefault="0057336A" w:rsidP="00A5121D">
      <w:pPr>
        <w:pStyle w:val="ListParagraph"/>
        <w:numPr>
          <w:ilvl w:val="0"/>
          <w:numId w:val="17"/>
        </w:numPr>
        <w:spacing w:after="0"/>
        <w:rPr>
          <w:rFonts w:cs="Times New Roman"/>
          <w:szCs w:val="24"/>
        </w:rPr>
      </w:pPr>
      <w:r w:rsidRPr="007F1CD2">
        <w:rPr>
          <w:rFonts w:cs="Times New Roman"/>
          <w:b/>
          <w:szCs w:val="24"/>
          <w:u w:val="single"/>
        </w:rPr>
        <w:t xml:space="preserve">§ </w:t>
      </w:r>
      <w:r w:rsidR="008942B9" w:rsidRPr="007F1CD2">
        <w:rPr>
          <w:rFonts w:cs="Times New Roman"/>
          <w:b/>
          <w:szCs w:val="24"/>
          <w:u w:val="single"/>
        </w:rPr>
        <w:t>375-3.2(e):</w:t>
      </w:r>
      <w:r w:rsidR="00AC133B" w:rsidRPr="007F1CD2">
        <w:rPr>
          <w:rFonts w:cs="Times New Roman"/>
          <w:b/>
          <w:szCs w:val="24"/>
          <w:u w:val="single"/>
        </w:rPr>
        <w:t xml:space="preserve"> </w:t>
      </w:r>
      <w:r w:rsidR="008942B9" w:rsidRPr="007F1CD2">
        <w:rPr>
          <w:rFonts w:cs="Times New Roman"/>
          <w:b/>
          <w:szCs w:val="24"/>
          <w:u w:val="single"/>
        </w:rPr>
        <w:t>Definition of “Cover system or site cover”</w:t>
      </w:r>
      <w:r w:rsidR="00C06537">
        <w:rPr>
          <w:rFonts w:cs="Times New Roman"/>
          <w:b/>
          <w:szCs w:val="24"/>
          <w:u w:val="single"/>
        </w:rPr>
        <w:t xml:space="preserve"> -</w:t>
      </w:r>
      <w:r w:rsidR="008942B9" w:rsidRPr="007F1CD2">
        <w:rPr>
          <w:rFonts w:cs="Times New Roman"/>
          <w:szCs w:val="24"/>
        </w:rPr>
        <w:t xml:space="preserve"> </w:t>
      </w:r>
      <w:r w:rsidR="007F1CD2" w:rsidRPr="007F1CD2">
        <w:rPr>
          <w:rFonts w:cs="Times New Roman"/>
          <w:szCs w:val="24"/>
        </w:rPr>
        <w:t xml:space="preserve"> </w:t>
      </w:r>
      <w:bookmarkEnd w:id="1"/>
      <w:r w:rsidR="008942B9" w:rsidRPr="007F1CD2">
        <w:rPr>
          <w:rFonts w:cs="Times New Roman"/>
          <w:bCs/>
          <w:szCs w:val="24"/>
        </w:rPr>
        <w:t>The addition of a hardscape cover definition was largely recommended by the Bar Association and is a positive amendment compared to the prior draft regulations at § 375-3.6(f), which had included an unworkable 1-2 foot cost equivalent of a soil formula to be calculated for any cover system, and which prevented any hardscape cover system from counting toward the site preparation tax credits in conflict with Tax Law §</w:t>
      </w:r>
      <w:r w:rsidR="00002E51">
        <w:rPr>
          <w:rFonts w:cs="Times New Roman"/>
          <w:bCs/>
          <w:szCs w:val="24"/>
        </w:rPr>
        <w:t xml:space="preserve"> </w:t>
      </w:r>
      <w:r w:rsidR="008942B9" w:rsidRPr="007F1CD2">
        <w:rPr>
          <w:rFonts w:cs="Times New Roman"/>
          <w:bCs/>
          <w:szCs w:val="24"/>
        </w:rPr>
        <w:t>21(b)(2), which contemplates that part of the cost of a foundation where required as a cover system should count as part of the site preparation tax credits.  The Bar Association had further recommended a formula to take the guesswork out of what would be the thickness of the hardscape cover system that would count as remedial in nature, but this formula was not adopted.  Essentially, based on the revised definition, it will now be up to the BCP party and its engineer of record to describe in the RAWP the required thickness of a hardscape remedial cover system as required b</w:t>
      </w:r>
      <w:r w:rsidR="00FD559E" w:rsidRPr="007F1CD2">
        <w:rPr>
          <w:rFonts w:cs="Times New Roman"/>
          <w:bCs/>
          <w:szCs w:val="24"/>
        </w:rPr>
        <w:t>y</w:t>
      </w:r>
      <w:r w:rsidR="008942B9" w:rsidRPr="007F1CD2">
        <w:rPr>
          <w:rFonts w:cs="Times New Roman"/>
          <w:bCs/>
          <w:szCs w:val="24"/>
        </w:rPr>
        <w:t xml:space="preserve"> the local </w:t>
      </w:r>
      <w:r w:rsidR="00A2047B">
        <w:rPr>
          <w:rFonts w:cs="Times New Roman"/>
          <w:bCs/>
          <w:szCs w:val="24"/>
        </w:rPr>
        <w:t>building code since the S</w:t>
      </w:r>
      <w:r w:rsidR="008942B9" w:rsidRPr="007F1CD2">
        <w:rPr>
          <w:rFonts w:cs="Times New Roman"/>
          <w:bCs/>
          <w:szCs w:val="24"/>
        </w:rPr>
        <w:t>tate building code only includes the minimum thickness for residential houses.</w:t>
      </w:r>
    </w:p>
    <w:p w14:paraId="6EA0BC31" w14:textId="5D9448AC" w:rsidR="007F1CD2" w:rsidRDefault="007F1CD2" w:rsidP="00A5121D">
      <w:pPr>
        <w:pStyle w:val="ListParagraph"/>
        <w:spacing w:after="0"/>
        <w:ind w:left="1080"/>
        <w:rPr>
          <w:rFonts w:cs="Times New Roman"/>
          <w:szCs w:val="24"/>
        </w:rPr>
      </w:pPr>
    </w:p>
    <w:p w14:paraId="0E6972DB" w14:textId="321EF1AB" w:rsidR="002C20D7" w:rsidRPr="002C20D7" w:rsidRDefault="006869E0" w:rsidP="00A5121D">
      <w:pPr>
        <w:pStyle w:val="ListParagraph"/>
        <w:spacing w:after="0"/>
        <w:ind w:left="1080"/>
        <w:rPr>
          <w:rFonts w:cs="Times New Roman"/>
          <w:szCs w:val="24"/>
        </w:rPr>
      </w:pPr>
      <w:r>
        <w:rPr>
          <w:rFonts w:cs="Times New Roman"/>
          <w:szCs w:val="24"/>
        </w:rPr>
        <w:t>However, we do recommend the following edits</w:t>
      </w:r>
      <w:r w:rsidR="002C20D7" w:rsidRPr="002C20D7">
        <w:rPr>
          <w:rFonts w:cs="Times New Roman"/>
          <w:szCs w:val="24"/>
        </w:rPr>
        <w:t xml:space="preserve">: </w:t>
      </w:r>
    </w:p>
    <w:p w14:paraId="7E67F6F9" w14:textId="77777777" w:rsidR="002C20D7" w:rsidRPr="002C20D7" w:rsidRDefault="002C20D7" w:rsidP="00A5121D">
      <w:pPr>
        <w:pStyle w:val="ListParagraph"/>
        <w:spacing w:after="0"/>
        <w:ind w:left="1080"/>
        <w:rPr>
          <w:rFonts w:cs="Times New Roman"/>
          <w:szCs w:val="24"/>
        </w:rPr>
      </w:pPr>
    </w:p>
    <w:p w14:paraId="239224F3" w14:textId="77777777" w:rsidR="00937DF4" w:rsidRDefault="002C20D7" w:rsidP="00A5121D">
      <w:pPr>
        <w:pStyle w:val="ListParagraph"/>
        <w:numPr>
          <w:ilvl w:val="0"/>
          <w:numId w:val="19"/>
        </w:numPr>
        <w:spacing w:after="0"/>
        <w:rPr>
          <w:rFonts w:cs="Times New Roman"/>
          <w:szCs w:val="24"/>
        </w:rPr>
      </w:pPr>
      <w:r w:rsidRPr="002C20D7">
        <w:rPr>
          <w:rFonts w:cs="Times New Roman"/>
          <w:szCs w:val="24"/>
        </w:rPr>
        <w:t>First, the phrase in clause (2), “where such component already exists or are a component of the redevelopment” should be eliminated. The reference to existing materials and to “the redevelopment” unnecessarily blur the distinction between the physical structures that serve the purpose of an engineering control (EC) and those that do not. Some hardscapes may become “a component of the redevelopment” while others, such as an asphalt or concrete surface, may precede or otherwise exist independently from any redevelopment project.</w:t>
      </w:r>
    </w:p>
    <w:p w14:paraId="367C2666" w14:textId="77777777" w:rsidR="00937DF4" w:rsidRDefault="00937DF4" w:rsidP="00A5121D">
      <w:pPr>
        <w:pStyle w:val="ListParagraph"/>
        <w:spacing w:after="0"/>
        <w:ind w:left="1800"/>
        <w:rPr>
          <w:rFonts w:cs="Times New Roman"/>
          <w:szCs w:val="24"/>
        </w:rPr>
      </w:pPr>
    </w:p>
    <w:p w14:paraId="4EDAB1B0" w14:textId="3DCE5455" w:rsidR="00937DF4" w:rsidRDefault="002C20D7" w:rsidP="00A5121D">
      <w:pPr>
        <w:pStyle w:val="ListParagraph"/>
        <w:numPr>
          <w:ilvl w:val="0"/>
          <w:numId w:val="19"/>
        </w:numPr>
        <w:spacing w:after="0"/>
        <w:rPr>
          <w:rFonts w:cs="Times New Roman"/>
          <w:szCs w:val="24"/>
        </w:rPr>
      </w:pPr>
      <w:r w:rsidRPr="00937DF4">
        <w:rPr>
          <w:rFonts w:cs="Times New Roman"/>
          <w:szCs w:val="24"/>
        </w:rPr>
        <w:t xml:space="preserve">Second, the statement that the required thickness of hardscape systems “must otherwise meet” applicable building code appears to be intended to state what is already the law – i.e., that regardless of the thickness needed to serve the EC function, they must also meet building code.  The phrasing may confuse readers into equating building code compliant thicknesses with EC requirements. </w:t>
      </w:r>
      <w:r w:rsidR="00DD3F96">
        <w:rPr>
          <w:rFonts w:cs="Times New Roman"/>
          <w:szCs w:val="24"/>
        </w:rPr>
        <w:t xml:space="preserve"> </w:t>
      </w:r>
      <w:r w:rsidRPr="00937DF4">
        <w:rPr>
          <w:rFonts w:cs="Times New Roman"/>
          <w:szCs w:val="24"/>
        </w:rPr>
        <w:t xml:space="preserve">We would suggest removing the reference to </w:t>
      </w:r>
      <w:r w:rsidR="006869E0">
        <w:rPr>
          <w:rFonts w:cs="Times New Roman"/>
          <w:szCs w:val="24"/>
        </w:rPr>
        <w:t xml:space="preserve">the </w:t>
      </w:r>
      <w:r w:rsidRPr="00937DF4">
        <w:rPr>
          <w:rFonts w:cs="Times New Roman"/>
          <w:szCs w:val="24"/>
        </w:rPr>
        <w:t>building code to avoid such confusion.</w:t>
      </w:r>
      <w:r w:rsidR="006869E0">
        <w:rPr>
          <w:rFonts w:cs="Times New Roman"/>
          <w:szCs w:val="24"/>
        </w:rPr>
        <w:t xml:space="preserve">  The reference to the building code in EELS’ last set of regulatory comments was intended to advise the Department that even a residential home is required to have at least a </w:t>
      </w:r>
      <w:proofErr w:type="gramStart"/>
      <w:r w:rsidR="006869E0">
        <w:rPr>
          <w:rFonts w:cs="Times New Roman"/>
          <w:szCs w:val="24"/>
        </w:rPr>
        <w:t>one foot thick</w:t>
      </w:r>
      <w:proofErr w:type="gramEnd"/>
      <w:r w:rsidR="006869E0">
        <w:rPr>
          <w:rFonts w:cs="Times New Roman"/>
          <w:szCs w:val="24"/>
        </w:rPr>
        <w:t xml:space="preserve"> foundation.</w:t>
      </w:r>
    </w:p>
    <w:p w14:paraId="6AC1D573" w14:textId="77777777" w:rsidR="00937DF4" w:rsidRPr="00937DF4" w:rsidRDefault="00937DF4" w:rsidP="00A5121D">
      <w:pPr>
        <w:spacing w:after="0"/>
        <w:rPr>
          <w:rFonts w:cs="Times New Roman"/>
          <w:szCs w:val="24"/>
        </w:rPr>
      </w:pPr>
    </w:p>
    <w:p w14:paraId="17B80962" w14:textId="77777777" w:rsidR="00937DF4" w:rsidRDefault="002C20D7" w:rsidP="00A5121D">
      <w:pPr>
        <w:pStyle w:val="ListParagraph"/>
        <w:numPr>
          <w:ilvl w:val="0"/>
          <w:numId w:val="19"/>
        </w:numPr>
        <w:spacing w:after="0"/>
        <w:rPr>
          <w:rFonts w:cs="Times New Roman"/>
          <w:szCs w:val="24"/>
        </w:rPr>
      </w:pPr>
      <w:r w:rsidRPr="00937DF4">
        <w:rPr>
          <w:rFonts w:cs="Times New Roman"/>
          <w:szCs w:val="24"/>
        </w:rPr>
        <w:lastRenderedPageBreak/>
        <w:t xml:space="preserve">Third, the last sentence in clause (2) should be deleted because the description of any EC (including a site cover or cover system) is strictly within the environmental purview of NYSDEC and is not subject to any provision of the Tax Law. The relationship between this definition and the brownfield redevelopment tax credits described in section 21 of the tax law – </w:t>
      </w:r>
      <w:proofErr w:type="gramStart"/>
      <w:r w:rsidRPr="00937DF4">
        <w:rPr>
          <w:rFonts w:cs="Times New Roman"/>
          <w:szCs w:val="24"/>
        </w:rPr>
        <w:t>and in particular, the</w:t>
      </w:r>
      <w:proofErr w:type="gramEnd"/>
      <w:r w:rsidRPr="00937DF4">
        <w:rPr>
          <w:rFonts w:cs="Times New Roman"/>
          <w:szCs w:val="24"/>
        </w:rPr>
        <w:t xml:space="preserve"> definition of “site preparation costs” – lies in the fact that site preparation costs include eligible costs incurred by an applicant for remediation of a brownfield site after execution of a BCA, including, where applicable, the cost of site cover systems. </w:t>
      </w:r>
    </w:p>
    <w:p w14:paraId="0A4CB93D" w14:textId="77777777" w:rsidR="00937DF4" w:rsidRPr="00937DF4" w:rsidRDefault="00937DF4" w:rsidP="00A5121D">
      <w:pPr>
        <w:pStyle w:val="ListParagraph"/>
        <w:spacing w:after="0"/>
        <w:rPr>
          <w:rFonts w:cs="Times New Roman"/>
          <w:szCs w:val="24"/>
        </w:rPr>
      </w:pPr>
    </w:p>
    <w:p w14:paraId="222B4192" w14:textId="77777777" w:rsidR="00937DF4" w:rsidRDefault="002C20D7" w:rsidP="00A5121D">
      <w:pPr>
        <w:pStyle w:val="ListParagraph"/>
        <w:spacing w:after="0"/>
        <w:ind w:left="1800"/>
        <w:rPr>
          <w:rFonts w:cs="Times New Roman"/>
          <w:szCs w:val="24"/>
        </w:rPr>
      </w:pPr>
      <w:r w:rsidRPr="00937DF4">
        <w:rPr>
          <w:rFonts w:cs="Times New Roman"/>
          <w:szCs w:val="24"/>
        </w:rPr>
        <w:t xml:space="preserve">The last sentence of Tax Law section 21(b)(2) </w:t>
      </w:r>
      <w:proofErr w:type="gramStart"/>
      <w:r w:rsidRPr="00937DF4">
        <w:rPr>
          <w:rFonts w:cs="Times New Roman"/>
          <w:szCs w:val="24"/>
        </w:rPr>
        <w:t>provides simply</w:t>
      </w:r>
      <w:proofErr w:type="gramEnd"/>
      <w:r w:rsidRPr="00937DF4">
        <w:rPr>
          <w:rFonts w:cs="Times New Roman"/>
          <w:szCs w:val="24"/>
        </w:rPr>
        <w:t xml:space="preserve"> that “[s]</w:t>
      </w:r>
      <w:proofErr w:type="spellStart"/>
      <w:r w:rsidRPr="00937DF4">
        <w:rPr>
          <w:rFonts w:cs="Times New Roman"/>
          <w:szCs w:val="24"/>
        </w:rPr>
        <w:t>ite</w:t>
      </w:r>
      <w:proofErr w:type="spellEnd"/>
      <w:r w:rsidRPr="00937DF4">
        <w:rPr>
          <w:rFonts w:cs="Times New Roman"/>
          <w:szCs w:val="24"/>
        </w:rPr>
        <w:t xml:space="preserve"> preparation costs shall not include the costs of foundation systems that exceed the cover system requirements in the regulations applicable to the qualified site.” The description of “hardscape cover systems” in clause (2) of this definition – and in particular the thickness required to serve an EC purpose – is an environmental determination, not a tax determination. Therefore, instead of asserting (incorrectly) the primacy of the Tax Law, the regulation should contain this cross-reference: “For the definition of “site preparation costs” used in the calculation of the brownfield redevelopment tax credit, see section 21(b)(2) of the New York Tax Law.”</w:t>
      </w:r>
    </w:p>
    <w:p w14:paraId="707F3123" w14:textId="77777777" w:rsidR="00937DF4" w:rsidRPr="00937DF4" w:rsidRDefault="00937DF4" w:rsidP="00A5121D">
      <w:pPr>
        <w:pStyle w:val="ListParagraph"/>
        <w:spacing w:after="0"/>
        <w:rPr>
          <w:rFonts w:cs="Times New Roman"/>
          <w:szCs w:val="24"/>
        </w:rPr>
      </w:pPr>
    </w:p>
    <w:p w14:paraId="466C1186" w14:textId="5128B818" w:rsidR="002C20D7" w:rsidRPr="00937DF4" w:rsidRDefault="002C20D7" w:rsidP="00A5121D">
      <w:pPr>
        <w:pStyle w:val="ListParagraph"/>
        <w:numPr>
          <w:ilvl w:val="0"/>
          <w:numId w:val="19"/>
        </w:numPr>
        <w:spacing w:after="0"/>
        <w:rPr>
          <w:rFonts w:cs="Times New Roman"/>
          <w:szCs w:val="24"/>
        </w:rPr>
      </w:pPr>
      <w:r w:rsidRPr="00937DF4">
        <w:rPr>
          <w:rFonts w:cs="Times New Roman"/>
          <w:szCs w:val="24"/>
        </w:rPr>
        <w:t xml:space="preserve">Finally, and of critical importance to the implementation of this definition in practice, clause (2) should clarify that applicants should describe in an approved work plan any planned hardscape ECs and their composition, structure, and thickness(es) needed to serve the EC function to eliminate exposure pathways – a determination that necessarily must be based on site conditions.  That clarification would ensure that applicants understand, through the RAWP and FER, the “cover system requirements in the regulations applicable to the qualified site” when they receive their COC and are calculating their site preparation costs under Tax Law section 21(b)(2).   </w:t>
      </w:r>
    </w:p>
    <w:p w14:paraId="1CB4C448" w14:textId="77777777" w:rsidR="00A2047B" w:rsidRPr="007F1CD2" w:rsidRDefault="00A2047B" w:rsidP="00A5121D">
      <w:pPr>
        <w:pStyle w:val="ListParagraph"/>
        <w:spacing w:after="0"/>
        <w:ind w:left="1080"/>
        <w:rPr>
          <w:rFonts w:cs="Times New Roman"/>
          <w:szCs w:val="24"/>
        </w:rPr>
      </w:pPr>
    </w:p>
    <w:p w14:paraId="5C6B2FBF" w14:textId="4BC0FB95" w:rsidR="007F1CD2" w:rsidRDefault="00804125" w:rsidP="00A5121D">
      <w:pPr>
        <w:pStyle w:val="ListParagraph"/>
        <w:numPr>
          <w:ilvl w:val="0"/>
          <w:numId w:val="17"/>
        </w:numPr>
        <w:spacing w:after="0"/>
        <w:rPr>
          <w:rFonts w:cs="Times New Roman"/>
          <w:szCs w:val="24"/>
        </w:rPr>
      </w:pPr>
      <w:r w:rsidRPr="007F1CD2">
        <w:rPr>
          <w:rFonts w:cs="Times New Roman"/>
          <w:b/>
          <w:szCs w:val="24"/>
          <w:u w:val="single"/>
        </w:rPr>
        <w:t>§ 375-</w:t>
      </w:r>
      <w:r w:rsidR="004F2D85" w:rsidRPr="007F1CD2">
        <w:rPr>
          <w:rFonts w:cs="Times New Roman"/>
          <w:b/>
          <w:szCs w:val="24"/>
          <w:u w:val="single"/>
        </w:rPr>
        <w:t>3.2(k)</w:t>
      </w:r>
      <w:r w:rsidRPr="007F1CD2">
        <w:rPr>
          <w:rFonts w:cs="Times New Roman"/>
          <w:b/>
          <w:szCs w:val="24"/>
          <w:u w:val="single"/>
        </w:rPr>
        <w:t>: Definition of “PRP Search”</w:t>
      </w:r>
      <w:r w:rsidR="00C06537">
        <w:rPr>
          <w:rFonts w:cs="Times New Roman"/>
          <w:b/>
          <w:szCs w:val="24"/>
          <w:u w:val="single"/>
        </w:rPr>
        <w:t xml:space="preserve"> </w:t>
      </w:r>
      <w:proofErr w:type="gramStart"/>
      <w:r w:rsidR="00C06537">
        <w:rPr>
          <w:rFonts w:cs="Times New Roman"/>
          <w:b/>
          <w:szCs w:val="24"/>
          <w:u w:val="single"/>
        </w:rPr>
        <w:t>-</w:t>
      </w:r>
      <w:r w:rsidR="007F1CD2" w:rsidRPr="007F1CD2">
        <w:rPr>
          <w:rFonts w:cs="Times New Roman"/>
          <w:bCs/>
          <w:szCs w:val="24"/>
        </w:rPr>
        <w:t xml:space="preserve"> </w:t>
      </w:r>
      <w:r w:rsidR="00943CBE">
        <w:rPr>
          <w:rFonts w:cs="Times New Roman"/>
          <w:bCs/>
          <w:szCs w:val="24"/>
        </w:rPr>
        <w:t xml:space="preserve"> </w:t>
      </w:r>
      <w:r w:rsidR="00172449" w:rsidRPr="007F1CD2">
        <w:rPr>
          <w:rFonts w:cs="Times New Roman"/>
          <w:szCs w:val="24"/>
        </w:rPr>
        <w:t>T</w:t>
      </w:r>
      <w:r w:rsidRPr="007F1CD2">
        <w:rPr>
          <w:rFonts w:cs="Times New Roman"/>
          <w:szCs w:val="24"/>
        </w:rPr>
        <w:t>he</w:t>
      </w:r>
      <w:proofErr w:type="gramEnd"/>
      <w:r w:rsidRPr="007F1CD2">
        <w:rPr>
          <w:rFonts w:cs="Times New Roman"/>
          <w:szCs w:val="24"/>
        </w:rPr>
        <w:t xml:space="preserve"> Department should withdraw the proposal to require applicants to conduct searches for potentially responsible parties (“PRPs”) because the proposal contradicts ECL § 27-1405(2)(a).  Additionally, applicants do not have as much access to information as the Department does </w:t>
      </w:r>
      <w:proofErr w:type="gramStart"/>
      <w:r w:rsidRPr="007F1CD2">
        <w:rPr>
          <w:rFonts w:cs="Times New Roman"/>
          <w:szCs w:val="24"/>
        </w:rPr>
        <w:t>in order to</w:t>
      </w:r>
      <w:proofErr w:type="gramEnd"/>
      <w:r w:rsidRPr="007F1CD2">
        <w:rPr>
          <w:rFonts w:cs="Times New Roman"/>
          <w:szCs w:val="24"/>
        </w:rPr>
        <w:t xml:space="preserve"> perform PRP searches, nor do applicants have the ability to conduct generator or transporter searches. </w:t>
      </w:r>
      <w:r w:rsidR="0022607B" w:rsidRPr="007F1CD2">
        <w:rPr>
          <w:rFonts w:cs="Times New Roman"/>
          <w:szCs w:val="24"/>
        </w:rPr>
        <w:t xml:space="preserve"> </w:t>
      </w:r>
      <w:r w:rsidRPr="007F1CD2">
        <w:rPr>
          <w:rFonts w:cs="Times New Roman"/>
          <w:szCs w:val="24"/>
        </w:rPr>
        <w:t>Further, applicants already submit information regarding historical owners and operators in connection with their applications to be accepted into the BCP.</w:t>
      </w:r>
    </w:p>
    <w:p w14:paraId="1619981E" w14:textId="77777777" w:rsidR="007F1CD2" w:rsidRDefault="00172449" w:rsidP="00A5121D">
      <w:pPr>
        <w:pStyle w:val="ListParagraph"/>
        <w:spacing w:after="0"/>
        <w:ind w:left="1080"/>
        <w:rPr>
          <w:rFonts w:cs="Times New Roman"/>
          <w:szCs w:val="24"/>
        </w:rPr>
      </w:pPr>
      <w:r w:rsidRPr="007F1CD2">
        <w:rPr>
          <w:rFonts w:cs="Times New Roman"/>
          <w:szCs w:val="24"/>
        </w:rPr>
        <w:t>Additionally, we note that this proposal, along with proposed revisions to § 375-3.3(b)(2)(ii) and § 375-3.8(c)(5), make it unreasonably difficult and expensive for Volunteers to get Superfund sites admitted into the BCP.  This is contrary to BCP policy to remediate such sites.</w:t>
      </w:r>
    </w:p>
    <w:p w14:paraId="272D5E7E" w14:textId="77777777" w:rsidR="007F1CD2" w:rsidRDefault="007F1CD2" w:rsidP="00A5121D">
      <w:pPr>
        <w:pStyle w:val="ListParagraph"/>
        <w:spacing w:after="0"/>
        <w:ind w:left="1080"/>
        <w:rPr>
          <w:rFonts w:cs="Times New Roman"/>
          <w:szCs w:val="24"/>
        </w:rPr>
      </w:pPr>
    </w:p>
    <w:p w14:paraId="0C6B50A7" w14:textId="757DBDFC" w:rsidR="005B58B3" w:rsidRDefault="005B58B3" w:rsidP="00A5121D">
      <w:pPr>
        <w:pStyle w:val="ListParagraph"/>
        <w:spacing w:after="0"/>
        <w:ind w:left="1080"/>
        <w:rPr>
          <w:rFonts w:cs="Times New Roman"/>
          <w:szCs w:val="24"/>
        </w:rPr>
      </w:pPr>
      <w:r>
        <w:rPr>
          <w:rFonts w:cs="Times New Roman"/>
          <w:szCs w:val="24"/>
        </w:rPr>
        <w:t>If the Department insists on retaining this requirement, this section should be amended so that</w:t>
      </w:r>
      <w:r w:rsidR="00153E86">
        <w:rPr>
          <w:rFonts w:cs="Times New Roman"/>
          <w:szCs w:val="24"/>
        </w:rPr>
        <w:t xml:space="preserve"> an applicant should be deemed to have satisfied this requirement by </w:t>
      </w:r>
      <w:r w:rsidR="00153E86">
        <w:rPr>
          <w:rFonts w:cs="Times New Roman"/>
          <w:szCs w:val="24"/>
        </w:rPr>
        <w:lastRenderedPageBreak/>
        <w:t>perfo</w:t>
      </w:r>
      <w:r w:rsidR="001211DD">
        <w:rPr>
          <w:rFonts w:cs="Times New Roman"/>
          <w:szCs w:val="24"/>
        </w:rPr>
        <w:t xml:space="preserve">rming a historical investigation </w:t>
      </w:r>
      <w:r w:rsidR="00D94549">
        <w:rPr>
          <w:rFonts w:cs="Times New Roman"/>
          <w:szCs w:val="24"/>
        </w:rPr>
        <w:t xml:space="preserve">in accordance with </w:t>
      </w:r>
      <w:r w:rsidR="007B5A58">
        <w:rPr>
          <w:rFonts w:cs="Times New Roman"/>
          <w:szCs w:val="24"/>
        </w:rPr>
        <w:t>ASTM E1527</w:t>
      </w:r>
      <w:r w:rsidR="00D94549">
        <w:rPr>
          <w:rFonts w:cs="Times New Roman"/>
          <w:szCs w:val="24"/>
        </w:rPr>
        <w:t xml:space="preserve"> </w:t>
      </w:r>
      <w:r w:rsidR="007B5A58">
        <w:rPr>
          <w:rFonts w:cs="Times New Roman"/>
          <w:szCs w:val="24"/>
        </w:rPr>
        <w:t>environmental site assessment</w:t>
      </w:r>
      <w:r w:rsidR="0022607B">
        <w:rPr>
          <w:rFonts w:cs="Times New Roman"/>
          <w:szCs w:val="24"/>
        </w:rPr>
        <w:t>s.</w:t>
      </w:r>
      <w:r>
        <w:rPr>
          <w:rFonts w:cs="Times New Roman"/>
          <w:szCs w:val="24"/>
        </w:rPr>
        <w:t xml:space="preserve"> </w:t>
      </w:r>
    </w:p>
    <w:p w14:paraId="373E69FC" w14:textId="77777777" w:rsidR="00943CBE" w:rsidRDefault="00943CBE" w:rsidP="00A5121D">
      <w:pPr>
        <w:spacing w:after="0"/>
        <w:jc w:val="both"/>
        <w:rPr>
          <w:rFonts w:cs="Times New Roman"/>
          <w:szCs w:val="24"/>
        </w:rPr>
      </w:pPr>
    </w:p>
    <w:p w14:paraId="45164BF2" w14:textId="654283A2" w:rsidR="007F1CD2" w:rsidRDefault="009A6FAC" w:rsidP="00A5121D">
      <w:pPr>
        <w:pStyle w:val="ListParagraph"/>
        <w:numPr>
          <w:ilvl w:val="0"/>
          <w:numId w:val="17"/>
        </w:numPr>
        <w:spacing w:after="0"/>
        <w:rPr>
          <w:rFonts w:cs="Times New Roman"/>
          <w:szCs w:val="24"/>
        </w:rPr>
      </w:pPr>
      <w:r w:rsidRPr="007F1CD2">
        <w:rPr>
          <w:rFonts w:cs="Times New Roman"/>
          <w:b/>
          <w:szCs w:val="24"/>
          <w:u w:val="single"/>
        </w:rPr>
        <w:t xml:space="preserve">§ </w:t>
      </w:r>
      <w:r w:rsidR="00E02184" w:rsidRPr="007F1CD2">
        <w:rPr>
          <w:rFonts w:cs="Times New Roman"/>
          <w:b/>
          <w:szCs w:val="24"/>
          <w:u w:val="single"/>
        </w:rPr>
        <w:t>375-3.2(l): Definition of “Renewable energy facility site”</w:t>
      </w:r>
      <w:r w:rsidR="00C06537">
        <w:rPr>
          <w:rFonts w:cs="Times New Roman"/>
          <w:b/>
          <w:szCs w:val="24"/>
          <w:u w:val="single"/>
        </w:rPr>
        <w:t xml:space="preserve"> -</w:t>
      </w:r>
      <w:r w:rsidR="00E02184" w:rsidRPr="007F1CD2">
        <w:rPr>
          <w:rFonts w:cs="Times New Roman"/>
          <w:b/>
          <w:szCs w:val="24"/>
        </w:rPr>
        <w:t xml:space="preserve"> </w:t>
      </w:r>
      <w:r w:rsidR="007F1CD2" w:rsidRPr="007F1CD2">
        <w:rPr>
          <w:rFonts w:cs="Times New Roman"/>
          <w:b/>
          <w:szCs w:val="24"/>
        </w:rPr>
        <w:t xml:space="preserve"> </w:t>
      </w:r>
      <w:r w:rsidR="00E02184" w:rsidRPr="007F1CD2">
        <w:rPr>
          <w:rFonts w:cs="Times New Roman"/>
          <w:szCs w:val="24"/>
        </w:rPr>
        <w:t>The proposed definition mirrors the statutory definition, except it: (</w:t>
      </w:r>
      <w:proofErr w:type="spellStart"/>
      <w:r w:rsidR="00E02184" w:rsidRPr="007F1CD2">
        <w:rPr>
          <w:rFonts w:cs="Times New Roman"/>
          <w:szCs w:val="24"/>
        </w:rPr>
        <w:t>i</w:t>
      </w:r>
      <w:proofErr w:type="spellEnd"/>
      <w:r w:rsidR="00E02184" w:rsidRPr="007F1CD2">
        <w:rPr>
          <w:rFonts w:cs="Times New Roman"/>
          <w:szCs w:val="24"/>
        </w:rPr>
        <w:t>) adds a requirement that the referenced uses are “a primary use” at a site; (ii) adds a requirement that “[s]</w:t>
      </w:r>
      <w:proofErr w:type="spellStart"/>
      <w:r w:rsidR="00E02184" w:rsidRPr="007F1CD2">
        <w:rPr>
          <w:rFonts w:cs="Times New Roman"/>
          <w:szCs w:val="24"/>
        </w:rPr>
        <w:t>uch</w:t>
      </w:r>
      <w:proofErr w:type="spellEnd"/>
      <w:r w:rsidR="00E02184" w:rsidRPr="007F1CD2">
        <w:rPr>
          <w:rFonts w:cs="Times New Roman"/>
          <w:szCs w:val="24"/>
        </w:rPr>
        <w:t xml:space="preserve"> facility shall be used primarily for energy generation”; and (iii) provides that the definition “shall not include real property that has a primary use for the production of fossil fuel-based energy.” </w:t>
      </w:r>
    </w:p>
    <w:p w14:paraId="6C9FC745" w14:textId="77777777" w:rsidR="007F1CD2" w:rsidRDefault="007F1CD2" w:rsidP="00A5121D">
      <w:pPr>
        <w:pStyle w:val="ListParagraph"/>
        <w:spacing w:after="0"/>
        <w:ind w:left="1080"/>
        <w:rPr>
          <w:rFonts w:cs="Times New Roman"/>
          <w:b/>
          <w:szCs w:val="24"/>
          <w:u w:val="single"/>
        </w:rPr>
      </w:pPr>
    </w:p>
    <w:p w14:paraId="2E80BF01" w14:textId="77777777" w:rsidR="007F1CD2" w:rsidRDefault="00E02184" w:rsidP="00A5121D">
      <w:pPr>
        <w:pStyle w:val="ListParagraph"/>
        <w:spacing w:after="0"/>
        <w:ind w:left="1080"/>
        <w:rPr>
          <w:rFonts w:cs="Times New Roman"/>
          <w:szCs w:val="24"/>
        </w:rPr>
      </w:pPr>
      <w:r w:rsidRPr="007F1CD2">
        <w:rPr>
          <w:rFonts w:cs="Times New Roman"/>
          <w:szCs w:val="24"/>
        </w:rPr>
        <w:t>We support the first proposal</w:t>
      </w:r>
      <w:r w:rsidR="00172449" w:rsidRPr="007F1CD2">
        <w:rPr>
          <w:rFonts w:cs="Times New Roman"/>
          <w:szCs w:val="24"/>
        </w:rPr>
        <w:t>, but we make an alternative suggestion</w:t>
      </w:r>
      <w:r w:rsidRPr="007F1CD2">
        <w:rPr>
          <w:rFonts w:cs="Times New Roman"/>
          <w:szCs w:val="24"/>
        </w:rPr>
        <w:t xml:space="preserve">.  The Legislature added this definition to the statute so that remedial parties would receive enhanced tax credits for renewable energy projects under Tax Law § 21(a)(5)(B)(vi).  The Legislature also added this definition so that remedial parties in New York City would have an additional way to obtain the tangible property credit component </w:t>
      </w:r>
      <w:r w:rsidR="009A6FAC" w:rsidRPr="007F1CD2">
        <w:rPr>
          <w:rFonts w:cs="Times New Roman"/>
          <w:szCs w:val="24"/>
        </w:rPr>
        <w:t xml:space="preserve">(“TPCCs”) </w:t>
      </w:r>
      <w:r w:rsidRPr="007F1CD2">
        <w:rPr>
          <w:rFonts w:cs="Times New Roman"/>
          <w:szCs w:val="24"/>
        </w:rPr>
        <w:t>of the brownfield redevelopment tax credit pursuant to ECL § 27-1407(1-</w:t>
      </w:r>
      <w:proofErr w:type="gramStart"/>
      <w:r w:rsidRPr="007F1CD2">
        <w:rPr>
          <w:rFonts w:cs="Times New Roman"/>
          <w:szCs w:val="24"/>
        </w:rPr>
        <w:t>a)(</w:t>
      </w:r>
      <w:proofErr w:type="gramEnd"/>
      <w:r w:rsidRPr="007F1CD2">
        <w:rPr>
          <w:rFonts w:cs="Times New Roman"/>
          <w:szCs w:val="24"/>
        </w:rPr>
        <w:t xml:space="preserve">e).  The Legislature clearly intended to incentivize renewable energy projects throughout the State, and particularly in New York City.  However, it is reasonable that </w:t>
      </w:r>
      <w:proofErr w:type="gramStart"/>
      <w:r w:rsidRPr="007F1CD2">
        <w:rPr>
          <w:rFonts w:cs="Times New Roman"/>
          <w:szCs w:val="24"/>
        </w:rPr>
        <w:t>in order to</w:t>
      </w:r>
      <w:proofErr w:type="gramEnd"/>
      <w:r w:rsidRPr="007F1CD2">
        <w:rPr>
          <w:rFonts w:cs="Times New Roman"/>
          <w:szCs w:val="24"/>
        </w:rPr>
        <w:t xml:space="preserve"> obtain tax credits for such projects, there should be a requirement that the referenced uses are “a primary use” at a site, and not just a minor use.  Additionally, the proposed reference to “a primary use” implies that a site may have more than one primary use.  That makes sense.  </w:t>
      </w:r>
      <w:r w:rsidR="00172449" w:rsidRPr="007F1CD2">
        <w:rPr>
          <w:rFonts w:cs="Times New Roman"/>
          <w:szCs w:val="24"/>
        </w:rPr>
        <w:t xml:space="preserve">As an alternative to the “primary use” proposal, it would be equally sensible for </w:t>
      </w:r>
      <w:r w:rsidR="009A6FAC" w:rsidRPr="007F1CD2">
        <w:rPr>
          <w:rFonts w:cs="Times New Roman"/>
          <w:szCs w:val="24"/>
        </w:rPr>
        <w:t xml:space="preserve">the Department not </w:t>
      </w:r>
      <w:r w:rsidR="00172449" w:rsidRPr="007F1CD2">
        <w:rPr>
          <w:rFonts w:cs="Times New Roman"/>
          <w:szCs w:val="24"/>
        </w:rPr>
        <w:t xml:space="preserve">to </w:t>
      </w:r>
      <w:r w:rsidR="009A6FAC" w:rsidRPr="007F1CD2">
        <w:rPr>
          <w:rFonts w:cs="Times New Roman"/>
          <w:szCs w:val="24"/>
        </w:rPr>
        <w:t xml:space="preserve">require that </w:t>
      </w:r>
      <w:r w:rsidR="00172449" w:rsidRPr="007F1CD2">
        <w:rPr>
          <w:rFonts w:cs="Times New Roman"/>
          <w:szCs w:val="24"/>
        </w:rPr>
        <w:t xml:space="preserve">renewable energy projects </w:t>
      </w:r>
      <w:r w:rsidR="009A6FAC" w:rsidRPr="007F1CD2">
        <w:rPr>
          <w:rFonts w:cs="Times New Roman"/>
          <w:szCs w:val="24"/>
        </w:rPr>
        <w:t>are a “primary use”</w:t>
      </w:r>
      <w:r w:rsidR="00172449" w:rsidRPr="007F1CD2">
        <w:rPr>
          <w:rFonts w:cs="Times New Roman"/>
          <w:szCs w:val="24"/>
        </w:rPr>
        <w:t xml:space="preserve"> at a site</w:t>
      </w:r>
      <w:r w:rsidR="009A6FAC" w:rsidRPr="007F1CD2">
        <w:rPr>
          <w:rFonts w:cs="Times New Roman"/>
          <w:szCs w:val="24"/>
        </w:rPr>
        <w:t xml:space="preserve">, and instead award TPCCs in proportion to the amount of a site that is used for </w:t>
      </w:r>
      <w:r w:rsidR="00172449" w:rsidRPr="007F1CD2">
        <w:rPr>
          <w:rFonts w:cs="Times New Roman"/>
          <w:szCs w:val="24"/>
        </w:rPr>
        <w:t xml:space="preserve">such </w:t>
      </w:r>
      <w:r w:rsidR="009A6FAC" w:rsidRPr="007F1CD2">
        <w:rPr>
          <w:rFonts w:cs="Times New Roman"/>
          <w:szCs w:val="24"/>
        </w:rPr>
        <w:t xml:space="preserve">projects. </w:t>
      </w:r>
    </w:p>
    <w:p w14:paraId="427ABA8C" w14:textId="77777777" w:rsidR="007F1CD2" w:rsidRDefault="00E02184" w:rsidP="00A5121D">
      <w:pPr>
        <w:pStyle w:val="ListParagraph"/>
        <w:spacing w:after="0"/>
        <w:ind w:left="1080"/>
        <w:rPr>
          <w:rFonts w:cs="Times New Roman"/>
          <w:szCs w:val="24"/>
        </w:rPr>
      </w:pPr>
      <w:r w:rsidRPr="00DC1D53">
        <w:rPr>
          <w:rFonts w:cs="Times New Roman"/>
          <w:szCs w:val="24"/>
        </w:rPr>
        <w:t xml:space="preserve">We also support the third proposal.  It is logical that the definition excludes sites at which the “production of fossil fuel-based energy” is a primary use.  Allowing such sites to qualify for tax credits would undermine the Legislature’s goal of incentivizing renewable energy sources, as opposed to fossil fuel-based energy sources, which emit greenhouse gases and contribute to climate change.  Indeed New York State and New York City have very ambitious goals to increase the use of renewable energy sources, </w:t>
      </w:r>
      <w:proofErr w:type="gramStart"/>
      <w:r w:rsidRPr="00DC1D53">
        <w:rPr>
          <w:rFonts w:cs="Times New Roman"/>
          <w:szCs w:val="24"/>
        </w:rPr>
        <w:t>in order to</w:t>
      </w:r>
      <w:proofErr w:type="gramEnd"/>
      <w:r w:rsidRPr="00DC1D53">
        <w:rPr>
          <w:rFonts w:cs="Times New Roman"/>
          <w:szCs w:val="24"/>
        </w:rPr>
        <w:t xml:space="preserve"> combat the negative effects of climate change.  </w:t>
      </w:r>
      <w:r w:rsidRPr="00DC1D53">
        <w:rPr>
          <w:rFonts w:cs="Times New Roman"/>
          <w:i/>
          <w:szCs w:val="24"/>
        </w:rPr>
        <w:t xml:space="preserve">See </w:t>
      </w:r>
      <w:r w:rsidRPr="00DC1D53">
        <w:rPr>
          <w:rFonts w:cs="Times New Roman"/>
          <w:szCs w:val="24"/>
        </w:rPr>
        <w:t>New York State Climate Leadership and Community Protection Act; New York City Climate Mobilization Act.</w:t>
      </w:r>
    </w:p>
    <w:p w14:paraId="0DC047E9" w14:textId="77777777" w:rsidR="007F1CD2" w:rsidRDefault="007F1CD2" w:rsidP="00A5121D">
      <w:pPr>
        <w:pStyle w:val="ListParagraph"/>
        <w:spacing w:after="0"/>
        <w:ind w:left="1080"/>
        <w:rPr>
          <w:rFonts w:cs="Times New Roman"/>
          <w:szCs w:val="24"/>
        </w:rPr>
      </w:pPr>
    </w:p>
    <w:p w14:paraId="54BD4078" w14:textId="77777777" w:rsidR="007F1CD2" w:rsidRDefault="00E02184" w:rsidP="00A5121D">
      <w:pPr>
        <w:pStyle w:val="ListParagraph"/>
        <w:spacing w:after="0"/>
        <w:ind w:left="1080"/>
        <w:rPr>
          <w:rFonts w:cs="Times New Roman"/>
          <w:szCs w:val="24"/>
        </w:rPr>
      </w:pPr>
      <w:r w:rsidRPr="00DC1D53">
        <w:rPr>
          <w:rFonts w:cs="Times New Roman"/>
          <w:szCs w:val="24"/>
        </w:rPr>
        <w:t>We strongly disagree with the second proposal, which provides that “[s]</w:t>
      </w:r>
      <w:proofErr w:type="spellStart"/>
      <w:r w:rsidRPr="00DC1D53">
        <w:rPr>
          <w:rFonts w:cs="Times New Roman"/>
          <w:szCs w:val="24"/>
        </w:rPr>
        <w:t>uch</w:t>
      </w:r>
      <w:proofErr w:type="spellEnd"/>
      <w:r w:rsidRPr="00DC1D53">
        <w:rPr>
          <w:rFonts w:cs="Times New Roman"/>
          <w:szCs w:val="24"/>
        </w:rPr>
        <w:t xml:space="preserve"> facility shall be used primarily for energy generation”.  The preference for renewable energy generation over storage of such energy is contrary to the statute and to sound public policy.  The statute defines a “Renewable energy facility site” as real property that is used “(a) . . . for a renewable energy system” “</w:t>
      </w:r>
      <w:r w:rsidRPr="00DC1D53">
        <w:rPr>
          <w:rFonts w:cs="Times New Roman"/>
          <w:b/>
          <w:i/>
          <w:szCs w:val="24"/>
        </w:rPr>
        <w:t xml:space="preserve">or </w:t>
      </w:r>
      <w:r w:rsidRPr="00DC1D53">
        <w:rPr>
          <w:rFonts w:cs="Times New Roman"/>
          <w:szCs w:val="24"/>
        </w:rPr>
        <w:t>(b) any co-located system storing energy generated from such a renewable energy system”.  (Emphasis added.)  The statute does not provide any preference for renewable energy generation over storage of such energy.</w:t>
      </w:r>
    </w:p>
    <w:p w14:paraId="09BA9584" w14:textId="77777777" w:rsidR="007F1CD2" w:rsidRDefault="007F1CD2" w:rsidP="00A5121D">
      <w:pPr>
        <w:pStyle w:val="ListParagraph"/>
        <w:spacing w:after="0"/>
        <w:ind w:left="1080"/>
        <w:rPr>
          <w:rFonts w:cs="Times New Roman"/>
          <w:szCs w:val="24"/>
        </w:rPr>
      </w:pPr>
    </w:p>
    <w:p w14:paraId="29FDEDA0" w14:textId="1D9524B5" w:rsidR="007F1CD2" w:rsidRDefault="00E02184" w:rsidP="00A5121D">
      <w:pPr>
        <w:pStyle w:val="ListParagraph"/>
        <w:spacing w:after="0"/>
        <w:ind w:left="1080"/>
        <w:rPr>
          <w:rFonts w:cs="Times New Roman"/>
          <w:szCs w:val="24"/>
        </w:rPr>
      </w:pPr>
      <w:r w:rsidRPr="00DC1D53">
        <w:rPr>
          <w:rFonts w:cs="Times New Roman"/>
          <w:szCs w:val="24"/>
        </w:rPr>
        <w:t xml:space="preserve">There also is no logical basis for a preference of renewable energy generation over storage of such energy.  Storage and generation both will be needed </w:t>
      </w:r>
      <w:proofErr w:type="gramStart"/>
      <w:r w:rsidRPr="00DC1D53">
        <w:rPr>
          <w:rFonts w:cs="Times New Roman"/>
          <w:szCs w:val="24"/>
        </w:rPr>
        <w:t>in order to</w:t>
      </w:r>
      <w:proofErr w:type="gramEnd"/>
      <w:r w:rsidRPr="00DC1D53">
        <w:rPr>
          <w:rFonts w:cs="Times New Roman"/>
          <w:szCs w:val="24"/>
        </w:rPr>
        <w:t xml:space="preserve"> meet </w:t>
      </w:r>
      <w:r w:rsidRPr="00DC1D53">
        <w:rPr>
          <w:rFonts w:cs="Times New Roman"/>
          <w:szCs w:val="24"/>
        </w:rPr>
        <w:lastRenderedPageBreak/>
        <w:t xml:space="preserve">the State’s and the City’s ambitious climate goals.  And in New York City, where there is little space for </w:t>
      </w:r>
      <w:r w:rsidR="006869E0">
        <w:rPr>
          <w:rFonts w:cs="Times New Roman"/>
          <w:szCs w:val="24"/>
        </w:rPr>
        <w:t xml:space="preserve">renewable solar and wind </w:t>
      </w:r>
      <w:r w:rsidRPr="00DC1D53">
        <w:rPr>
          <w:rFonts w:cs="Times New Roman"/>
          <w:szCs w:val="24"/>
        </w:rPr>
        <w:t xml:space="preserve">energy generation projects, storage will be essential, and the demand for storage is expected to increase significantly.  </w:t>
      </w:r>
    </w:p>
    <w:p w14:paraId="311FFE35" w14:textId="77777777" w:rsidR="007F1CD2" w:rsidRDefault="007F1CD2" w:rsidP="00A5121D">
      <w:pPr>
        <w:pStyle w:val="ListParagraph"/>
        <w:spacing w:after="0"/>
        <w:ind w:left="1080"/>
        <w:rPr>
          <w:rFonts w:cs="Times New Roman"/>
          <w:szCs w:val="24"/>
        </w:rPr>
      </w:pPr>
    </w:p>
    <w:p w14:paraId="1CFADBD2" w14:textId="17291F04" w:rsidR="007F1CD2" w:rsidRDefault="00E02184" w:rsidP="00A5121D">
      <w:pPr>
        <w:pStyle w:val="ListParagraph"/>
        <w:spacing w:after="0"/>
        <w:ind w:left="1080"/>
        <w:rPr>
          <w:rFonts w:cs="Times New Roman"/>
          <w:bCs/>
          <w:szCs w:val="24"/>
        </w:rPr>
      </w:pPr>
      <w:r w:rsidRPr="00DC1D53">
        <w:rPr>
          <w:rFonts w:cs="Times New Roman"/>
          <w:szCs w:val="24"/>
        </w:rPr>
        <w:t xml:space="preserve">The Department’s preference for renewable energy generation over storage appears to reflect a concern about an over-availability of </w:t>
      </w:r>
      <w:r w:rsidR="00AE4B0B">
        <w:rPr>
          <w:rFonts w:cs="Times New Roman"/>
          <w:szCs w:val="24"/>
        </w:rPr>
        <w:t>TPCCs</w:t>
      </w:r>
      <w:r w:rsidRPr="00DC1D53">
        <w:rPr>
          <w:rFonts w:cs="Times New Roman"/>
          <w:szCs w:val="24"/>
        </w:rPr>
        <w:t xml:space="preserve"> for renewable energy storage projects in New York City.  However, that concern is misplaced for two reasons: (</w:t>
      </w:r>
      <w:proofErr w:type="spellStart"/>
      <w:r w:rsidRPr="00DC1D53">
        <w:rPr>
          <w:rFonts w:cs="Times New Roman"/>
          <w:szCs w:val="24"/>
        </w:rPr>
        <w:t>i</w:t>
      </w:r>
      <w:proofErr w:type="spellEnd"/>
      <w:r w:rsidRPr="00DC1D53">
        <w:rPr>
          <w:rFonts w:cs="Times New Roman"/>
          <w:szCs w:val="24"/>
        </w:rPr>
        <w:t xml:space="preserve">) </w:t>
      </w:r>
      <w:r w:rsidR="006869E0">
        <w:rPr>
          <w:rFonts w:cs="Times New Roman"/>
          <w:szCs w:val="24"/>
        </w:rPr>
        <w:t>t</w:t>
      </w:r>
      <w:r w:rsidRPr="00DC1D53">
        <w:rPr>
          <w:rFonts w:cs="Times New Roman"/>
          <w:szCs w:val="24"/>
        </w:rPr>
        <w:t>he Department’s proposal already would restrict such tax credits to sites where a renewable energy project is a “primary” use.  Thus</w:t>
      </w:r>
      <w:r w:rsidR="00002E51">
        <w:rPr>
          <w:rFonts w:cs="Times New Roman"/>
          <w:szCs w:val="24"/>
        </w:rPr>
        <w:t>,</w:t>
      </w:r>
      <w:r w:rsidRPr="00DC1D53">
        <w:rPr>
          <w:rFonts w:cs="Times New Roman"/>
          <w:szCs w:val="24"/>
        </w:rPr>
        <w:t xml:space="preserve"> only significant energy storage projects would qualify for the tax incentive.  </w:t>
      </w:r>
      <w:r w:rsidR="00AE4B0B">
        <w:rPr>
          <w:rFonts w:cs="Times New Roman"/>
          <w:szCs w:val="24"/>
        </w:rPr>
        <w:t>Alternatively, as noted above, the Department could award TPCCs in proportion to the amount of a site that is used for renewable energy projects</w:t>
      </w:r>
      <w:r w:rsidR="006869E0">
        <w:rPr>
          <w:rFonts w:cs="Times New Roman"/>
          <w:szCs w:val="24"/>
        </w:rPr>
        <w:t>; and</w:t>
      </w:r>
      <w:r w:rsidR="00AE4B0B" w:rsidRPr="00DC1D53">
        <w:rPr>
          <w:rFonts w:cs="Times New Roman"/>
          <w:szCs w:val="24"/>
        </w:rPr>
        <w:t xml:space="preserve"> </w:t>
      </w:r>
      <w:r w:rsidRPr="00DC1D53">
        <w:rPr>
          <w:rFonts w:cs="Times New Roman"/>
          <w:szCs w:val="24"/>
        </w:rPr>
        <w:t>(ii) Under the statute and the Department’s proposed regulation, an energy storage system qualif</w:t>
      </w:r>
      <w:r w:rsidR="00002E51">
        <w:rPr>
          <w:rFonts w:cs="Times New Roman"/>
          <w:szCs w:val="24"/>
        </w:rPr>
        <w:t>ies</w:t>
      </w:r>
      <w:r w:rsidRPr="00DC1D53">
        <w:rPr>
          <w:rFonts w:cs="Times New Roman"/>
          <w:szCs w:val="24"/>
        </w:rPr>
        <w:t xml:space="preserve"> for the tax</w:t>
      </w:r>
      <w:r w:rsidR="00172449">
        <w:rPr>
          <w:rFonts w:cs="Times New Roman"/>
          <w:szCs w:val="24"/>
        </w:rPr>
        <w:t xml:space="preserve"> incentive only if it is a “co-l</w:t>
      </w:r>
      <w:r w:rsidRPr="00DC1D53">
        <w:rPr>
          <w:rFonts w:cs="Times New Roman"/>
          <w:szCs w:val="24"/>
        </w:rPr>
        <w:t>ocated system storing energy generated from such a renewable energy system” (i.e., storage must be paired with a renewable energy generating system).  The Department’s proposal could seriously undermine the Legislature’s goals for renewable energy projects in New York City.  The Department should withdraw its preference for renewable energy generation over storage.</w:t>
      </w:r>
      <w:r w:rsidR="00EF5138" w:rsidRPr="00DC1D53">
        <w:rPr>
          <w:rFonts w:cs="Times New Roman"/>
          <w:bCs/>
          <w:szCs w:val="24"/>
        </w:rPr>
        <w:t xml:space="preserve">  </w:t>
      </w:r>
    </w:p>
    <w:p w14:paraId="2AB18054" w14:textId="56A56ED7" w:rsidR="00943CBE" w:rsidRPr="00A5121D" w:rsidRDefault="00943CBE" w:rsidP="00A5121D">
      <w:pPr>
        <w:spacing w:after="0"/>
        <w:rPr>
          <w:rFonts w:cs="Times New Roman"/>
          <w:bCs/>
          <w:szCs w:val="24"/>
        </w:rPr>
      </w:pPr>
    </w:p>
    <w:p w14:paraId="5E6A2A18" w14:textId="5B048846" w:rsidR="00EE099F" w:rsidRDefault="00EE099F" w:rsidP="00A5121D">
      <w:pPr>
        <w:pStyle w:val="ListParagraph"/>
        <w:numPr>
          <w:ilvl w:val="0"/>
          <w:numId w:val="17"/>
        </w:numPr>
        <w:spacing w:after="0"/>
        <w:rPr>
          <w:rFonts w:cs="Times New Roman"/>
          <w:bCs/>
          <w:szCs w:val="24"/>
        </w:rPr>
      </w:pPr>
      <w:r w:rsidRPr="00943CBE">
        <w:rPr>
          <w:rFonts w:cs="Times New Roman"/>
          <w:b/>
          <w:szCs w:val="24"/>
          <w:u w:val="single"/>
        </w:rPr>
        <w:t>§ 375-3.2(</w:t>
      </w:r>
      <w:r w:rsidR="00D026FE" w:rsidRPr="00943CBE">
        <w:rPr>
          <w:rFonts w:cs="Times New Roman"/>
          <w:b/>
          <w:szCs w:val="24"/>
          <w:u w:val="single"/>
        </w:rPr>
        <w:t>o</w:t>
      </w:r>
      <w:r w:rsidR="00943CBE">
        <w:rPr>
          <w:rFonts w:cs="Times New Roman"/>
          <w:b/>
          <w:szCs w:val="24"/>
          <w:u w:val="single"/>
        </w:rPr>
        <w:t xml:space="preserve">): </w:t>
      </w:r>
      <w:r w:rsidRPr="00943CBE">
        <w:rPr>
          <w:rFonts w:cs="Times New Roman"/>
          <w:b/>
          <w:szCs w:val="24"/>
          <w:u w:val="single"/>
        </w:rPr>
        <w:t>Definition of “Underutilized”</w:t>
      </w:r>
      <w:r w:rsidR="00943CBE">
        <w:rPr>
          <w:rFonts w:cs="Times New Roman"/>
          <w:bCs/>
          <w:szCs w:val="24"/>
          <w:u w:val="single"/>
        </w:rPr>
        <w:t xml:space="preserve"> </w:t>
      </w:r>
      <w:proofErr w:type="gramStart"/>
      <w:r w:rsidR="00943CBE">
        <w:rPr>
          <w:rFonts w:cs="Times New Roman"/>
          <w:bCs/>
          <w:szCs w:val="24"/>
          <w:u w:val="single"/>
        </w:rPr>
        <w:t>-</w:t>
      </w:r>
      <w:r w:rsidRPr="00EE099F">
        <w:rPr>
          <w:rFonts w:cs="Times New Roman"/>
          <w:bCs/>
          <w:szCs w:val="24"/>
        </w:rPr>
        <w:t xml:space="preserve"> </w:t>
      </w:r>
      <w:r w:rsidR="00943CBE">
        <w:rPr>
          <w:rFonts w:cs="Times New Roman"/>
          <w:bCs/>
          <w:szCs w:val="24"/>
        </w:rPr>
        <w:t xml:space="preserve"> </w:t>
      </w:r>
      <w:r w:rsidRPr="00EE099F">
        <w:rPr>
          <w:rFonts w:cs="Times New Roman"/>
          <w:bCs/>
          <w:szCs w:val="24"/>
        </w:rPr>
        <w:t>The</w:t>
      </w:r>
      <w:proofErr w:type="gramEnd"/>
      <w:r w:rsidRPr="00EE099F">
        <w:rPr>
          <w:rFonts w:cs="Times New Roman"/>
          <w:bCs/>
          <w:szCs w:val="24"/>
        </w:rPr>
        <w:t xml:space="preserve"> Department’s definition of underutilized remains problematic and it has effectively eliminated this gate from the statute, as only a handful of sites have qualified for the gate since the term was adopted. To align this definition to the legislative intent, we recommend that the Department revise the definition as proposed in EELS’ BCP Extender and Omnibus Proposal, the relevant portion of which is attached hereto as Exhibit 1.</w:t>
      </w:r>
    </w:p>
    <w:p w14:paraId="12F80F51" w14:textId="56FC1553" w:rsidR="009856C7" w:rsidRPr="00A5121D" w:rsidRDefault="009856C7" w:rsidP="00A5121D">
      <w:pPr>
        <w:spacing w:after="0"/>
        <w:rPr>
          <w:rFonts w:cs="Times New Roman"/>
          <w:bCs/>
          <w:szCs w:val="24"/>
        </w:rPr>
      </w:pPr>
    </w:p>
    <w:p w14:paraId="281639EE" w14:textId="5BA6F1F6" w:rsidR="007F1CD2" w:rsidRPr="002E6968" w:rsidRDefault="0014074D" w:rsidP="00A5121D">
      <w:pPr>
        <w:pStyle w:val="ListParagraph"/>
        <w:numPr>
          <w:ilvl w:val="0"/>
          <w:numId w:val="17"/>
        </w:numPr>
        <w:spacing w:after="0"/>
        <w:rPr>
          <w:rFonts w:cs="Times New Roman"/>
          <w:szCs w:val="24"/>
        </w:rPr>
      </w:pPr>
      <w:r w:rsidRPr="002E6968">
        <w:rPr>
          <w:rFonts w:cs="Times New Roman"/>
          <w:b/>
          <w:szCs w:val="24"/>
          <w:u w:val="single"/>
        </w:rPr>
        <w:t xml:space="preserve">§ </w:t>
      </w:r>
      <w:r w:rsidR="004F2D85" w:rsidRPr="002E6968">
        <w:rPr>
          <w:rFonts w:cs="Times New Roman"/>
          <w:b/>
          <w:szCs w:val="24"/>
          <w:u w:val="single"/>
        </w:rPr>
        <w:t xml:space="preserve">375-3.3(a)(1): BCP Site Eligibility </w:t>
      </w:r>
      <w:r w:rsidR="00067609" w:rsidRPr="002E6968">
        <w:rPr>
          <w:rFonts w:cs="Times New Roman"/>
          <w:b/>
          <w:szCs w:val="24"/>
          <w:u w:val="single"/>
        </w:rPr>
        <w:t>– Reference to Contamination On-Site</w:t>
      </w:r>
      <w:r w:rsidR="00C06537">
        <w:rPr>
          <w:rFonts w:cs="Times New Roman"/>
          <w:b/>
          <w:szCs w:val="24"/>
          <w:u w:val="single"/>
        </w:rPr>
        <w:t xml:space="preserve"> </w:t>
      </w:r>
      <w:proofErr w:type="gramStart"/>
      <w:r w:rsidR="00C06537">
        <w:rPr>
          <w:rFonts w:cs="Times New Roman"/>
          <w:b/>
          <w:szCs w:val="24"/>
          <w:u w:val="single"/>
        </w:rPr>
        <w:t>-</w:t>
      </w:r>
      <w:r w:rsidR="007F1CD2" w:rsidRPr="002E6968">
        <w:rPr>
          <w:rFonts w:cs="Times New Roman"/>
          <w:bCs/>
          <w:szCs w:val="24"/>
        </w:rPr>
        <w:t xml:space="preserve">  </w:t>
      </w:r>
      <w:r w:rsidR="00067609" w:rsidRPr="002E6968">
        <w:rPr>
          <w:rFonts w:cs="Times New Roman"/>
          <w:szCs w:val="24"/>
        </w:rPr>
        <w:t>The</w:t>
      </w:r>
      <w:proofErr w:type="gramEnd"/>
      <w:r w:rsidR="00067609" w:rsidRPr="002E6968">
        <w:rPr>
          <w:rFonts w:cs="Times New Roman"/>
          <w:szCs w:val="24"/>
        </w:rPr>
        <w:t xml:space="preserve"> </w:t>
      </w:r>
      <w:r w:rsidR="002E6968" w:rsidRPr="002E6968">
        <w:rPr>
          <w:rFonts w:cs="Times New Roman"/>
          <w:szCs w:val="24"/>
        </w:rPr>
        <w:t xml:space="preserve">statutory definition of a brownfield site requires only </w:t>
      </w:r>
      <w:r w:rsidR="00E52CD5">
        <w:rPr>
          <w:rFonts w:cs="Times New Roman"/>
          <w:szCs w:val="24"/>
        </w:rPr>
        <w:t xml:space="preserve">that </w:t>
      </w:r>
      <w:r w:rsidR="002E6968" w:rsidRPr="002E6968">
        <w:rPr>
          <w:rFonts w:cs="Times New Roman"/>
          <w:szCs w:val="24"/>
        </w:rPr>
        <w:t>“</w:t>
      </w:r>
      <w:r w:rsidR="002E6968" w:rsidRPr="002E6968">
        <w:rPr>
          <w:rFonts w:cs="Times New Roman"/>
          <w:i/>
          <w:iCs/>
          <w:szCs w:val="24"/>
        </w:rPr>
        <w:t>a contaminant</w:t>
      </w:r>
      <w:r w:rsidR="002E6968" w:rsidRPr="002E6968">
        <w:rPr>
          <w:rFonts w:cs="Times New Roman"/>
          <w:szCs w:val="24"/>
        </w:rPr>
        <w:t xml:space="preserve"> is present at levels exceeding the soil cleanup objectives or other health-based or environmental standards, criteria or guidance</w:t>
      </w:r>
      <w:r w:rsidR="002E6968">
        <w:rPr>
          <w:rFonts w:cs="Times New Roman"/>
          <w:szCs w:val="24"/>
        </w:rPr>
        <w:t xml:space="preserve"> . . .”  </w:t>
      </w:r>
      <w:r w:rsidR="00A2047B">
        <w:rPr>
          <w:rFonts w:cs="Times New Roman"/>
          <w:szCs w:val="24"/>
        </w:rPr>
        <w:t xml:space="preserve">ECL § 27-1405(2) (emphasis added).  </w:t>
      </w:r>
      <w:r w:rsidR="002E6968">
        <w:rPr>
          <w:rFonts w:cs="Times New Roman"/>
          <w:szCs w:val="24"/>
        </w:rPr>
        <w:t>The</w:t>
      </w:r>
      <w:r w:rsidR="002E6968" w:rsidRPr="002E6968">
        <w:rPr>
          <w:rFonts w:cs="Times New Roman"/>
          <w:szCs w:val="24"/>
        </w:rPr>
        <w:t xml:space="preserve"> </w:t>
      </w:r>
      <w:r w:rsidR="00067609" w:rsidRPr="002E6968">
        <w:rPr>
          <w:rFonts w:cs="Times New Roman"/>
          <w:szCs w:val="24"/>
        </w:rPr>
        <w:t xml:space="preserve">Department’s proposal </w:t>
      </w:r>
      <w:r w:rsidR="00067609" w:rsidRPr="002E6968">
        <w:rPr>
          <w:rFonts w:cs="Times New Roman"/>
          <w:bCs/>
          <w:szCs w:val="24"/>
        </w:rPr>
        <w:t xml:space="preserve">would seem </w:t>
      </w:r>
      <w:r w:rsidR="004F2D85" w:rsidRPr="002E6968">
        <w:rPr>
          <w:rFonts w:cs="Times New Roman"/>
          <w:bCs/>
          <w:szCs w:val="24"/>
        </w:rPr>
        <w:t xml:space="preserve">to require contamination site-wide </w:t>
      </w:r>
      <w:r w:rsidR="002E6968">
        <w:rPr>
          <w:rFonts w:cs="Times New Roman"/>
          <w:bCs/>
          <w:szCs w:val="24"/>
        </w:rPr>
        <w:t>with the use of the phrase “contamination on-site” a</w:t>
      </w:r>
      <w:r w:rsidR="004F2D85" w:rsidRPr="002E6968">
        <w:rPr>
          <w:rFonts w:cs="Times New Roman"/>
          <w:bCs/>
          <w:szCs w:val="24"/>
        </w:rPr>
        <w:t>s opposed to an area on the site where a contaminant is present.</w:t>
      </w:r>
      <w:r w:rsidR="00172449" w:rsidRPr="002E6968">
        <w:rPr>
          <w:rFonts w:cs="Times New Roman"/>
          <w:bCs/>
          <w:szCs w:val="24"/>
        </w:rPr>
        <w:t xml:space="preserve">  We recommend that the Department </w:t>
      </w:r>
      <w:r w:rsidR="00E52CD5">
        <w:rPr>
          <w:rFonts w:cs="Times New Roman"/>
          <w:bCs/>
          <w:szCs w:val="24"/>
        </w:rPr>
        <w:t>align the regulatory language with the statutory language</w:t>
      </w:r>
      <w:r w:rsidR="00172449" w:rsidRPr="002E6968">
        <w:rPr>
          <w:rFonts w:cs="Times New Roman"/>
          <w:bCs/>
          <w:szCs w:val="24"/>
        </w:rPr>
        <w:t xml:space="preserve">.  </w:t>
      </w:r>
    </w:p>
    <w:p w14:paraId="146E37F6" w14:textId="39245230" w:rsidR="007F1CD2" w:rsidRDefault="007F1CD2" w:rsidP="00A5121D">
      <w:pPr>
        <w:pStyle w:val="ListParagraph"/>
        <w:spacing w:after="0"/>
        <w:ind w:left="1080"/>
        <w:rPr>
          <w:rFonts w:cs="Times New Roman"/>
          <w:szCs w:val="24"/>
        </w:rPr>
      </w:pPr>
    </w:p>
    <w:p w14:paraId="513B06D4" w14:textId="766377E0" w:rsidR="007F1CD2" w:rsidRDefault="0014074D" w:rsidP="00A5121D">
      <w:pPr>
        <w:pStyle w:val="ListParagraph"/>
        <w:numPr>
          <w:ilvl w:val="0"/>
          <w:numId w:val="17"/>
        </w:numPr>
        <w:spacing w:after="0"/>
        <w:rPr>
          <w:rFonts w:cs="Times New Roman"/>
          <w:szCs w:val="24"/>
        </w:rPr>
      </w:pPr>
      <w:r w:rsidRPr="007F1CD2">
        <w:rPr>
          <w:rFonts w:cs="Times New Roman"/>
          <w:b/>
          <w:szCs w:val="24"/>
          <w:u w:val="single"/>
        </w:rPr>
        <w:t>§</w:t>
      </w:r>
      <w:r w:rsidR="003E1B3C" w:rsidRPr="007F1CD2">
        <w:rPr>
          <w:rFonts w:cs="Times New Roman"/>
          <w:b/>
          <w:szCs w:val="24"/>
          <w:u w:val="single"/>
        </w:rPr>
        <w:t>§</w:t>
      </w:r>
      <w:r w:rsidRPr="007F1CD2">
        <w:rPr>
          <w:rFonts w:cs="Times New Roman"/>
          <w:b/>
          <w:szCs w:val="24"/>
          <w:u w:val="single"/>
        </w:rPr>
        <w:t xml:space="preserve"> </w:t>
      </w:r>
      <w:r w:rsidR="004F2D85" w:rsidRPr="007F1CD2">
        <w:rPr>
          <w:rFonts w:cs="Times New Roman"/>
          <w:b/>
          <w:szCs w:val="24"/>
          <w:u w:val="single"/>
        </w:rPr>
        <w:t>375-3.3(a)(3)</w:t>
      </w:r>
      <w:r w:rsidR="00CA3A4A" w:rsidRPr="007F1CD2">
        <w:rPr>
          <w:rFonts w:cs="Times New Roman"/>
          <w:b/>
          <w:szCs w:val="24"/>
          <w:u w:val="single"/>
        </w:rPr>
        <w:t>-(4)</w:t>
      </w:r>
      <w:r w:rsidR="004F2D85" w:rsidRPr="007F1CD2">
        <w:rPr>
          <w:rFonts w:cs="Times New Roman"/>
          <w:b/>
          <w:szCs w:val="24"/>
          <w:u w:val="single"/>
        </w:rPr>
        <w:t xml:space="preserve">: </w:t>
      </w:r>
      <w:r w:rsidR="00B72C0C" w:rsidRPr="007F1CD2">
        <w:rPr>
          <w:rFonts w:cs="Times New Roman"/>
          <w:b/>
          <w:szCs w:val="24"/>
          <w:u w:val="single"/>
        </w:rPr>
        <w:t>Eligibility for the BCP Based on an Investigation Report Showing a Site “Requires Remediation”</w:t>
      </w:r>
      <w:r w:rsidR="00C06537">
        <w:rPr>
          <w:rFonts w:cs="Times New Roman"/>
          <w:b/>
          <w:szCs w:val="24"/>
          <w:u w:val="single"/>
        </w:rPr>
        <w:t xml:space="preserve"> </w:t>
      </w:r>
      <w:proofErr w:type="gramStart"/>
      <w:r w:rsidR="00C06537">
        <w:rPr>
          <w:rFonts w:cs="Times New Roman"/>
          <w:b/>
          <w:szCs w:val="24"/>
          <w:u w:val="single"/>
        </w:rPr>
        <w:t>-</w:t>
      </w:r>
      <w:r w:rsidR="007F1CD2" w:rsidRPr="007F1CD2">
        <w:rPr>
          <w:rFonts w:cs="Times New Roman"/>
          <w:szCs w:val="24"/>
        </w:rPr>
        <w:t xml:space="preserve"> </w:t>
      </w:r>
      <w:r w:rsidR="00943CBE">
        <w:rPr>
          <w:rFonts w:cs="Times New Roman"/>
          <w:szCs w:val="24"/>
        </w:rPr>
        <w:t xml:space="preserve"> </w:t>
      </w:r>
      <w:r w:rsidR="00B72C0C" w:rsidRPr="007F1CD2">
        <w:rPr>
          <w:rFonts w:cs="Times New Roman"/>
          <w:szCs w:val="24"/>
        </w:rPr>
        <w:t>The</w:t>
      </w:r>
      <w:proofErr w:type="gramEnd"/>
      <w:r w:rsidR="00B72C0C" w:rsidRPr="007F1CD2">
        <w:rPr>
          <w:rFonts w:cs="Times New Roman"/>
          <w:szCs w:val="24"/>
        </w:rPr>
        <w:t xml:space="preserve"> Department’s proposal would require an investigation report to show that a site is eligible for the BCP because it “requires remediation” for “the reasonably anticipated end use of the site.” </w:t>
      </w:r>
      <w:r w:rsidR="00A2047B">
        <w:rPr>
          <w:rFonts w:cs="Times New Roman"/>
          <w:szCs w:val="24"/>
        </w:rPr>
        <w:t xml:space="preserve"> </w:t>
      </w:r>
      <w:r w:rsidR="00B72C0C" w:rsidRPr="007F1CD2">
        <w:rPr>
          <w:rFonts w:cs="Times New Roman"/>
          <w:szCs w:val="24"/>
        </w:rPr>
        <w:t xml:space="preserve">ECL § 27-1407(1), however, requires an investigation report to show only that a site “requires remediation in order to meet the remedial requirements of this title.” </w:t>
      </w:r>
      <w:r w:rsidR="00A2047B">
        <w:rPr>
          <w:rFonts w:cs="Times New Roman"/>
          <w:szCs w:val="24"/>
        </w:rPr>
        <w:t xml:space="preserve"> </w:t>
      </w:r>
      <w:r w:rsidR="00B72C0C" w:rsidRPr="007F1CD2">
        <w:rPr>
          <w:rFonts w:cs="Times New Roman"/>
          <w:szCs w:val="24"/>
        </w:rPr>
        <w:t>The Department’s proposal should be modified to track the applicable language of ECL § 27-1407(1).</w:t>
      </w:r>
    </w:p>
    <w:p w14:paraId="6081D58B" w14:textId="77777777" w:rsidR="007F1CD2" w:rsidRPr="007F1CD2" w:rsidRDefault="007F1CD2" w:rsidP="00A5121D">
      <w:pPr>
        <w:pStyle w:val="ListParagraph"/>
        <w:spacing w:after="0"/>
        <w:rPr>
          <w:rFonts w:cs="Times New Roman"/>
          <w:bCs/>
          <w:szCs w:val="24"/>
        </w:rPr>
      </w:pPr>
    </w:p>
    <w:p w14:paraId="68C4EF7D" w14:textId="3041392B" w:rsidR="004F2D85" w:rsidRPr="007F1CD2" w:rsidRDefault="00E31411" w:rsidP="00A5121D">
      <w:pPr>
        <w:pStyle w:val="ListParagraph"/>
        <w:spacing w:after="0"/>
        <w:ind w:left="1080"/>
        <w:rPr>
          <w:rFonts w:cs="Times New Roman"/>
          <w:szCs w:val="24"/>
        </w:rPr>
      </w:pPr>
      <w:r w:rsidRPr="007F1CD2">
        <w:rPr>
          <w:rFonts w:cs="Times New Roman"/>
          <w:bCs/>
          <w:szCs w:val="24"/>
        </w:rPr>
        <w:lastRenderedPageBreak/>
        <w:t>The proposal</w:t>
      </w:r>
      <w:r w:rsidR="004F2D85" w:rsidRPr="007F1CD2">
        <w:rPr>
          <w:rFonts w:cs="Times New Roman"/>
          <w:bCs/>
          <w:szCs w:val="24"/>
        </w:rPr>
        <w:t xml:space="preserve"> appear</w:t>
      </w:r>
      <w:r w:rsidRPr="007F1CD2">
        <w:rPr>
          <w:rFonts w:cs="Times New Roman"/>
          <w:bCs/>
          <w:szCs w:val="24"/>
        </w:rPr>
        <w:t>s</w:t>
      </w:r>
      <w:r w:rsidR="004F2D85" w:rsidRPr="007F1CD2">
        <w:rPr>
          <w:rFonts w:cs="Times New Roman"/>
          <w:bCs/>
          <w:szCs w:val="24"/>
        </w:rPr>
        <w:t xml:space="preserve"> to be an attempt to narrow the broad statutory definition</w:t>
      </w:r>
      <w:r w:rsidR="00B72C0C" w:rsidRPr="007F1CD2">
        <w:rPr>
          <w:rFonts w:cs="Times New Roman"/>
          <w:bCs/>
          <w:szCs w:val="24"/>
        </w:rPr>
        <w:t xml:space="preserve"> of what constitutes a “Brownfield site”</w:t>
      </w:r>
      <w:r w:rsidR="004F2D85" w:rsidRPr="007F1CD2">
        <w:rPr>
          <w:rFonts w:cs="Times New Roman"/>
          <w:bCs/>
          <w:szCs w:val="24"/>
        </w:rPr>
        <w:t>, which only requires that “a contaminant is present</w:t>
      </w:r>
      <w:r w:rsidR="00B72C0C" w:rsidRPr="007F1CD2">
        <w:rPr>
          <w:rFonts w:cs="Times New Roman"/>
          <w:bCs/>
          <w:szCs w:val="24"/>
        </w:rPr>
        <w:t xml:space="preserve"> at levels exceeding the soil cleanup objectives or other health-based or environmental standards, criteria or guidance</w:t>
      </w:r>
      <w:r w:rsidR="004F2D85" w:rsidRPr="007F1CD2">
        <w:rPr>
          <w:rFonts w:cs="Times New Roman"/>
          <w:bCs/>
          <w:szCs w:val="24"/>
        </w:rPr>
        <w:t>”</w:t>
      </w:r>
      <w:r w:rsidR="00B72C0C" w:rsidRPr="007F1CD2">
        <w:rPr>
          <w:rFonts w:cs="Times New Roman"/>
          <w:bCs/>
          <w:szCs w:val="24"/>
        </w:rPr>
        <w:t>.  ECL § 27-1405(2).</w:t>
      </w:r>
      <w:r w:rsidRPr="007F1CD2">
        <w:rPr>
          <w:rFonts w:cs="Times New Roman"/>
          <w:bCs/>
          <w:szCs w:val="24"/>
        </w:rPr>
        <w:t xml:space="preserve">  The proposal</w:t>
      </w:r>
      <w:r w:rsidR="004F2D85" w:rsidRPr="007F1CD2">
        <w:rPr>
          <w:rFonts w:cs="Times New Roman"/>
          <w:bCs/>
          <w:szCs w:val="24"/>
        </w:rPr>
        <w:t xml:space="preserve"> </w:t>
      </w:r>
      <w:r w:rsidRPr="007F1CD2">
        <w:rPr>
          <w:rFonts w:cs="Times New Roman"/>
          <w:bCs/>
          <w:szCs w:val="24"/>
        </w:rPr>
        <w:t xml:space="preserve">also appears to be an attempt to </w:t>
      </w:r>
      <w:r w:rsidR="004F2D85" w:rsidRPr="007F1CD2">
        <w:rPr>
          <w:rFonts w:cs="Times New Roman"/>
          <w:bCs/>
          <w:szCs w:val="24"/>
        </w:rPr>
        <w:t xml:space="preserve">overturn the </w:t>
      </w:r>
      <w:r w:rsidR="004F2D85" w:rsidRPr="007F1CD2">
        <w:rPr>
          <w:rFonts w:cs="Times New Roman"/>
          <w:bCs/>
          <w:i/>
          <w:iCs/>
          <w:szCs w:val="24"/>
        </w:rPr>
        <w:t>Lighthouse Point</w:t>
      </w:r>
      <w:r w:rsidR="0043575E" w:rsidRPr="007F1CD2">
        <w:rPr>
          <w:rFonts w:cs="Times New Roman"/>
          <w:bCs/>
          <w:i/>
          <w:iCs/>
          <w:szCs w:val="24"/>
        </w:rPr>
        <w:t>e</w:t>
      </w:r>
      <w:r w:rsidR="004F2D85" w:rsidRPr="007F1CD2">
        <w:rPr>
          <w:rFonts w:cs="Times New Roman"/>
          <w:bCs/>
          <w:szCs w:val="24"/>
        </w:rPr>
        <w:t xml:space="preserve"> decision, wherein the Court of Appeals provided the Department with some discretion </w:t>
      </w:r>
      <w:r w:rsidRPr="007F1CD2">
        <w:rPr>
          <w:rFonts w:cs="Times New Roman"/>
          <w:bCs/>
          <w:szCs w:val="24"/>
        </w:rPr>
        <w:t xml:space="preserve">to deny an application into the BCP </w:t>
      </w:r>
      <w:r w:rsidR="004F2D85" w:rsidRPr="007F1CD2">
        <w:rPr>
          <w:rFonts w:cs="Times New Roman"/>
          <w:bCs/>
          <w:szCs w:val="24"/>
        </w:rPr>
        <w:t xml:space="preserve">if there were only a few </w:t>
      </w:r>
      <w:proofErr w:type="gramStart"/>
      <w:r w:rsidR="004F2D85" w:rsidRPr="007F1CD2">
        <w:rPr>
          <w:rFonts w:cs="Times New Roman"/>
          <w:bCs/>
          <w:szCs w:val="24"/>
        </w:rPr>
        <w:t>exceedances</w:t>
      </w:r>
      <w:r w:rsidRPr="007F1CD2">
        <w:rPr>
          <w:rFonts w:cs="Times New Roman"/>
          <w:bCs/>
          <w:szCs w:val="24"/>
        </w:rPr>
        <w:t>,</w:t>
      </w:r>
      <w:r w:rsidR="004F2D85" w:rsidRPr="007F1CD2">
        <w:rPr>
          <w:rFonts w:cs="Times New Roman"/>
          <w:bCs/>
          <w:szCs w:val="24"/>
        </w:rPr>
        <w:t xml:space="preserve"> but</w:t>
      </w:r>
      <w:proofErr w:type="gramEnd"/>
      <w:r w:rsidR="004F2D85" w:rsidRPr="007F1CD2">
        <w:rPr>
          <w:rFonts w:cs="Times New Roman"/>
          <w:bCs/>
          <w:szCs w:val="24"/>
        </w:rPr>
        <w:t xml:space="preserve"> did not contain such narrowing language as propose in this regulation.  </w:t>
      </w:r>
      <w:r w:rsidRPr="007F1CD2">
        <w:rPr>
          <w:rFonts w:cs="Times New Roman"/>
          <w:bCs/>
          <w:i/>
          <w:szCs w:val="24"/>
        </w:rPr>
        <w:t xml:space="preserve">See In re: Lighthouse </w:t>
      </w:r>
      <w:r w:rsidRPr="007F1CD2">
        <w:rPr>
          <w:rFonts w:cs="Times New Roman"/>
          <w:i/>
          <w:szCs w:val="24"/>
        </w:rPr>
        <w:t>Pointe</w:t>
      </w:r>
      <w:r w:rsidRPr="007F1CD2">
        <w:rPr>
          <w:rFonts w:cs="Times New Roman"/>
          <w:bCs/>
          <w:i/>
          <w:szCs w:val="24"/>
        </w:rPr>
        <w:t xml:space="preserve"> Prop. Assoc. LLC v. N.Y. State </w:t>
      </w:r>
      <w:proofErr w:type="spellStart"/>
      <w:r w:rsidRPr="007F1CD2">
        <w:rPr>
          <w:rFonts w:cs="Times New Roman"/>
          <w:bCs/>
          <w:i/>
          <w:szCs w:val="24"/>
        </w:rPr>
        <w:t>Dep’t</w:t>
      </w:r>
      <w:proofErr w:type="spellEnd"/>
      <w:r w:rsidRPr="007F1CD2">
        <w:rPr>
          <w:rFonts w:cs="Times New Roman"/>
          <w:bCs/>
          <w:i/>
          <w:szCs w:val="24"/>
        </w:rPr>
        <w:t xml:space="preserve"> of </w:t>
      </w:r>
      <w:proofErr w:type="spellStart"/>
      <w:r w:rsidRPr="007F1CD2">
        <w:rPr>
          <w:rFonts w:cs="Times New Roman"/>
          <w:bCs/>
          <w:i/>
          <w:szCs w:val="24"/>
        </w:rPr>
        <w:t>Envtl</w:t>
      </w:r>
      <w:proofErr w:type="spellEnd"/>
      <w:r w:rsidRPr="007F1CD2">
        <w:rPr>
          <w:rFonts w:cs="Times New Roman"/>
          <w:bCs/>
          <w:i/>
          <w:szCs w:val="24"/>
        </w:rPr>
        <w:t xml:space="preserve">. </w:t>
      </w:r>
      <w:proofErr w:type="spellStart"/>
      <w:r w:rsidRPr="007F1CD2">
        <w:rPr>
          <w:rFonts w:cs="Times New Roman"/>
          <w:bCs/>
          <w:i/>
          <w:szCs w:val="24"/>
        </w:rPr>
        <w:t>Conserv</w:t>
      </w:r>
      <w:proofErr w:type="spellEnd"/>
      <w:r w:rsidRPr="007F1CD2">
        <w:rPr>
          <w:rFonts w:cs="Times New Roman"/>
          <w:bCs/>
          <w:i/>
          <w:szCs w:val="24"/>
        </w:rPr>
        <w:t>.</w:t>
      </w:r>
      <w:r w:rsidRPr="007F1CD2">
        <w:rPr>
          <w:rFonts w:cs="Times New Roman"/>
          <w:bCs/>
          <w:szCs w:val="24"/>
        </w:rPr>
        <w:t>, 14 N.Y.3d 161 (2010).</w:t>
      </w:r>
      <w:r w:rsidR="004F2D85" w:rsidRPr="007F1CD2">
        <w:rPr>
          <w:rFonts w:cs="Times New Roman"/>
          <w:bCs/>
          <w:szCs w:val="24"/>
        </w:rPr>
        <w:t xml:space="preserve"> </w:t>
      </w:r>
      <w:r w:rsidRPr="007F1CD2">
        <w:rPr>
          <w:rFonts w:cs="Times New Roman"/>
          <w:bCs/>
          <w:szCs w:val="24"/>
        </w:rPr>
        <w:t xml:space="preserve"> We recommend </w:t>
      </w:r>
      <w:r w:rsidR="004F2D85" w:rsidRPr="007F1CD2">
        <w:rPr>
          <w:rFonts w:cs="Times New Roman"/>
          <w:bCs/>
          <w:szCs w:val="24"/>
        </w:rPr>
        <w:t xml:space="preserve">that these regulatory </w:t>
      </w:r>
      <w:r w:rsidR="00CA3A4A" w:rsidRPr="007F1CD2">
        <w:rPr>
          <w:rFonts w:cs="Times New Roman"/>
          <w:bCs/>
          <w:szCs w:val="24"/>
        </w:rPr>
        <w:t>proposals</w:t>
      </w:r>
      <w:r w:rsidR="004F2D85" w:rsidRPr="007F1CD2">
        <w:rPr>
          <w:rFonts w:cs="Times New Roman"/>
          <w:bCs/>
          <w:szCs w:val="24"/>
        </w:rPr>
        <w:t xml:space="preserve">, which </w:t>
      </w:r>
      <w:r w:rsidR="00CA3A4A" w:rsidRPr="007F1CD2">
        <w:rPr>
          <w:rFonts w:cs="Times New Roman"/>
          <w:bCs/>
          <w:szCs w:val="24"/>
        </w:rPr>
        <w:t xml:space="preserve">would </w:t>
      </w:r>
      <w:r w:rsidR="004F2D85" w:rsidRPr="007F1CD2">
        <w:rPr>
          <w:rFonts w:cs="Times New Roman"/>
          <w:bCs/>
          <w:szCs w:val="24"/>
        </w:rPr>
        <w:t>further narrow eligibility</w:t>
      </w:r>
      <w:r w:rsidRPr="007F1CD2">
        <w:rPr>
          <w:rFonts w:cs="Times New Roman"/>
          <w:bCs/>
          <w:szCs w:val="24"/>
        </w:rPr>
        <w:t>,</w:t>
      </w:r>
      <w:r w:rsidR="004F2D85" w:rsidRPr="007F1CD2">
        <w:rPr>
          <w:rFonts w:cs="Times New Roman"/>
          <w:bCs/>
          <w:szCs w:val="24"/>
        </w:rPr>
        <w:t xml:space="preserve"> be </w:t>
      </w:r>
      <w:r w:rsidR="00CA3A4A" w:rsidRPr="007F1CD2">
        <w:rPr>
          <w:rFonts w:cs="Times New Roman"/>
          <w:bCs/>
          <w:szCs w:val="24"/>
        </w:rPr>
        <w:t>omitted</w:t>
      </w:r>
      <w:r w:rsidR="004F2D85" w:rsidRPr="007F1CD2">
        <w:rPr>
          <w:rFonts w:cs="Times New Roman"/>
          <w:bCs/>
          <w:szCs w:val="24"/>
        </w:rPr>
        <w:t>.</w:t>
      </w:r>
    </w:p>
    <w:p w14:paraId="7F1C76FF" w14:textId="7D25FB03" w:rsidR="004F2D85" w:rsidRDefault="004F2D85" w:rsidP="00A5121D">
      <w:pPr>
        <w:spacing w:after="0"/>
        <w:rPr>
          <w:rFonts w:cs="Times New Roman"/>
          <w:szCs w:val="24"/>
        </w:rPr>
      </w:pPr>
    </w:p>
    <w:p w14:paraId="255B1A40" w14:textId="607193A1" w:rsidR="00585890" w:rsidRPr="0069191F" w:rsidRDefault="00EE099F" w:rsidP="00A5121D">
      <w:pPr>
        <w:pStyle w:val="ListParagraph"/>
        <w:numPr>
          <w:ilvl w:val="0"/>
          <w:numId w:val="17"/>
        </w:numPr>
        <w:spacing w:after="0"/>
        <w:rPr>
          <w:rFonts w:cs="Times New Roman"/>
          <w:szCs w:val="24"/>
        </w:rPr>
      </w:pPr>
      <w:r w:rsidRPr="00943CBE">
        <w:rPr>
          <w:rFonts w:cs="Times New Roman"/>
          <w:b/>
          <w:szCs w:val="24"/>
          <w:u w:val="single"/>
        </w:rPr>
        <w:t>§ 375-3.3(a)(5)</w:t>
      </w:r>
      <w:r w:rsidR="00943CBE">
        <w:rPr>
          <w:rFonts w:cs="Times New Roman"/>
          <w:b/>
          <w:szCs w:val="24"/>
          <w:u w:val="single"/>
        </w:rPr>
        <w:t>:</w:t>
      </w:r>
      <w:r w:rsidRPr="00943CBE">
        <w:rPr>
          <w:rFonts w:cs="Times New Roman"/>
          <w:b/>
          <w:szCs w:val="24"/>
          <w:u w:val="single"/>
        </w:rPr>
        <w:t xml:space="preserve"> Determining the Reasonably Anticipated Use of a Site</w:t>
      </w:r>
      <w:r w:rsidR="00943CBE">
        <w:rPr>
          <w:rFonts w:cs="Times New Roman"/>
          <w:bCs/>
          <w:szCs w:val="24"/>
          <w:u w:val="single"/>
        </w:rPr>
        <w:t xml:space="preserve"> </w:t>
      </w:r>
      <w:proofErr w:type="gramStart"/>
      <w:r w:rsidR="00943CBE">
        <w:rPr>
          <w:rFonts w:cs="Times New Roman"/>
          <w:bCs/>
          <w:szCs w:val="24"/>
          <w:u w:val="single"/>
        </w:rPr>
        <w:t>-</w:t>
      </w:r>
      <w:r w:rsidR="00DA03C9" w:rsidRPr="0069191F">
        <w:rPr>
          <w:rFonts w:cs="Times New Roman"/>
          <w:bCs/>
          <w:szCs w:val="24"/>
        </w:rPr>
        <w:t xml:space="preserve"> </w:t>
      </w:r>
      <w:r w:rsidR="00943CBE">
        <w:rPr>
          <w:rFonts w:cs="Times New Roman"/>
          <w:bCs/>
          <w:szCs w:val="24"/>
        </w:rPr>
        <w:t xml:space="preserve"> </w:t>
      </w:r>
      <w:r w:rsidRPr="0069191F">
        <w:rPr>
          <w:rFonts w:cs="Times New Roman"/>
          <w:bCs/>
          <w:szCs w:val="24"/>
        </w:rPr>
        <w:t>The</w:t>
      </w:r>
      <w:proofErr w:type="gramEnd"/>
      <w:r w:rsidRPr="0069191F">
        <w:rPr>
          <w:rFonts w:cs="Times New Roman"/>
          <w:bCs/>
          <w:szCs w:val="24"/>
        </w:rPr>
        <w:t xml:space="preserve"> proposal sets forth a non-exhaustive list of five factors for determining eligibility based on the “reasonably anticipated use of the site.” Pursuant to ECL § 27-1407(1), however, the department must “determine eligibility and the current, intended and reasonably anticipated future land use of the site pursuant to Section 27-1415 of this title.” Section 27-1415(</w:t>
      </w:r>
      <w:proofErr w:type="spellStart"/>
      <w:r w:rsidRPr="0069191F">
        <w:rPr>
          <w:rFonts w:cs="Times New Roman"/>
          <w:bCs/>
          <w:szCs w:val="24"/>
        </w:rPr>
        <w:t>i</w:t>
      </w:r>
      <w:proofErr w:type="spellEnd"/>
      <w:r w:rsidRPr="0069191F">
        <w:rPr>
          <w:rFonts w:cs="Times New Roman"/>
          <w:bCs/>
          <w:szCs w:val="24"/>
        </w:rPr>
        <w:t>) in turn sets of forth a non-exhaustive list of sixteen factors for making this determination.  The Department’s proposal therefore should be revised to reflect Section 27-1407(1) and Section 27-1415.</w:t>
      </w:r>
    </w:p>
    <w:p w14:paraId="3A8B23FB" w14:textId="7EC6BD47" w:rsidR="00EE099F" w:rsidRDefault="00EE099F" w:rsidP="00A5121D">
      <w:pPr>
        <w:spacing w:after="0"/>
        <w:rPr>
          <w:rFonts w:cs="Times New Roman"/>
          <w:szCs w:val="24"/>
        </w:rPr>
      </w:pPr>
    </w:p>
    <w:p w14:paraId="0EFD8178" w14:textId="1602A24B" w:rsidR="007F1CD2" w:rsidRDefault="00804125" w:rsidP="00A5121D">
      <w:pPr>
        <w:pStyle w:val="ListParagraph"/>
        <w:numPr>
          <w:ilvl w:val="0"/>
          <w:numId w:val="17"/>
        </w:numPr>
        <w:spacing w:after="0"/>
        <w:rPr>
          <w:rFonts w:cs="Times New Roman"/>
          <w:szCs w:val="24"/>
        </w:rPr>
      </w:pPr>
      <w:r w:rsidRPr="007F1CD2">
        <w:rPr>
          <w:rFonts w:cs="Times New Roman"/>
          <w:b/>
          <w:szCs w:val="24"/>
          <w:u w:val="single"/>
        </w:rPr>
        <w:t>§ 375-3.3(b)(2)(ii): Requiring BCP Applicants to Conduct PRP Searches</w:t>
      </w:r>
      <w:r w:rsidR="00C06537">
        <w:rPr>
          <w:rFonts w:cs="Times New Roman"/>
          <w:b/>
          <w:szCs w:val="24"/>
          <w:u w:val="single"/>
        </w:rPr>
        <w:t xml:space="preserve"> </w:t>
      </w:r>
      <w:proofErr w:type="gramStart"/>
      <w:r w:rsidR="00C06537">
        <w:rPr>
          <w:rFonts w:cs="Times New Roman"/>
          <w:b/>
          <w:szCs w:val="24"/>
          <w:u w:val="single"/>
        </w:rPr>
        <w:t>-</w:t>
      </w:r>
      <w:r w:rsidR="007F1CD2" w:rsidRPr="007F1CD2">
        <w:rPr>
          <w:rFonts w:cs="Times New Roman"/>
          <w:bCs/>
          <w:szCs w:val="24"/>
        </w:rPr>
        <w:t xml:space="preserve"> </w:t>
      </w:r>
      <w:r w:rsidR="00943CBE">
        <w:rPr>
          <w:rFonts w:cs="Times New Roman"/>
          <w:bCs/>
          <w:szCs w:val="24"/>
        </w:rPr>
        <w:t xml:space="preserve"> </w:t>
      </w:r>
      <w:r w:rsidR="00D94549" w:rsidRPr="007F1CD2">
        <w:rPr>
          <w:rFonts w:cs="Times New Roman"/>
          <w:szCs w:val="24"/>
        </w:rPr>
        <w:t>See</w:t>
      </w:r>
      <w:proofErr w:type="gramEnd"/>
      <w:r w:rsidR="00D94549" w:rsidRPr="007F1CD2">
        <w:rPr>
          <w:rFonts w:cs="Times New Roman"/>
          <w:szCs w:val="24"/>
        </w:rPr>
        <w:t xml:space="preserve"> </w:t>
      </w:r>
      <w:r w:rsidR="00A2047B">
        <w:rPr>
          <w:rFonts w:cs="Times New Roman"/>
          <w:szCs w:val="24"/>
        </w:rPr>
        <w:t xml:space="preserve">the </w:t>
      </w:r>
      <w:r w:rsidR="00D94549" w:rsidRPr="007F1CD2">
        <w:rPr>
          <w:rFonts w:cs="Times New Roman"/>
          <w:szCs w:val="24"/>
        </w:rPr>
        <w:t>comment a</w:t>
      </w:r>
      <w:r w:rsidR="00A6698F" w:rsidRPr="007F1CD2">
        <w:rPr>
          <w:rFonts w:cs="Times New Roman"/>
          <w:szCs w:val="24"/>
        </w:rPr>
        <w:t>bove</w:t>
      </w:r>
      <w:r w:rsidR="00A2047B">
        <w:rPr>
          <w:rFonts w:cs="Times New Roman"/>
          <w:szCs w:val="24"/>
        </w:rPr>
        <w:t xml:space="preserve"> regarding § 375-3.2(k).</w:t>
      </w:r>
      <w:r w:rsidR="00A6698F" w:rsidRPr="007F1CD2">
        <w:rPr>
          <w:rFonts w:cs="Times New Roman"/>
          <w:szCs w:val="24"/>
        </w:rPr>
        <w:t xml:space="preserve"> </w:t>
      </w:r>
    </w:p>
    <w:p w14:paraId="74FF65D9" w14:textId="77777777" w:rsidR="00585890" w:rsidRDefault="00585890" w:rsidP="00A5121D">
      <w:pPr>
        <w:pStyle w:val="ListParagraph"/>
        <w:spacing w:after="0"/>
        <w:ind w:left="1080"/>
        <w:rPr>
          <w:rFonts w:cs="Times New Roman"/>
          <w:szCs w:val="24"/>
        </w:rPr>
      </w:pPr>
    </w:p>
    <w:p w14:paraId="108F1198" w14:textId="6F22C1E4" w:rsidR="00EE099F" w:rsidRDefault="00943CBE" w:rsidP="00A5121D">
      <w:pPr>
        <w:pStyle w:val="ListParagraph"/>
        <w:numPr>
          <w:ilvl w:val="0"/>
          <w:numId w:val="17"/>
        </w:numPr>
        <w:spacing w:after="0"/>
        <w:rPr>
          <w:rFonts w:cs="Times New Roman"/>
          <w:szCs w:val="24"/>
        </w:rPr>
      </w:pPr>
      <w:r>
        <w:rPr>
          <w:rFonts w:cs="Times New Roman"/>
          <w:b/>
          <w:bCs/>
          <w:szCs w:val="24"/>
          <w:u w:val="single"/>
        </w:rPr>
        <w:t>§ 375-3.3(b)(5):</w:t>
      </w:r>
      <w:r w:rsidR="00EE099F" w:rsidRPr="00943CBE">
        <w:rPr>
          <w:rFonts w:cs="Times New Roman"/>
          <w:b/>
          <w:bCs/>
          <w:szCs w:val="24"/>
          <w:u w:val="single"/>
        </w:rPr>
        <w:t xml:space="preserve"> Adding Interim Status Facilities to the Categories of Eligible Brownfield Sites</w:t>
      </w:r>
      <w:r>
        <w:rPr>
          <w:rFonts w:cs="Times New Roman"/>
          <w:szCs w:val="24"/>
          <w:u w:val="single"/>
        </w:rPr>
        <w:t xml:space="preserve"> </w:t>
      </w:r>
      <w:proofErr w:type="gramStart"/>
      <w:r>
        <w:rPr>
          <w:rFonts w:cs="Times New Roman"/>
          <w:szCs w:val="24"/>
          <w:u w:val="single"/>
        </w:rPr>
        <w:t>-</w:t>
      </w:r>
      <w:r w:rsidR="00EE099F" w:rsidRPr="00EE099F">
        <w:rPr>
          <w:rFonts w:cs="Times New Roman"/>
          <w:szCs w:val="24"/>
        </w:rPr>
        <w:t xml:space="preserve"> </w:t>
      </w:r>
      <w:r>
        <w:rPr>
          <w:rFonts w:cs="Times New Roman"/>
          <w:szCs w:val="24"/>
        </w:rPr>
        <w:t xml:space="preserve"> </w:t>
      </w:r>
      <w:r w:rsidR="00EE099F" w:rsidRPr="00EE099F">
        <w:rPr>
          <w:rFonts w:cs="Times New Roman"/>
          <w:szCs w:val="24"/>
        </w:rPr>
        <w:t>We</w:t>
      </w:r>
      <w:proofErr w:type="gramEnd"/>
      <w:r w:rsidR="00EE099F" w:rsidRPr="00EE099F">
        <w:rPr>
          <w:rFonts w:cs="Times New Roman"/>
          <w:szCs w:val="24"/>
        </w:rPr>
        <w:t xml:space="preserve"> </w:t>
      </w:r>
      <w:r w:rsidR="00EE099F" w:rsidRPr="00334C1F">
        <w:rPr>
          <w:rFonts w:cs="Times New Roman"/>
          <w:bCs/>
          <w:szCs w:val="24"/>
          <w:u w:val="single"/>
        </w:rPr>
        <w:t>support</w:t>
      </w:r>
      <w:r w:rsidR="00EE099F" w:rsidRPr="00EE099F">
        <w:rPr>
          <w:rFonts w:cs="Times New Roman"/>
          <w:szCs w:val="24"/>
        </w:rPr>
        <w:t xml:space="preserve"> this proposal.</w:t>
      </w:r>
    </w:p>
    <w:p w14:paraId="2A46DE17" w14:textId="460C494C" w:rsidR="00EE099F" w:rsidRDefault="00EE099F" w:rsidP="00A5121D">
      <w:pPr>
        <w:pStyle w:val="ListParagraph"/>
        <w:spacing w:after="0"/>
        <w:ind w:left="1080"/>
        <w:rPr>
          <w:rFonts w:cs="Times New Roman"/>
          <w:szCs w:val="24"/>
        </w:rPr>
      </w:pPr>
    </w:p>
    <w:p w14:paraId="1491293B" w14:textId="2809023F" w:rsidR="007F1CD2" w:rsidRDefault="00CA1DE6" w:rsidP="00A5121D">
      <w:pPr>
        <w:pStyle w:val="ListParagraph"/>
        <w:numPr>
          <w:ilvl w:val="0"/>
          <w:numId w:val="17"/>
        </w:numPr>
        <w:spacing w:after="0"/>
        <w:rPr>
          <w:rFonts w:cs="Times New Roman"/>
          <w:szCs w:val="24"/>
        </w:rPr>
      </w:pPr>
      <w:r w:rsidRPr="007F1CD2">
        <w:rPr>
          <w:rFonts w:cs="Times New Roman"/>
          <w:b/>
          <w:szCs w:val="24"/>
          <w:u w:val="single"/>
        </w:rPr>
        <w:t xml:space="preserve">§ </w:t>
      </w:r>
      <w:r w:rsidR="00FD559E" w:rsidRPr="007F1CD2">
        <w:rPr>
          <w:rFonts w:cs="Times New Roman"/>
          <w:b/>
          <w:szCs w:val="24"/>
          <w:u w:val="single"/>
        </w:rPr>
        <w:t>375-3.3(f):</w:t>
      </w:r>
      <w:r w:rsidR="004F2D85" w:rsidRPr="007F1CD2">
        <w:rPr>
          <w:rFonts w:cs="Times New Roman"/>
          <w:b/>
          <w:szCs w:val="24"/>
          <w:u w:val="single"/>
        </w:rPr>
        <w:t xml:space="preserve"> </w:t>
      </w:r>
      <w:r w:rsidR="00F071F1" w:rsidRPr="007F1CD2">
        <w:rPr>
          <w:rFonts w:cs="Times New Roman"/>
          <w:b/>
          <w:szCs w:val="24"/>
          <w:u w:val="single"/>
        </w:rPr>
        <w:t xml:space="preserve">Request for Determination of Eligibility for </w:t>
      </w:r>
      <w:r w:rsidR="004F2D85" w:rsidRPr="007F1CD2">
        <w:rPr>
          <w:rFonts w:cs="Times New Roman"/>
          <w:b/>
          <w:szCs w:val="24"/>
          <w:u w:val="single"/>
        </w:rPr>
        <w:t>Tangible Property Tax Credit</w:t>
      </w:r>
      <w:r w:rsidR="00F071F1" w:rsidRPr="007F1CD2">
        <w:rPr>
          <w:rFonts w:cs="Times New Roman"/>
          <w:b/>
          <w:szCs w:val="24"/>
          <w:u w:val="single"/>
        </w:rPr>
        <w:t xml:space="preserve">s </w:t>
      </w:r>
      <w:r w:rsidR="00B30D86" w:rsidRPr="007F1CD2">
        <w:rPr>
          <w:rFonts w:cs="Times New Roman"/>
          <w:b/>
          <w:szCs w:val="24"/>
          <w:u w:val="single"/>
        </w:rPr>
        <w:t>(“TPCCs”)</w:t>
      </w:r>
      <w:r w:rsidR="00C06537">
        <w:rPr>
          <w:rFonts w:cs="Times New Roman"/>
          <w:b/>
          <w:szCs w:val="24"/>
          <w:u w:val="single"/>
        </w:rPr>
        <w:t xml:space="preserve"> </w:t>
      </w:r>
      <w:proofErr w:type="gramStart"/>
      <w:r w:rsidR="00C06537">
        <w:rPr>
          <w:rFonts w:cs="Times New Roman"/>
          <w:b/>
          <w:szCs w:val="24"/>
          <w:u w:val="single"/>
        </w:rPr>
        <w:t>-</w:t>
      </w:r>
      <w:r w:rsidR="007F1CD2" w:rsidRPr="007F1CD2">
        <w:rPr>
          <w:rFonts w:cs="Times New Roman"/>
          <w:bCs/>
          <w:szCs w:val="24"/>
        </w:rPr>
        <w:t xml:space="preserve">  </w:t>
      </w:r>
      <w:r w:rsidRPr="007F1CD2">
        <w:rPr>
          <w:rFonts w:cs="Times New Roman"/>
          <w:szCs w:val="24"/>
        </w:rPr>
        <w:t>The</w:t>
      </w:r>
      <w:proofErr w:type="gramEnd"/>
      <w:r w:rsidRPr="007F1CD2">
        <w:rPr>
          <w:rFonts w:cs="Times New Roman"/>
          <w:szCs w:val="24"/>
        </w:rPr>
        <w:t xml:space="preserve"> proposal does</w:t>
      </w:r>
      <w:r w:rsidR="004F2D85" w:rsidRPr="007F1CD2">
        <w:rPr>
          <w:rFonts w:cs="Times New Roman"/>
          <w:szCs w:val="24"/>
        </w:rPr>
        <w:t xml:space="preserve"> not solve the </w:t>
      </w:r>
      <w:r w:rsidRPr="007F1CD2">
        <w:rPr>
          <w:rFonts w:cs="Times New Roman"/>
          <w:szCs w:val="24"/>
        </w:rPr>
        <w:t xml:space="preserve">Real Property Tax Law § </w:t>
      </w:r>
      <w:r w:rsidR="004F2D85" w:rsidRPr="007F1CD2">
        <w:rPr>
          <w:rFonts w:cs="Times New Roman"/>
          <w:szCs w:val="24"/>
        </w:rPr>
        <w:t xml:space="preserve">421-a </w:t>
      </w:r>
      <w:r w:rsidR="004F2D85" w:rsidRPr="007F1CD2">
        <w:rPr>
          <w:rFonts w:cs="Times New Roman"/>
          <w:bCs/>
          <w:szCs w:val="24"/>
        </w:rPr>
        <w:t>problem</w:t>
      </w:r>
      <w:r w:rsidRPr="007F1CD2">
        <w:rPr>
          <w:rFonts w:cs="Times New Roman"/>
          <w:szCs w:val="24"/>
        </w:rPr>
        <w:t xml:space="preserve">, whereby </w:t>
      </w:r>
      <w:r w:rsidR="00B30D86" w:rsidRPr="007F1CD2">
        <w:rPr>
          <w:rFonts w:cs="Times New Roman"/>
          <w:szCs w:val="24"/>
        </w:rPr>
        <w:t>TPCCs are available for an “[a]</w:t>
      </w:r>
      <w:proofErr w:type="spellStart"/>
      <w:r w:rsidR="00B30D86" w:rsidRPr="007F1CD2">
        <w:rPr>
          <w:rFonts w:cs="Times New Roman"/>
          <w:szCs w:val="24"/>
        </w:rPr>
        <w:t>ffordable</w:t>
      </w:r>
      <w:proofErr w:type="spellEnd"/>
      <w:r w:rsidR="00B30D86" w:rsidRPr="007F1CD2">
        <w:rPr>
          <w:rFonts w:cs="Times New Roman"/>
          <w:szCs w:val="24"/>
        </w:rPr>
        <w:t xml:space="preserve"> housing project” if an affordable housing regulatory agreement is submitted to the Department before a COC is issued, but such agreements </w:t>
      </w:r>
      <w:r w:rsidR="004A2380" w:rsidRPr="007F1CD2">
        <w:rPr>
          <w:rFonts w:cs="Times New Roman"/>
          <w:szCs w:val="24"/>
        </w:rPr>
        <w:t xml:space="preserve">are </w:t>
      </w:r>
      <w:r w:rsidR="00B30D86" w:rsidRPr="007F1CD2">
        <w:rPr>
          <w:rFonts w:cs="Times New Roman"/>
          <w:szCs w:val="24"/>
        </w:rPr>
        <w:t>not finalized until after a project is constructed.</w:t>
      </w:r>
    </w:p>
    <w:p w14:paraId="1FE7845E" w14:textId="77777777" w:rsidR="007F1CD2" w:rsidRPr="007F1CD2" w:rsidRDefault="007F1CD2" w:rsidP="00A5121D">
      <w:pPr>
        <w:pStyle w:val="ListParagraph"/>
        <w:spacing w:after="0"/>
        <w:rPr>
          <w:rFonts w:cs="Times New Roman"/>
          <w:bCs/>
          <w:szCs w:val="24"/>
        </w:rPr>
      </w:pPr>
    </w:p>
    <w:p w14:paraId="2228CA6F" w14:textId="5BC0F558" w:rsidR="004F2D85" w:rsidRPr="007F1CD2" w:rsidRDefault="00B30D86" w:rsidP="00A5121D">
      <w:pPr>
        <w:pStyle w:val="ListParagraph"/>
        <w:spacing w:after="0"/>
        <w:ind w:left="1080"/>
        <w:rPr>
          <w:rFonts w:cs="Times New Roman"/>
          <w:szCs w:val="24"/>
        </w:rPr>
      </w:pPr>
      <w:r w:rsidRPr="007F1CD2">
        <w:rPr>
          <w:rFonts w:cs="Times New Roman"/>
          <w:bCs/>
          <w:szCs w:val="24"/>
        </w:rPr>
        <w:t>The Department has</w:t>
      </w:r>
      <w:r w:rsidR="004A2380" w:rsidRPr="007F1CD2">
        <w:rPr>
          <w:rFonts w:cs="Times New Roman"/>
          <w:bCs/>
          <w:szCs w:val="24"/>
        </w:rPr>
        <w:t xml:space="preserve"> </w:t>
      </w:r>
      <w:r w:rsidR="004F2D85" w:rsidRPr="007F1CD2">
        <w:rPr>
          <w:rFonts w:cs="Times New Roman"/>
          <w:bCs/>
          <w:szCs w:val="24"/>
        </w:rPr>
        <w:t>created a “work around”</w:t>
      </w:r>
      <w:r w:rsidRPr="007F1CD2">
        <w:rPr>
          <w:rFonts w:cs="Times New Roman"/>
          <w:bCs/>
          <w:szCs w:val="24"/>
        </w:rPr>
        <w:t xml:space="preserve"> for § 421-a sites, in which the Department </w:t>
      </w:r>
      <w:r w:rsidR="004F2D85" w:rsidRPr="007F1CD2">
        <w:rPr>
          <w:rFonts w:cs="Times New Roman"/>
          <w:bCs/>
          <w:szCs w:val="24"/>
        </w:rPr>
        <w:t>will accept BCA amendment applications seeking TPC</w:t>
      </w:r>
      <w:r w:rsidRPr="007F1CD2">
        <w:rPr>
          <w:rFonts w:cs="Times New Roman"/>
          <w:bCs/>
          <w:szCs w:val="24"/>
        </w:rPr>
        <w:t>Cs</w:t>
      </w:r>
      <w:r w:rsidR="004A2380" w:rsidRPr="007F1CD2">
        <w:rPr>
          <w:rFonts w:cs="Times New Roman"/>
          <w:bCs/>
          <w:szCs w:val="24"/>
        </w:rPr>
        <w:t xml:space="preserve">, </w:t>
      </w:r>
      <w:r w:rsidR="004F2D85" w:rsidRPr="007F1CD2">
        <w:rPr>
          <w:rFonts w:cs="Times New Roman"/>
          <w:bCs/>
          <w:szCs w:val="24"/>
        </w:rPr>
        <w:t>provided the applicant submits an affidavit from an authorized representative attesting that the site is being developed and will be operated under the requirements of 421-a</w:t>
      </w:r>
      <w:r w:rsidRPr="007F1CD2">
        <w:rPr>
          <w:rFonts w:cs="Times New Roman"/>
          <w:bCs/>
          <w:szCs w:val="24"/>
        </w:rPr>
        <w:t xml:space="preserve"> and other requirements are met</w:t>
      </w:r>
      <w:r w:rsidR="004F2D85" w:rsidRPr="007F1CD2">
        <w:rPr>
          <w:rFonts w:cs="Times New Roman"/>
          <w:bCs/>
          <w:szCs w:val="24"/>
        </w:rPr>
        <w:t xml:space="preserve">. </w:t>
      </w:r>
      <w:r w:rsidRPr="007F1CD2">
        <w:rPr>
          <w:rFonts w:cs="Times New Roman"/>
          <w:bCs/>
          <w:szCs w:val="24"/>
        </w:rPr>
        <w:t xml:space="preserve"> </w:t>
      </w:r>
      <w:r w:rsidR="004F2D85" w:rsidRPr="007F1CD2">
        <w:rPr>
          <w:rFonts w:cs="Times New Roman"/>
          <w:bCs/>
          <w:szCs w:val="24"/>
        </w:rPr>
        <w:t xml:space="preserve">It is unclear </w:t>
      </w:r>
      <w:r w:rsidR="00FD559E" w:rsidRPr="007F1CD2">
        <w:rPr>
          <w:rFonts w:cs="Times New Roman"/>
          <w:bCs/>
          <w:szCs w:val="24"/>
        </w:rPr>
        <w:t>from</w:t>
      </w:r>
      <w:r w:rsidR="004F2D85" w:rsidRPr="007F1CD2">
        <w:rPr>
          <w:rFonts w:cs="Times New Roman"/>
          <w:bCs/>
          <w:szCs w:val="24"/>
        </w:rPr>
        <w:t xml:space="preserve"> the </w:t>
      </w:r>
      <w:r w:rsidR="004A2380" w:rsidRPr="007F1CD2">
        <w:rPr>
          <w:rFonts w:cs="Times New Roman"/>
          <w:bCs/>
          <w:szCs w:val="24"/>
        </w:rPr>
        <w:t xml:space="preserve">Department’s proposed § 375-3.3(f) </w:t>
      </w:r>
      <w:r w:rsidR="004F2D85" w:rsidRPr="007F1CD2">
        <w:rPr>
          <w:rFonts w:cs="Times New Roman"/>
          <w:bCs/>
          <w:szCs w:val="24"/>
        </w:rPr>
        <w:t xml:space="preserve">if this “work around” process is intended to remain in place and if so, why the regulations do not simply codify </w:t>
      </w:r>
      <w:r w:rsidRPr="007F1CD2">
        <w:rPr>
          <w:rFonts w:cs="Times New Roman"/>
          <w:bCs/>
          <w:szCs w:val="24"/>
        </w:rPr>
        <w:t>the work-</w:t>
      </w:r>
      <w:r w:rsidR="004F2D85" w:rsidRPr="007F1CD2">
        <w:rPr>
          <w:rFonts w:cs="Times New Roman"/>
          <w:bCs/>
          <w:szCs w:val="24"/>
        </w:rPr>
        <w:t>around process.</w:t>
      </w:r>
    </w:p>
    <w:p w14:paraId="10DAC1AA" w14:textId="0B4A1F15" w:rsidR="009856C7" w:rsidRDefault="009856C7" w:rsidP="00A5121D">
      <w:pPr>
        <w:spacing w:after="0"/>
        <w:rPr>
          <w:rFonts w:cs="Times New Roman"/>
          <w:szCs w:val="24"/>
        </w:rPr>
      </w:pPr>
    </w:p>
    <w:p w14:paraId="6224B84F" w14:textId="54D49B42" w:rsidR="00EE099F" w:rsidRDefault="00DA03C9" w:rsidP="00A5121D">
      <w:pPr>
        <w:pStyle w:val="ListParagraph"/>
        <w:numPr>
          <w:ilvl w:val="0"/>
          <w:numId w:val="17"/>
        </w:numPr>
        <w:spacing w:after="0"/>
        <w:rPr>
          <w:rFonts w:cs="Times New Roman"/>
          <w:szCs w:val="24"/>
        </w:rPr>
      </w:pPr>
      <w:r w:rsidRPr="00943CBE">
        <w:rPr>
          <w:rFonts w:cs="Times New Roman"/>
          <w:b/>
          <w:bCs/>
          <w:szCs w:val="24"/>
          <w:u w:val="single"/>
        </w:rPr>
        <w:t>§ 375-3.4(b)(1)</w:t>
      </w:r>
      <w:r w:rsidR="00943CBE">
        <w:rPr>
          <w:rFonts w:cs="Times New Roman"/>
          <w:b/>
          <w:bCs/>
          <w:szCs w:val="24"/>
          <w:u w:val="single"/>
        </w:rPr>
        <w:t>:</w:t>
      </w:r>
      <w:r w:rsidRPr="00943CBE">
        <w:rPr>
          <w:rFonts w:cs="Times New Roman"/>
          <w:b/>
          <w:bCs/>
          <w:szCs w:val="24"/>
          <w:u w:val="single"/>
        </w:rPr>
        <w:t xml:space="preserve"> Date of Completeness of Applications for Class 2 and </w:t>
      </w:r>
      <w:proofErr w:type="gramStart"/>
      <w:r w:rsidRPr="00943CBE">
        <w:rPr>
          <w:rFonts w:cs="Times New Roman"/>
          <w:b/>
          <w:bCs/>
          <w:szCs w:val="24"/>
          <w:u w:val="single"/>
        </w:rPr>
        <w:t xml:space="preserve">Other </w:t>
      </w:r>
      <w:r w:rsidR="00943CBE">
        <w:rPr>
          <w:rFonts w:cs="Times New Roman"/>
          <w:b/>
          <w:bCs/>
          <w:szCs w:val="24"/>
          <w:u w:val="single"/>
        </w:rPr>
        <w:t xml:space="preserve"> </w:t>
      </w:r>
      <w:r w:rsidRPr="00943CBE">
        <w:rPr>
          <w:rFonts w:cs="Times New Roman"/>
          <w:b/>
          <w:bCs/>
          <w:szCs w:val="24"/>
          <w:u w:val="single"/>
        </w:rPr>
        <w:t>Sites</w:t>
      </w:r>
      <w:proofErr w:type="gramEnd"/>
      <w:r w:rsidR="00943CBE">
        <w:rPr>
          <w:rFonts w:cs="Times New Roman"/>
          <w:szCs w:val="24"/>
          <w:u w:val="single"/>
        </w:rPr>
        <w:t xml:space="preserve"> -</w:t>
      </w:r>
      <w:r w:rsidR="00943CBE">
        <w:rPr>
          <w:rFonts w:cs="Times New Roman"/>
          <w:szCs w:val="24"/>
        </w:rPr>
        <w:t xml:space="preserve">  </w:t>
      </w:r>
      <w:r w:rsidRPr="00DA03C9">
        <w:rPr>
          <w:rFonts w:cs="Times New Roman"/>
          <w:szCs w:val="24"/>
        </w:rPr>
        <w:t xml:space="preserve">We object to the proposal that an application would not be considered “complete” until the Department completes its PRP viability determination. </w:t>
      </w:r>
      <w:r w:rsidRPr="00DA03C9">
        <w:rPr>
          <w:rFonts w:cs="Times New Roman"/>
          <w:szCs w:val="24"/>
        </w:rPr>
        <w:lastRenderedPageBreak/>
        <w:t xml:space="preserve">Brownfield projects are time-sensitive, and this proposed approach could cause undue delay, which in turn would delay the start of the public notice period. Instead, we propose that applications be deemed complete with submittal of PRP search </w:t>
      </w:r>
      <w:proofErr w:type="gramStart"/>
      <w:r w:rsidRPr="00DA03C9">
        <w:rPr>
          <w:rFonts w:cs="Times New Roman"/>
          <w:szCs w:val="24"/>
        </w:rPr>
        <w:t>results, if</w:t>
      </w:r>
      <w:proofErr w:type="gramEnd"/>
      <w:r w:rsidRPr="00DA03C9">
        <w:rPr>
          <w:rFonts w:cs="Times New Roman"/>
          <w:szCs w:val="24"/>
        </w:rPr>
        <w:t xml:space="preserve"> the Department requires applicants to conduct such searches.</w:t>
      </w:r>
    </w:p>
    <w:p w14:paraId="2DA63ECA" w14:textId="120E6D88" w:rsidR="00943CBE" w:rsidRDefault="00943CBE" w:rsidP="00A5121D">
      <w:pPr>
        <w:spacing w:after="0"/>
        <w:rPr>
          <w:rFonts w:cs="Times New Roman"/>
          <w:szCs w:val="24"/>
        </w:rPr>
      </w:pPr>
    </w:p>
    <w:p w14:paraId="0E8C4D47" w14:textId="724D5293" w:rsidR="007F1CD2" w:rsidRDefault="00FD559E" w:rsidP="00A5121D">
      <w:pPr>
        <w:pStyle w:val="ListParagraph"/>
        <w:numPr>
          <w:ilvl w:val="0"/>
          <w:numId w:val="17"/>
        </w:numPr>
        <w:spacing w:after="0"/>
        <w:rPr>
          <w:rFonts w:cs="Times New Roman"/>
          <w:szCs w:val="24"/>
        </w:rPr>
      </w:pPr>
      <w:r w:rsidRPr="007F1CD2">
        <w:rPr>
          <w:rFonts w:cs="Times New Roman"/>
          <w:b/>
          <w:szCs w:val="24"/>
          <w:u w:val="single"/>
        </w:rPr>
        <w:t>§ 375-3.4(c)(3): Notification of Eligibility for TPCCs</w:t>
      </w:r>
      <w:r w:rsidR="00C06537">
        <w:rPr>
          <w:rFonts w:cs="Times New Roman"/>
          <w:b/>
          <w:szCs w:val="24"/>
          <w:u w:val="single"/>
        </w:rPr>
        <w:t xml:space="preserve"> </w:t>
      </w:r>
      <w:proofErr w:type="gramStart"/>
      <w:r w:rsidR="00C06537">
        <w:rPr>
          <w:rFonts w:cs="Times New Roman"/>
          <w:b/>
          <w:szCs w:val="24"/>
          <w:u w:val="single"/>
        </w:rPr>
        <w:t>-</w:t>
      </w:r>
      <w:r w:rsidR="007F1CD2" w:rsidRPr="007F1CD2">
        <w:rPr>
          <w:rFonts w:cs="Times New Roman"/>
          <w:bCs/>
          <w:szCs w:val="24"/>
        </w:rPr>
        <w:t xml:space="preserve"> </w:t>
      </w:r>
      <w:r w:rsidR="00943CBE">
        <w:rPr>
          <w:rFonts w:cs="Times New Roman"/>
          <w:bCs/>
          <w:szCs w:val="24"/>
        </w:rPr>
        <w:t xml:space="preserve"> </w:t>
      </w:r>
      <w:r w:rsidRPr="007F1CD2">
        <w:rPr>
          <w:rFonts w:cs="Times New Roman"/>
          <w:szCs w:val="24"/>
        </w:rPr>
        <w:t>The</w:t>
      </w:r>
      <w:proofErr w:type="gramEnd"/>
      <w:r w:rsidRPr="007F1CD2">
        <w:rPr>
          <w:rFonts w:cs="Times New Roman"/>
          <w:szCs w:val="24"/>
        </w:rPr>
        <w:t xml:space="preserve"> Department’s proposal does not make sense as written, since an application for TPCCs may occur independently of and later than the BCP application.  We recommend that this proposal be modified so that </w:t>
      </w:r>
      <w:r w:rsidRPr="007F1CD2">
        <w:rPr>
          <w:rFonts w:cs="Times New Roman"/>
          <w:bCs/>
          <w:szCs w:val="24"/>
        </w:rPr>
        <w:t>it</w:t>
      </w:r>
      <w:r w:rsidRPr="007F1CD2">
        <w:rPr>
          <w:rFonts w:cs="Times New Roman"/>
          <w:szCs w:val="24"/>
        </w:rPr>
        <w:t xml:space="preserve"> applies “when applicable”. </w:t>
      </w:r>
    </w:p>
    <w:p w14:paraId="7DE0DD13" w14:textId="5E4222C4" w:rsidR="00943CBE" w:rsidRPr="00A5121D" w:rsidRDefault="00943CBE" w:rsidP="00A5121D">
      <w:pPr>
        <w:spacing w:after="0"/>
        <w:rPr>
          <w:rFonts w:cs="Times New Roman"/>
          <w:szCs w:val="24"/>
        </w:rPr>
      </w:pPr>
    </w:p>
    <w:p w14:paraId="6E8D2579" w14:textId="7A3BBDD9" w:rsidR="007F1CD2" w:rsidRPr="007F1CD2" w:rsidRDefault="00B30D86" w:rsidP="00A5121D">
      <w:pPr>
        <w:pStyle w:val="ListParagraph"/>
        <w:numPr>
          <w:ilvl w:val="0"/>
          <w:numId w:val="17"/>
        </w:numPr>
        <w:spacing w:after="0"/>
        <w:rPr>
          <w:rFonts w:cs="Times New Roman"/>
          <w:b/>
          <w:bCs/>
          <w:szCs w:val="24"/>
        </w:rPr>
      </w:pPr>
      <w:r w:rsidRPr="007F1CD2">
        <w:rPr>
          <w:rFonts w:cs="Times New Roman"/>
          <w:b/>
          <w:szCs w:val="24"/>
          <w:u w:val="single"/>
        </w:rPr>
        <w:t xml:space="preserve">§ </w:t>
      </w:r>
      <w:r w:rsidR="004F2D85" w:rsidRPr="007F1CD2">
        <w:rPr>
          <w:rFonts w:cs="Times New Roman"/>
          <w:b/>
          <w:szCs w:val="24"/>
          <w:u w:val="single"/>
        </w:rPr>
        <w:t>375-3.5(c)(4)</w:t>
      </w:r>
      <w:r w:rsidR="00FD559E" w:rsidRPr="007F1CD2">
        <w:rPr>
          <w:rFonts w:cs="Times New Roman"/>
          <w:b/>
          <w:szCs w:val="24"/>
          <w:u w:val="single"/>
        </w:rPr>
        <w:t>:</w:t>
      </w:r>
      <w:r w:rsidR="004F2D85" w:rsidRPr="007F1CD2">
        <w:rPr>
          <w:rFonts w:cs="Times New Roman"/>
          <w:b/>
          <w:szCs w:val="24"/>
          <w:u w:val="single"/>
        </w:rPr>
        <w:t xml:space="preserve"> </w:t>
      </w:r>
      <w:r w:rsidR="00F071F1" w:rsidRPr="007F1CD2">
        <w:rPr>
          <w:rFonts w:cs="Times New Roman"/>
          <w:b/>
          <w:szCs w:val="24"/>
          <w:u w:val="single"/>
        </w:rPr>
        <w:t>Termination of Brownfield Cleanup Agreements</w:t>
      </w:r>
      <w:r w:rsidR="00C06537">
        <w:rPr>
          <w:rFonts w:cs="Times New Roman"/>
          <w:b/>
          <w:szCs w:val="24"/>
          <w:u w:val="single"/>
        </w:rPr>
        <w:t xml:space="preserve"> </w:t>
      </w:r>
      <w:proofErr w:type="gramStart"/>
      <w:r w:rsidR="00C06537">
        <w:rPr>
          <w:rFonts w:cs="Times New Roman"/>
          <w:b/>
          <w:szCs w:val="24"/>
          <w:u w:val="single"/>
        </w:rPr>
        <w:t>-</w:t>
      </w:r>
      <w:r w:rsidR="007F1CD2" w:rsidRPr="007F1CD2">
        <w:rPr>
          <w:rFonts w:cs="Times New Roman"/>
          <w:bCs/>
          <w:szCs w:val="24"/>
        </w:rPr>
        <w:t xml:space="preserve"> </w:t>
      </w:r>
      <w:r w:rsidR="00943CBE">
        <w:rPr>
          <w:rFonts w:cs="Times New Roman"/>
          <w:bCs/>
          <w:szCs w:val="24"/>
        </w:rPr>
        <w:t xml:space="preserve"> </w:t>
      </w:r>
      <w:r w:rsidRPr="007F1CD2">
        <w:rPr>
          <w:rFonts w:cs="Times New Roman"/>
          <w:szCs w:val="24"/>
        </w:rPr>
        <w:t>As</w:t>
      </w:r>
      <w:proofErr w:type="gramEnd"/>
      <w:r w:rsidRPr="007F1CD2">
        <w:rPr>
          <w:rFonts w:cs="Times New Roman"/>
          <w:szCs w:val="24"/>
        </w:rPr>
        <w:t xml:space="preserve"> discussed above regarding proposed § 375-1.5(b)(6), </w:t>
      </w:r>
      <w:r w:rsidR="001E6B64" w:rsidRPr="007F1CD2">
        <w:rPr>
          <w:rFonts w:cs="Times New Roman"/>
          <w:szCs w:val="24"/>
        </w:rPr>
        <w:t xml:space="preserve">this proposed regulation is </w:t>
      </w:r>
      <w:r w:rsidR="001E6B64" w:rsidRPr="006869E0">
        <w:rPr>
          <w:rFonts w:cs="Times New Roman"/>
          <w:i/>
          <w:szCs w:val="24"/>
        </w:rPr>
        <w:t>ultra vires</w:t>
      </w:r>
      <w:r w:rsidR="001E6B64" w:rsidRPr="007F1CD2">
        <w:rPr>
          <w:rFonts w:cs="Times New Roman"/>
          <w:szCs w:val="24"/>
        </w:rPr>
        <w:t xml:space="preserve"> because ECL § 27-1409(5) only provides the Department with authority to terminate a brownfield cleanup agreement at any time during the implementation of such agreement if the applicant fails to </w:t>
      </w:r>
      <w:r w:rsidR="001E6B64" w:rsidRPr="007F1CD2">
        <w:rPr>
          <w:rFonts w:cs="Times New Roman"/>
          <w:i/>
          <w:szCs w:val="24"/>
        </w:rPr>
        <w:t xml:space="preserve">substantially comply </w:t>
      </w:r>
      <w:r w:rsidR="001E6B64" w:rsidRPr="007F1CD2">
        <w:rPr>
          <w:rFonts w:cs="Times New Roman"/>
          <w:szCs w:val="24"/>
        </w:rPr>
        <w:t xml:space="preserve">with such agreement’s terms and conditions.  As drafted, this provision would allow the Department to terminate a BCA for minor deviations from Department-approved work plans or for conducting other work that may have been conducted in accordance with the remedial program requirements, but, due to exigent or unknown conditions, could not feasibly have been added into an approved work plan.  ECL § 27-1409(3) entitles applicants to a process for resolving disputes arising from the evaluation, analysis, and oversight of the implementation of a work plan.  By eliminating the ability to participate in a dispute resolution process for minor work plan issues, the Department would deprive applicants of due process without an opportunity to cure.  Therefore, this provision is a breach of the applicants’ rights under the prescribed terms required in a BCA pursuant to ECL §§ 27-1409(3) and (5).  Finally, this provision is vague and would provide the Department with so much unfettered discretion if it were to be adopted that it alone could discourage lenders from providing financing for brownfield transactions since the Department could eliminate the contractual agreement with the applicant based on acts of third parties such as their consultants or contractors.  Minor deviations in the field occur every day during active remediation, which is the purpose of the existing required communication provisions, including </w:t>
      </w:r>
      <w:r w:rsidR="004F2D85" w:rsidRPr="007F1CD2">
        <w:rPr>
          <w:rFonts w:cs="Times New Roman"/>
          <w:bCs/>
          <w:szCs w:val="24"/>
        </w:rPr>
        <w:t>daily reports of in-field activities</w:t>
      </w:r>
      <w:r w:rsidR="001E6B64" w:rsidRPr="007F1CD2">
        <w:rPr>
          <w:rFonts w:cs="Times New Roman"/>
          <w:bCs/>
          <w:szCs w:val="24"/>
        </w:rPr>
        <w:t>.  T</w:t>
      </w:r>
      <w:r w:rsidR="004F2D85" w:rsidRPr="007F1CD2">
        <w:rPr>
          <w:rFonts w:cs="Times New Roman"/>
          <w:bCs/>
          <w:szCs w:val="24"/>
        </w:rPr>
        <w:t>herefore, there should be no legitimate reason to terminate a BC</w:t>
      </w:r>
      <w:r w:rsidR="00394CDC" w:rsidRPr="007F1CD2">
        <w:rPr>
          <w:rFonts w:cs="Times New Roman"/>
          <w:bCs/>
          <w:szCs w:val="24"/>
        </w:rPr>
        <w:t>A</w:t>
      </w:r>
      <w:r w:rsidR="004F2D85" w:rsidRPr="007F1CD2">
        <w:rPr>
          <w:rFonts w:cs="Times New Roman"/>
          <w:bCs/>
          <w:szCs w:val="24"/>
        </w:rPr>
        <w:t xml:space="preserve"> if something unusual occur</w:t>
      </w:r>
      <w:r w:rsidR="00394CDC" w:rsidRPr="007F1CD2">
        <w:rPr>
          <w:rFonts w:cs="Times New Roman"/>
          <w:bCs/>
          <w:szCs w:val="24"/>
        </w:rPr>
        <w:t>s</w:t>
      </w:r>
      <w:r w:rsidR="004F2D85" w:rsidRPr="007F1CD2">
        <w:rPr>
          <w:rFonts w:cs="Times New Roman"/>
          <w:bCs/>
          <w:szCs w:val="24"/>
        </w:rPr>
        <w:t xml:space="preserve"> or </w:t>
      </w:r>
      <w:proofErr w:type="gramStart"/>
      <w:r w:rsidR="004F2D85" w:rsidRPr="007F1CD2">
        <w:rPr>
          <w:rFonts w:cs="Times New Roman"/>
          <w:bCs/>
          <w:szCs w:val="24"/>
        </w:rPr>
        <w:t>ha</w:t>
      </w:r>
      <w:r w:rsidR="00394CDC" w:rsidRPr="007F1CD2">
        <w:rPr>
          <w:rFonts w:cs="Times New Roman"/>
          <w:bCs/>
          <w:szCs w:val="24"/>
        </w:rPr>
        <w:t>s</w:t>
      </w:r>
      <w:r w:rsidR="004F2D85" w:rsidRPr="007F1CD2">
        <w:rPr>
          <w:rFonts w:cs="Times New Roman"/>
          <w:bCs/>
          <w:szCs w:val="24"/>
        </w:rPr>
        <w:t xml:space="preserve"> to</w:t>
      </w:r>
      <w:proofErr w:type="gramEnd"/>
      <w:r w:rsidR="004F2D85" w:rsidRPr="007F1CD2">
        <w:rPr>
          <w:rFonts w:cs="Times New Roman"/>
          <w:bCs/>
          <w:szCs w:val="24"/>
        </w:rPr>
        <w:t xml:space="preserve"> be implemented in the field</w:t>
      </w:r>
      <w:r w:rsidR="00394CDC" w:rsidRPr="007F1CD2">
        <w:rPr>
          <w:rFonts w:cs="Times New Roman"/>
          <w:bCs/>
          <w:szCs w:val="24"/>
        </w:rPr>
        <w:t>, for instance</w:t>
      </w:r>
      <w:r w:rsidR="004F2D85" w:rsidRPr="007F1CD2">
        <w:rPr>
          <w:rFonts w:cs="Times New Roman"/>
          <w:bCs/>
          <w:szCs w:val="24"/>
        </w:rPr>
        <w:t xml:space="preserve"> as </w:t>
      </w:r>
      <w:r w:rsidR="00394CDC" w:rsidRPr="007F1CD2">
        <w:rPr>
          <w:rFonts w:cs="Times New Roman"/>
          <w:bCs/>
          <w:szCs w:val="24"/>
        </w:rPr>
        <w:t>the</w:t>
      </w:r>
      <w:r w:rsidR="004F2D85" w:rsidRPr="007F1CD2">
        <w:rPr>
          <w:rFonts w:cs="Times New Roman"/>
          <w:bCs/>
          <w:szCs w:val="24"/>
        </w:rPr>
        <w:t xml:space="preserve"> result of an emergency.</w:t>
      </w:r>
    </w:p>
    <w:p w14:paraId="2D1EE545" w14:textId="6BFFAE25" w:rsidR="007F1CD2" w:rsidRDefault="007F1CD2" w:rsidP="00A5121D">
      <w:pPr>
        <w:pStyle w:val="ListParagraph"/>
        <w:spacing w:after="0"/>
        <w:ind w:left="1080"/>
        <w:rPr>
          <w:rFonts w:cs="Times New Roman"/>
          <w:b/>
          <w:bCs/>
          <w:szCs w:val="24"/>
        </w:rPr>
      </w:pPr>
    </w:p>
    <w:p w14:paraId="4AC8B129" w14:textId="77777777" w:rsidR="00943CBE" w:rsidRDefault="00943CBE" w:rsidP="00A5121D">
      <w:pPr>
        <w:pStyle w:val="ListParagraph"/>
        <w:spacing w:after="0"/>
        <w:ind w:left="1080"/>
        <w:rPr>
          <w:rFonts w:cs="Times New Roman"/>
          <w:b/>
          <w:bCs/>
          <w:szCs w:val="24"/>
        </w:rPr>
      </w:pPr>
    </w:p>
    <w:p w14:paraId="7558E464" w14:textId="4B0E9457" w:rsidR="007F1CD2" w:rsidRPr="00A5121D" w:rsidRDefault="00B7583B" w:rsidP="00A5121D">
      <w:pPr>
        <w:pStyle w:val="ListParagraph"/>
        <w:numPr>
          <w:ilvl w:val="0"/>
          <w:numId w:val="17"/>
        </w:numPr>
        <w:spacing w:after="0"/>
        <w:rPr>
          <w:rFonts w:cs="Times New Roman"/>
          <w:bCs/>
          <w:szCs w:val="24"/>
        </w:rPr>
      </w:pPr>
      <w:r w:rsidRPr="007F1CD2">
        <w:rPr>
          <w:rFonts w:cs="Times New Roman"/>
          <w:b/>
          <w:szCs w:val="24"/>
          <w:u w:val="single"/>
        </w:rPr>
        <w:t>§ 3</w:t>
      </w:r>
      <w:r w:rsidR="006B7DB4" w:rsidRPr="007F1CD2">
        <w:rPr>
          <w:rFonts w:cs="Times New Roman"/>
          <w:b/>
          <w:szCs w:val="24"/>
          <w:u w:val="single"/>
        </w:rPr>
        <w:t xml:space="preserve">75-3.5(g): </w:t>
      </w:r>
      <w:r w:rsidR="00F071F1" w:rsidRPr="007F1CD2">
        <w:rPr>
          <w:rFonts w:cs="Times New Roman"/>
          <w:b/>
          <w:szCs w:val="24"/>
          <w:u w:val="single"/>
        </w:rPr>
        <w:t xml:space="preserve">Brownfield Cleanup Agreements </w:t>
      </w:r>
      <w:r w:rsidR="006B7DB4" w:rsidRPr="007F1CD2">
        <w:rPr>
          <w:rFonts w:cs="Times New Roman"/>
          <w:b/>
          <w:szCs w:val="24"/>
          <w:u w:val="single"/>
        </w:rPr>
        <w:t>Fee</w:t>
      </w:r>
      <w:r w:rsidR="00F071F1" w:rsidRPr="007F1CD2">
        <w:rPr>
          <w:rFonts w:cs="Times New Roman"/>
          <w:b/>
          <w:szCs w:val="24"/>
          <w:u w:val="single"/>
        </w:rPr>
        <w:t>s</w:t>
      </w:r>
      <w:r w:rsidR="006B7DB4" w:rsidRPr="007F1CD2">
        <w:rPr>
          <w:rFonts w:cs="Times New Roman"/>
          <w:b/>
          <w:szCs w:val="24"/>
          <w:u w:val="single"/>
        </w:rPr>
        <w:t>/Waivers</w:t>
      </w:r>
      <w:r w:rsidR="00C06537">
        <w:rPr>
          <w:rFonts w:cs="Times New Roman"/>
          <w:b/>
          <w:szCs w:val="24"/>
          <w:u w:val="single"/>
        </w:rPr>
        <w:t xml:space="preserve"> </w:t>
      </w:r>
      <w:proofErr w:type="gramStart"/>
      <w:r w:rsidR="00C06537">
        <w:rPr>
          <w:rFonts w:cs="Times New Roman"/>
          <w:b/>
          <w:szCs w:val="24"/>
          <w:u w:val="single"/>
        </w:rPr>
        <w:t>-</w:t>
      </w:r>
      <w:r w:rsidR="006B7DB4" w:rsidRPr="007F1CD2">
        <w:rPr>
          <w:rFonts w:cs="Times New Roman"/>
          <w:szCs w:val="24"/>
        </w:rPr>
        <w:t xml:space="preserve"> </w:t>
      </w:r>
      <w:r w:rsidR="00943CBE">
        <w:rPr>
          <w:rFonts w:cs="Times New Roman"/>
          <w:szCs w:val="24"/>
        </w:rPr>
        <w:t xml:space="preserve"> </w:t>
      </w:r>
      <w:r w:rsidRPr="007F1CD2">
        <w:rPr>
          <w:rFonts w:cs="Times New Roman"/>
          <w:szCs w:val="24"/>
        </w:rPr>
        <w:t>We</w:t>
      </w:r>
      <w:proofErr w:type="gramEnd"/>
      <w:r w:rsidRPr="007F1CD2">
        <w:rPr>
          <w:rFonts w:cs="Times New Roman"/>
          <w:szCs w:val="24"/>
        </w:rPr>
        <w:t xml:space="preserve"> support this </w:t>
      </w:r>
      <w:r w:rsidRPr="007F1CD2">
        <w:rPr>
          <w:rFonts w:cs="Times New Roman"/>
          <w:bCs/>
          <w:szCs w:val="24"/>
        </w:rPr>
        <w:t>proposal</w:t>
      </w:r>
      <w:r w:rsidRPr="007F1CD2">
        <w:rPr>
          <w:rFonts w:cs="Times New Roman"/>
          <w:szCs w:val="24"/>
        </w:rPr>
        <w:t xml:space="preserve">. </w:t>
      </w:r>
    </w:p>
    <w:p w14:paraId="6D865BA2" w14:textId="77777777" w:rsidR="00943CBE" w:rsidRDefault="00943CBE" w:rsidP="00A5121D">
      <w:pPr>
        <w:pStyle w:val="ListParagraph"/>
        <w:spacing w:after="0"/>
        <w:rPr>
          <w:rFonts w:cs="Times New Roman"/>
          <w:b/>
          <w:bCs/>
          <w:szCs w:val="24"/>
          <w:u w:val="single"/>
        </w:rPr>
      </w:pPr>
    </w:p>
    <w:p w14:paraId="0C506CE0" w14:textId="072F9597" w:rsidR="007F1CD2" w:rsidRPr="007F1CD2" w:rsidRDefault="00B7583B" w:rsidP="00A5121D">
      <w:pPr>
        <w:pStyle w:val="ListParagraph"/>
        <w:numPr>
          <w:ilvl w:val="0"/>
          <w:numId w:val="17"/>
        </w:numPr>
        <w:spacing w:after="0"/>
        <w:rPr>
          <w:rFonts w:cs="Times New Roman"/>
          <w:bCs/>
          <w:szCs w:val="24"/>
        </w:rPr>
      </w:pPr>
      <w:r w:rsidRPr="007F1CD2">
        <w:rPr>
          <w:rFonts w:cs="Times New Roman"/>
          <w:b/>
          <w:bCs/>
          <w:szCs w:val="24"/>
          <w:u w:val="single"/>
        </w:rPr>
        <w:t xml:space="preserve">§ </w:t>
      </w:r>
      <w:r w:rsidR="00E02184" w:rsidRPr="007F1CD2">
        <w:rPr>
          <w:rFonts w:cs="Times New Roman"/>
          <w:b/>
          <w:bCs/>
          <w:szCs w:val="24"/>
          <w:u w:val="single"/>
        </w:rPr>
        <w:t>375-3.8(b)(2)(</w:t>
      </w:r>
      <w:proofErr w:type="spellStart"/>
      <w:r w:rsidR="00E02184" w:rsidRPr="007F1CD2">
        <w:rPr>
          <w:rFonts w:cs="Times New Roman"/>
          <w:b/>
          <w:bCs/>
          <w:szCs w:val="24"/>
          <w:u w:val="single"/>
        </w:rPr>
        <w:t>i</w:t>
      </w:r>
      <w:proofErr w:type="spellEnd"/>
      <w:r w:rsidR="00E02184" w:rsidRPr="007F1CD2">
        <w:rPr>
          <w:rFonts w:cs="Times New Roman"/>
          <w:b/>
          <w:bCs/>
          <w:szCs w:val="24"/>
          <w:u w:val="single"/>
        </w:rPr>
        <w:t>)</w:t>
      </w:r>
      <w:r w:rsidR="00E02184" w:rsidRPr="007F1CD2">
        <w:rPr>
          <w:rFonts w:cs="Times New Roman"/>
          <w:szCs w:val="24"/>
          <w:u w:val="single"/>
        </w:rPr>
        <w:t xml:space="preserve">: </w:t>
      </w:r>
      <w:r w:rsidR="00E02184" w:rsidRPr="007F1CD2">
        <w:rPr>
          <w:rFonts w:cs="Times New Roman"/>
          <w:b/>
          <w:szCs w:val="24"/>
          <w:u w:val="single"/>
        </w:rPr>
        <w:t>Requirement for Volunteers to Perform Off-Site Quantitative Assessments</w:t>
      </w:r>
      <w:r w:rsidR="00C06537">
        <w:rPr>
          <w:rFonts w:cs="Times New Roman"/>
          <w:b/>
          <w:szCs w:val="24"/>
          <w:u w:val="single"/>
        </w:rPr>
        <w:t xml:space="preserve"> </w:t>
      </w:r>
      <w:proofErr w:type="gramStart"/>
      <w:r w:rsidR="00C06537">
        <w:rPr>
          <w:rFonts w:cs="Times New Roman"/>
          <w:b/>
          <w:szCs w:val="24"/>
          <w:u w:val="single"/>
        </w:rPr>
        <w:t>-</w:t>
      </w:r>
      <w:r w:rsidR="00E02184" w:rsidRPr="007F1CD2">
        <w:rPr>
          <w:rFonts w:cs="Times New Roman"/>
          <w:szCs w:val="24"/>
        </w:rPr>
        <w:t xml:space="preserve"> </w:t>
      </w:r>
      <w:r w:rsidR="00943CBE">
        <w:rPr>
          <w:rFonts w:cs="Times New Roman"/>
          <w:szCs w:val="24"/>
        </w:rPr>
        <w:t xml:space="preserve"> </w:t>
      </w:r>
      <w:r w:rsidR="00E02184" w:rsidRPr="007F1CD2">
        <w:rPr>
          <w:rFonts w:cs="Times New Roman"/>
          <w:szCs w:val="24"/>
        </w:rPr>
        <w:t>This</w:t>
      </w:r>
      <w:proofErr w:type="gramEnd"/>
      <w:r w:rsidR="00E02184" w:rsidRPr="007F1CD2">
        <w:rPr>
          <w:rFonts w:cs="Times New Roman"/>
          <w:szCs w:val="24"/>
        </w:rPr>
        <w:t xml:space="preserve"> proposal </w:t>
      </w:r>
      <w:r w:rsidR="00170651" w:rsidRPr="007F1CD2">
        <w:rPr>
          <w:rFonts w:cs="Times New Roman"/>
          <w:szCs w:val="24"/>
        </w:rPr>
        <w:t xml:space="preserve">would require Volunteers in some instances to conduct </w:t>
      </w:r>
      <w:r w:rsidR="00A6698F" w:rsidRPr="007F1CD2">
        <w:rPr>
          <w:rFonts w:cs="Times New Roman"/>
          <w:szCs w:val="24"/>
        </w:rPr>
        <w:t xml:space="preserve">potentially </w:t>
      </w:r>
      <w:r w:rsidR="00170651" w:rsidRPr="007F1CD2">
        <w:rPr>
          <w:rFonts w:cs="Times New Roman"/>
          <w:szCs w:val="24"/>
        </w:rPr>
        <w:t xml:space="preserve">significant off-site investigation and sampling activities.  The proposal </w:t>
      </w:r>
      <w:r w:rsidR="00E02184" w:rsidRPr="007F1CD2">
        <w:rPr>
          <w:rFonts w:cs="Times New Roman"/>
          <w:szCs w:val="24"/>
        </w:rPr>
        <w:t xml:space="preserve">is inconsistent </w:t>
      </w:r>
      <w:r w:rsidR="00C72C0D" w:rsidRPr="007F1CD2">
        <w:rPr>
          <w:rFonts w:cs="Times New Roman"/>
          <w:szCs w:val="24"/>
        </w:rPr>
        <w:t xml:space="preserve">and therefore </w:t>
      </w:r>
      <w:r w:rsidR="00C72C0D" w:rsidRPr="006869E0">
        <w:rPr>
          <w:rFonts w:cs="Times New Roman"/>
          <w:i/>
          <w:szCs w:val="24"/>
        </w:rPr>
        <w:t>ultra vires</w:t>
      </w:r>
      <w:r w:rsidR="00C72C0D" w:rsidRPr="007F1CD2">
        <w:rPr>
          <w:rFonts w:cs="Times New Roman"/>
          <w:szCs w:val="24"/>
        </w:rPr>
        <w:t xml:space="preserve"> </w:t>
      </w:r>
      <w:r w:rsidR="00E02184" w:rsidRPr="007F1CD2">
        <w:rPr>
          <w:rFonts w:cs="Times New Roman"/>
          <w:szCs w:val="24"/>
        </w:rPr>
        <w:t>with ECL § 2</w:t>
      </w:r>
      <w:r w:rsidR="00EB19DC" w:rsidRPr="007F1CD2">
        <w:rPr>
          <w:rFonts w:cs="Times New Roman"/>
          <w:szCs w:val="24"/>
        </w:rPr>
        <w:t>7-1411(1)</w:t>
      </w:r>
      <w:r w:rsidR="0022607B" w:rsidRPr="007F1CD2">
        <w:rPr>
          <w:rFonts w:cs="Times New Roman"/>
          <w:szCs w:val="24"/>
        </w:rPr>
        <w:t xml:space="preserve">, which </w:t>
      </w:r>
      <w:r w:rsidR="00EB19DC" w:rsidRPr="007F1CD2">
        <w:rPr>
          <w:rFonts w:cs="Times New Roman"/>
          <w:szCs w:val="24"/>
        </w:rPr>
        <w:t>provid</w:t>
      </w:r>
      <w:r w:rsidR="0022607B" w:rsidRPr="007F1CD2">
        <w:rPr>
          <w:rFonts w:cs="Times New Roman"/>
          <w:szCs w:val="24"/>
        </w:rPr>
        <w:t>es</w:t>
      </w:r>
      <w:r w:rsidR="00EB19DC" w:rsidRPr="007F1CD2">
        <w:rPr>
          <w:rFonts w:cs="Times New Roman"/>
          <w:szCs w:val="24"/>
        </w:rPr>
        <w:t xml:space="preserve"> that </w:t>
      </w:r>
      <w:r w:rsidR="00EB19DC" w:rsidRPr="007F1CD2">
        <w:rPr>
          <w:rFonts w:cs="Times New Roman"/>
          <w:bCs/>
          <w:szCs w:val="24"/>
        </w:rPr>
        <w:lastRenderedPageBreak/>
        <w:t>V</w:t>
      </w:r>
      <w:r w:rsidR="00E02184" w:rsidRPr="007F1CD2">
        <w:rPr>
          <w:rFonts w:cs="Times New Roman"/>
          <w:bCs/>
          <w:szCs w:val="24"/>
        </w:rPr>
        <w:t>olunteers</w:t>
      </w:r>
      <w:r w:rsidR="00E02184" w:rsidRPr="007F1CD2">
        <w:rPr>
          <w:rFonts w:cs="Times New Roman"/>
          <w:szCs w:val="24"/>
        </w:rPr>
        <w:t xml:space="preserve"> are required to perform </w:t>
      </w:r>
      <w:r w:rsidR="0043575E" w:rsidRPr="007F1CD2">
        <w:rPr>
          <w:rFonts w:cs="Times New Roman"/>
          <w:szCs w:val="24"/>
        </w:rPr>
        <w:t xml:space="preserve">only </w:t>
      </w:r>
      <w:r w:rsidR="00E02184" w:rsidRPr="007F1CD2">
        <w:rPr>
          <w:rFonts w:cs="Times New Roman"/>
          <w:szCs w:val="24"/>
        </w:rPr>
        <w:t xml:space="preserve">qualitative assessments off-site. </w:t>
      </w:r>
      <w:r w:rsidRPr="007F1CD2">
        <w:rPr>
          <w:rFonts w:cs="Times New Roman"/>
          <w:szCs w:val="24"/>
        </w:rPr>
        <w:t xml:space="preserve"> </w:t>
      </w:r>
      <w:r w:rsidR="005077E1" w:rsidRPr="007F1CD2">
        <w:rPr>
          <w:rFonts w:cs="Times New Roman"/>
          <w:i/>
          <w:szCs w:val="24"/>
        </w:rPr>
        <w:t xml:space="preserve">See also </w:t>
      </w:r>
      <w:r w:rsidR="005077E1" w:rsidRPr="007F1CD2">
        <w:rPr>
          <w:rFonts w:cs="Times New Roman"/>
          <w:szCs w:val="24"/>
        </w:rPr>
        <w:t xml:space="preserve">ECL 27-1415(2)(b) </w:t>
      </w:r>
      <w:r w:rsidR="00170651" w:rsidRPr="007F1CD2">
        <w:rPr>
          <w:rFonts w:cs="Times New Roman"/>
          <w:szCs w:val="24"/>
        </w:rPr>
        <w:t>(a qualitative exposure assessment may require only “[s]</w:t>
      </w:r>
      <w:proofErr w:type="spellStart"/>
      <w:r w:rsidR="00170651" w:rsidRPr="007F1CD2">
        <w:rPr>
          <w:rFonts w:cs="Times New Roman"/>
          <w:szCs w:val="24"/>
        </w:rPr>
        <w:t>ome</w:t>
      </w:r>
      <w:proofErr w:type="spellEnd"/>
      <w:r w:rsidR="00170651" w:rsidRPr="007F1CD2">
        <w:rPr>
          <w:rFonts w:cs="Times New Roman"/>
          <w:szCs w:val="24"/>
        </w:rPr>
        <w:t xml:space="preserve">” off-site activities “to support the exposure assessment”).  </w:t>
      </w:r>
      <w:r w:rsidRPr="007F1CD2">
        <w:rPr>
          <w:rFonts w:cs="Times New Roman"/>
          <w:szCs w:val="24"/>
        </w:rPr>
        <w:t xml:space="preserve">The proposal would undermine </w:t>
      </w:r>
      <w:r w:rsidR="00B103C2" w:rsidRPr="007F1CD2">
        <w:rPr>
          <w:rFonts w:cs="Times New Roman"/>
          <w:szCs w:val="24"/>
        </w:rPr>
        <w:t xml:space="preserve">one of the </w:t>
      </w:r>
      <w:r w:rsidR="005D4913" w:rsidRPr="007F1CD2">
        <w:rPr>
          <w:rFonts w:cs="Times New Roman"/>
          <w:szCs w:val="24"/>
        </w:rPr>
        <w:t xml:space="preserve">fundamental protections afforded </w:t>
      </w:r>
      <w:r w:rsidR="0022607B" w:rsidRPr="007F1CD2">
        <w:rPr>
          <w:rFonts w:cs="Times New Roman"/>
          <w:szCs w:val="24"/>
        </w:rPr>
        <w:t xml:space="preserve">to Volunteers </w:t>
      </w:r>
      <w:r w:rsidR="005D4913" w:rsidRPr="007F1CD2">
        <w:rPr>
          <w:rFonts w:cs="Times New Roman"/>
          <w:szCs w:val="24"/>
        </w:rPr>
        <w:t>by the statute</w:t>
      </w:r>
      <w:r w:rsidR="0022607B" w:rsidRPr="007F1CD2">
        <w:rPr>
          <w:rFonts w:cs="Times New Roman"/>
          <w:szCs w:val="24"/>
        </w:rPr>
        <w:t xml:space="preserve">, </w:t>
      </w:r>
      <w:r w:rsidRPr="007F1CD2">
        <w:rPr>
          <w:rFonts w:cs="Times New Roman"/>
          <w:bCs/>
          <w:szCs w:val="24"/>
        </w:rPr>
        <w:t>namely minimal off-site obligations</w:t>
      </w:r>
      <w:r w:rsidR="005077E1" w:rsidRPr="007F1CD2">
        <w:rPr>
          <w:rFonts w:cs="Times New Roman"/>
          <w:bCs/>
          <w:szCs w:val="24"/>
        </w:rPr>
        <w:t xml:space="preserve">.  </w:t>
      </w:r>
      <w:r w:rsidR="005077E1" w:rsidRPr="007F1CD2">
        <w:rPr>
          <w:rFonts w:cs="Times New Roman"/>
          <w:bCs/>
          <w:i/>
          <w:szCs w:val="24"/>
        </w:rPr>
        <w:t xml:space="preserve">See </w:t>
      </w:r>
      <w:r w:rsidRPr="007F1CD2">
        <w:rPr>
          <w:rFonts w:cs="Times New Roman"/>
          <w:bCs/>
          <w:szCs w:val="24"/>
        </w:rPr>
        <w:t>§§ 375-1.8(d)(1)(iii), 375-3.8(b)(2)(</w:t>
      </w:r>
      <w:proofErr w:type="spellStart"/>
      <w:r w:rsidRPr="007F1CD2">
        <w:rPr>
          <w:rFonts w:cs="Times New Roman"/>
          <w:bCs/>
          <w:szCs w:val="24"/>
        </w:rPr>
        <w:t>i</w:t>
      </w:r>
      <w:proofErr w:type="spellEnd"/>
      <w:r w:rsidRPr="007F1CD2">
        <w:rPr>
          <w:rFonts w:cs="Times New Roman"/>
          <w:bCs/>
          <w:szCs w:val="24"/>
        </w:rPr>
        <w:t xml:space="preserve">), and 375-3.8(f)(4)(ii).  </w:t>
      </w:r>
      <w:r w:rsidR="00E02184" w:rsidRPr="007F1CD2">
        <w:rPr>
          <w:rFonts w:cs="Times New Roman"/>
          <w:szCs w:val="24"/>
        </w:rPr>
        <w:t>In addition, since this work is being requested to be performed outside of the BCP site, it is unclear if the costs incurred would be eligible for tax credits</w:t>
      </w:r>
      <w:r w:rsidR="006869E0">
        <w:rPr>
          <w:rFonts w:cs="Times New Roman"/>
          <w:szCs w:val="24"/>
        </w:rPr>
        <w:t xml:space="preserve"> unless this is made clear in the regulatory language</w:t>
      </w:r>
      <w:r w:rsidR="00E02184" w:rsidRPr="007F1CD2">
        <w:rPr>
          <w:rFonts w:cs="Times New Roman"/>
          <w:szCs w:val="24"/>
        </w:rPr>
        <w:t>.</w:t>
      </w:r>
    </w:p>
    <w:p w14:paraId="046D7970" w14:textId="77777777" w:rsidR="007F1CD2" w:rsidRPr="007F1CD2" w:rsidRDefault="007F1CD2" w:rsidP="00A5121D">
      <w:pPr>
        <w:pStyle w:val="ListParagraph"/>
        <w:spacing w:after="0"/>
        <w:rPr>
          <w:rFonts w:cs="Times New Roman"/>
          <w:bCs/>
          <w:szCs w:val="24"/>
        </w:rPr>
      </w:pPr>
    </w:p>
    <w:p w14:paraId="3EB9CD91" w14:textId="41F91967" w:rsidR="006B7DB4" w:rsidRPr="007F1CD2" w:rsidRDefault="006B7DB4" w:rsidP="00A5121D">
      <w:pPr>
        <w:pStyle w:val="ListParagraph"/>
        <w:spacing w:after="0"/>
        <w:ind w:left="1080"/>
        <w:rPr>
          <w:rFonts w:cs="Times New Roman"/>
          <w:bCs/>
          <w:szCs w:val="24"/>
        </w:rPr>
      </w:pPr>
      <w:r w:rsidRPr="007F1CD2">
        <w:rPr>
          <w:rFonts w:cs="Times New Roman"/>
          <w:bCs/>
          <w:szCs w:val="24"/>
        </w:rPr>
        <w:t>Moreover, for significant threat sites,</w:t>
      </w:r>
      <w:r w:rsidR="005077E1" w:rsidRPr="007F1CD2">
        <w:rPr>
          <w:rFonts w:cs="Times New Roman"/>
          <w:bCs/>
          <w:szCs w:val="24"/>
        </w:rPr>
        <w:t xml:space="preserve"> ECL § 27-1411(5) clearly obligates the Department to </w:t>
      </w:r>
      <w:r w:rsidR="00170651" w:rsidRPr="007F1CD2">
        <w:rPr>
          <w:rFonts w:cs="Times New Roman"/>
          <w:bCs/>
          <w:szCs w:val="24"/>
        </w:rPr>
        <w:t xml:space="preserve">investigate and </w:t>
      </w:r>
      <w:r w:rsidR="005077E1" w:rsidRPr="007F1CD2">
        <w:rPr>
          <w:rFonts w:cs="Times New Roman"/>
          <w:bCs/>
          <w:szCs w:val="24"/>
        </w:rPr>
        <w:t>remediate off-site contamination if it cannot compel responsible parties to do so.</w:t>
      </w:r>
      <w:r w:rsidRPr="007F1CD2">
        <w:rPr>
          <w:rFonts w:cs="Times New Roman"/>
          <w:bCs/>
          <w:szCs w:val="24"/>
        </w:rPr>
        <w:t xml:space="preserve"> </w:t>
      </w:r>
      <w:r w:rsidR="005077E1" w:rsidRPr="007F1CD2">
        <w:rPr>
          <w:rFonts w:cs="Times New Roman"/>
          <w:bCs/>
          <w:szCs w:val="24"/>
        </w:rPr>
        <w:t xml:space="preserve"> </w:t>
      </w:r>
      <w:r w:rsidRPr="007F1CD2">
        <w:rPr>
          <w:rFonts w:cs="Times New Roman"/>
          <w:bCs/>
          <w:szCs w:val="24"/>
        </w:rPr>
        <w:t xml:space="preserve">The </w:t>
      </w:r>
      <w:r w:rsidR="005077E1" w:rsidRPr="007F1CD2">
        <w:rPr>
          <w:rFonts w:cs="Times New Roman"/>
          <w:bCs/>
          <w:szCs w:val="24"/>
        </w:rPr>
        <w:t>D</w:t>
      </w:r>
      <w:r w:rsidRPr="007F1CD2">
        <w:rPr>
          <w:rFonts w:cs="Times New Roman"/>
          <w:bCs/>
          <w:szCs w:val="24"/>
        </w:rPr>
        <w:t xml:space="preserve">epartment also has </w:t>
      </w:r>
      <w:r w:rsidR="005077E1" w:rsidRPr="007F1CD2">
        <w:rPr>
          <w:rFonts w:cs="Times New Roman"/>
          <w:bCs/>
          <w:szCs w:val="24"/>
        </w:rPr>
        <w:t xml:space="preserve">the authority, which private parties lack, to </w:t>
      </w:r>
      <w:r w:rsidR="00B103C2" w:rsidRPr="007F1CD2">
        <w:rPr>
          <w:rFonts w:cs="Times New Roman"/>
          <w:bCs/>
          <w:szCs w:val="24"/>
        </w:rPr>
        <w:t xml:space="preserve">gain </w:t>
      </w:r>
      <w:r w:rsidR="005077E1" w:rsidRPr="007F1CD2">
        <w:rPr>
          <w:rFonts w:cs="Times New Roman"/>
          <w:bCs/>
          <w:szCs w:val="24"/>
        </w:rPr>
        <w:t xml:space="preserve">access </w:t>
      </w:r>
      <w:r w:rsidR="00DC4358" w:rsidRPr="007F1CD2">
        <w:rPr>
          <w:rFonts w:cs="Times New Roman"/>
          <w:bCs/>
          <w:szCs w:val="24"/>
        </w:rPr>
        <w:t xml:space="preserve">to </w:t>
      </w:r>
      <w:r w:rsidR="005077E1" w:rsidRPr="007F1CD2">
        <w:rPr>
          <w:rFonts w:cs="Times New Roman"/>
          <w:bCs/>
          <w:szCs w:val="24"/>
        </w:rPr>
        <w:t>off-site areas</w:t>
      </w:r>
      <w:r w:rsidRPr="007F1CD2">
        <w:rPr>
          <w:rFonts w:cs="Times New Roman"/>
          <w:bCs/>
          <w:szCs w:val="24"/>
        </w:rPr>
        <w:t xml:space="preserve">.  </w:t>
      </w:r>
      <w:r w:rsidR="005077E1" w:rsidRPr="007F1CD2">
        <w:rPr>
          <w:rFonts w:cs="Times New Roman"/>
          <w:bCs/>
          <w:szCs w:val="24"/>
        </w:rPr>
        <w:t>It is time-consuming for private parties to attempt</w:t>
      </w:r>
      <w:r w:rsidRPr="007F1CD2">
        <w:rPr>
          <w:rFonts w:cs="Times New Roman"/>
          <w:bCs/>
          <w:szCs w:val="24"/>
        </w:rPr>
        <w:t xml:space="preserve"> to gain access </w:t>
      </w:r>
      <w:r w:rsidR="005077E1" w:rsidRPr="007F1CD2">
        <w:rPr>
          <w:rFonts w:cs="Times New Roman"/>
          <w:bCs/>
          <w:szCs w:val="24"/>
        </w:rPr>
        <w:t xml:space="preserve">to off-site areas, and owners of such areas generally reject such requests.  </w:t>
      </w:r>
      <w:proofErr w:type="gramStart"/>
      <w:r w:rsidR="005077E1" w:rsidRPr="007F1CD2">
        <w:rPr>
          <w:rFonts w:cs="Times New Roman"/>
          <w:bCs/>
          <w:szCs w:val="24"/>
        </w:rPr>
        <w:t>A</w:t>
      </w:r>
      <w:r w:rsidRPr="007F1CD2">
        <w:rPr>
          <w:rFonts w:cs="Times New Roman"/>
          <w:bCs/>
          <w:szCs w:val="24"/>
        </w:rPr>
        <w:t>ll of</w:t>
      </w:r>
      <w:proofErr w:type="gramEnd"/>
      <w:r w:rsidRPr="007F1CD2">
        <w:rPr>
          <w:rFonts w:cs="Times New Roman"/>
          <w:bCs/>
          <w:szCs w:val="24"/>
        </w:rPr>
        <w:t xml:space="preserve"> </w:t>
      </w:r>
      <w:r w:rsidR="00170651" w:rsidRPr="007F1CD2">
        <w:rPr>
          <w:rFonts w:cs="Times New Roman"/>
          <w:bCs/>
          <w:szCs w:val="24"/>
        </w:rPr>
        <w:t xml:space="preserve">the foregoing could </w:t>
      </w:r>
      <w:r w:rsidR="00EB19DC" w:rsidRPr="007F1CD2">
        <w:rPr>
          <w:rFonts w:cs="Times New Roman"/>
          <w:bCs/>
          <w:szCs w:val="24"/>
        </w:rPr>
        <w:t>unnecessarily delay the V</w:t>
      </w:r>
      <w:r w:rsidRPr="007F1CD2">
        <w:rPr>
          <w:rFonts w:cs="Times New Roman"/>
          <w:bCs/>
          <w:szCs w:val="24"/>
        </w:rPr>
        <w:t xml:space="preserve">olunteer’s project. </w:t>
      </w:r>
      <w:r w:rsidR="00EB19DC" w:rsidRPr="007F1CD2">
        <w:rPr>
          <w:rFonts w:cs="Times New Roman"/>
          <w:bCs/>
          <w:szCs w:val="24"/>
        </w:rPr>
        <w:t xml:space="preserve"> We recommend the Department omit this proposal. </w:t>
      </w:r>
    </w:p>
    <w:p w14:paraId="0AD8253C" w14:textId="006A05EE" w:rsidR="006B7DB4" w:rsidRDefault="006B7DB4" w:rsidP="00A5121D">
      <w:pPr>
        <w:pStyle w:val="BodyText"/>
        <w:spacing w:after="0"/>
        <w:rPr>
          <w:rFonts w:cs="Times New Roman"/>
          <w:szCs w:val="24"/>
        </w:rPr>
      </w:pPr>
    </w:p>
    <w:p w14:paraId="2ED37283" w14:textId="4DC6857D" w:rsidR="007F1CD2" w:rsidRDefault="009B5C05" w:rsidP="00A5121D">
      <w:pPr>
        <w:pStyle w:val="ListParagraph"/>
        <w:numPr>
          <w:ilvl w:val="0"/>
          <w:numId w:val="17"/>
        </w:numPr>
        <w:spacing w:after="0"/>
        <w:rPr>
          <w:rFonts w:eastAsia="Times New Roman" w:cs="Times New Roman"/>
          <w:szCs w:val="24"/>
        </w:rPr>
      </w:pPr>
      <w:r w:rsidRPr="007F1CD2">
        <w:rPr>
          <w:rFonts w:cs="Times New Roman"/>
          <w:b/>
          <w:szCs w:val="24"/>
          <w:u w:val="single"/>
        </w:rPr>
        <w:t xml:space="preserve">§ </w:t>
      </w:r>
      <w:r w:rsidR="00EF5138" w:rsidRPr="007F1CD2">
        <w:rPr>
          <w:rFonts w:cs="Times New Roman"/>
          <w:b/>
          <w:szCs w:val="24"/>
          <w:u w:val="single"/>
        </w:rPr>
        <w:t>375-3.8(c)(2): Standard for Participants Addressing Contamination Migrating Off-Site</w:t>
      </w:r>
      <w:r w:rsidR="00C06537">
        <w:rPr>
          <w:rFonts w:cs="Times New Roman"/>
          <w:b/>
          <w:szCs w:val="24"/>
          <w:u w:val="single"/>
        </w:rPr>
        <w:t xml:space="preserve"> </w:t>
      </w:r>
      <w:proofErr w:type="gramStart"/>
      <w:r w:rsidR="00C06537">
        <w:rPr>
          <w:rFonts w:cs="Times New Roman"/>
          <w:b/>
          <w:szCs w:val="24"/>
          <w:u w:val="single"/>
        </w:rPr>
        <w:t>-</w:t>
      </w:r>
      <w:r w:rsidR="007F1CD2" w:rsidRPr="007F1CD2">
        <w:rPr>
          <w:rFonts w:cs="Times New Roman"/>
          <w:bCs/>
          <w:szCs w:val="24"/>
        </w:rPr>
        <w:t xml:space="preserve"> </w:t>
      </w:r>
      <w:r w:rsidR="00943CBE">
        <w:rPr>
          <w:rFonts w:cs="Times New Roman"/>
          <w:bCs/>
          <w:szCs w:val="24"/>
        </w:rPr>
        <w:t xml:space="preserve"> </w:t>
      </w:r>
      <w:r w:rsidRPr="007F1CD2">
        <w:rPr>
          <w:rFonts w:eastAsia="Times New Roman" w:cs="Times New Roman"/>
          <w:szCs w:val="24"/>
        </w:rPr>
        <w:t>The</w:t>
      </w:r>
      <w:proofErr w:type="gramEnd"/>
      <w:r w:rsidRPr="007F1CD2">
        <w:rPr>
          <w:rFonts w:eastAsia="Times New Roman" w:cs="Times New Roman"/>
          <w:szCs w:val="24"/>
        </w:rPr>
        <w:t xml:space="preserve"> Department’s proposal provides</w:t>
      </w:r>
      <w:r w:rsidR="00EF5138" w:rsidRPr="007F1CD2">
        <w:rPr>
          <w:rFonts w:eastAsia="Times New Roman" w:cs="Times New Roman"/>
          <w:szCs w:val="24"/>
        </w:rPr>
        <w:t xml:space="preserve"> that a </w:t>
      </w:r>
      <w:r w:rsidRPr="007F1CD2">
        <w:rPr>
          <w:rFonts w:eastAsia="Times New Roman" w:cs="Times New Roman"/>
          <w:szCs w:val="24"/>
        </w:rPr>
        <w:t>BCP P</w:t>
      </w:r>
      <w:r w:rsidR="00EF5138" w:rsidRPr="007F1CD2">
        <w:rPr>
          <w:rFonts w:eastAsia="Times New Roman" w:cs="Times New Roman"/>
          <w:szCs w:val="24"/>
        </w:rPr>
        <w:t xml:space="preserve">articipant must implement an off-site remedy </w:t>
      </w:r>
      <w:r w:rsidR="00EB19DC" w:rsidRPr="007F1CD2">
        <w:rPr>
          <w:rFonts w:eastAsia="Times New Roman" w:cs="Times New Roman"/>
          <w:szCs w:val="24"/>
        </w:rPr>
        <w:t>in order to,</w:t>
      </w:r>
      <w:r w:rsidR="00EF5138" w:rsidRPr="007F1CD2">
        <w:rPr>
          <w:rFonts w:eastAsia="Times New Roman" w:cs="Times New Roman"/>
          <w:szCs w:val="24"/>
        </w:rPr>
        <w:t xml:space="preserve"> “at a minimum, address exposures related to site contamination to allow for residential use of the property unless the use of the property is limited to a more restrictive use (e.g. commercial or industrial).” </w:t>
      </w:r>
    </w:p>
    <w:p w14:paraId="54B190D4" w14:textId="7D89A15E" w:rsidR="007F1CD2" w:rsidRDefault="009B5C05" w:rsidP="00A5121D">
      <w:pPr>
        <w:pStyle w:val="ListParagraph"/>
        <w:spacing w:after="0"/>
        <w:ind w:left="1080"/>
        <w:rPr>
          <w:rFonts w:eastAsia="Times New Roman" w:cs="Times New Roman"/>
          <w:bCs/>
          <w:szCs w:val="24"/>
        </w:rPr>
      </w:pPr>
      <w:r w:rsidRPr="007F1CD2">
        <w:rPr>
          <w:rFonts w:eastAsia="Times New Roman" w:cs="Times New Roman"/>
          <w:bCs/>
          <w:szCs w:val="24"/>
        </w:rPr>
        <w:t>It</w:t>
      </w:r>
      <w:r w:rsidR="00EF5138" w:rsidRPr="007F1CD2">
        <w:rPr>
          <w:rFonts w:eastAsia="Times New Roman" w:cs="Times New Roman"/>
          <w:bCs/>
          <w:szCs w:val="24"/>
        </w:rPr>
        <w:t xml:space="preserve"> is unclear if this </w:t>
      </w:r>
      <w:r w:rsidRPr="007F1CD2">
        <w:rPr>
          <w:rFonts w:eastAsia="Times New Roman" w:cs="Times New Roman"/>
          <w:bCs/>
          <w:szCs w:val="24"/>
        </w:rPr>
        <w:t xml:space="preserve">proposal would require Participants to address </w:t>
      </w:r>
      <w:r w:rsidR="00EF5138" w:rsidRPr="007F1CD2">
        <w:rPr>
          <w:rFonts w:eastAsia="Times New Roman" w:cs="Times New Roman"/>
          <w:bCs/>
          <w:szCs w:val="24"/>
        </w:rPr>
        <w:t xml:space="preserve">off-site </w:t>
      </w:r>
      <w:r w:rsidRPr="007F1CD2">
        <w:rPr>
          <w:rFonts w:eastAsia="Times New Roman" w:cs="Times New Roman"/>
          <w:bCs/>
          <w:szCs w:val="24"/>
        </w:rPr>
        <w:t xml:space="preserve">soil </w:t>
      </w:r>
      <w:r w:rsidR="00EF5138" w:rsidRPr="007F1CD2">
        <w:rPr>
          <w:rFonts w:eastAsia="Times New Roman" w:cs="Times New Roman"/>
          <w:bCs/>
          <w:szCs w:val="24"/>
        </w:rPr>
        <w:t>vapor intrusion</w:t>
      </w:r>
      <w:r w:rsidRPr="007F1CD2">
        <w:rPr>
          <w:rFonts w:eastAsia="Times New Roman" w:cs="Times New Roman"/>
          <w:bCs/>
          <w:szCs w:val="24"/>
        </w:rPr>
        <w:t xml:space="preserve">.  The term </w:t>
      </w:r>
      <w:r w:rsidR="00EF5138" w:rsidRPr="007F1CD2">
        <w:rPr>
          <w:rFonts w:eastAsia="Times New Roman" w:cs="Times New Roman"/>
          <w:bCs/>
          <w:szCs w:val="24"/>
        </w:rPr>
        <w:t>“</w:t>
      </w:r>
      <w:r w:rsidR="00EF5138" w:rsidRPr="007F1CD2">
        <w:rPr>
          <w:rFonts w:cs="Times New Roman"/>
          <w:bCs/>
          <w:szCs w:val="24"/>
        </w:rPr>
        <w:t>exposure</w:t>
      </w:r>
      <w:r w:rsidR="00EF5138" w:rsidRPr="007F1CD2">
        <w:rPr>
          <w:rFonts w:eastAsia="Times New Roman" w:cs="Times New Roman"/>
          <w:bCs/>
          <w:szCs w:val="24"/>
        </w:rPr>
        <w:t xml:space="preserve">” </w:t>
      </w:r>
      <w:r w:rsidRPr="007F1CD2">
        <w:rPr>
          <w:rFonts w:eastAsia="Times New Roman" w:cs="Times New Roman"/>
          <w:bCs/>
          <w:szCs w:val="24"/>
        </w:rPr>
        <w:t xml:space="preserve">is not defined, nor is the phrase “address exposures”. </w:t>
      </w:r>
      <w:r w:rsidR="00DC4358" w:rsidRPr="007F1CD2">
        <w:rPr>
          <w:rFonts w:eastAsia="Times New Roman" w:cs="Times New Roman"/>
          <w:bCs/>
          <w:szCs w:val="24"/>
        </w:rPr>
        <w:t xml:space="preserve"> </w:t>
      </w:r>
      <w:r w:rsidR="004016BC" w:rsidRPr="007F1CD2">
        <w:rPr>
          <w:rFonts w:eastAsia="Times New Roman" w:cs="Times New Roman"/>
          <w:bCs/>
          <w:szCs w:val="24"/>
        </w:rPr>
        <w:t>Moreover, th</w:t>
      </w:r>
      <w:r w:rsidR="001A687F" w:rsidRPr="007F1CD2">
        <w:rPr>
          <w:rFonts w:eastAsia="Times New Roman" w:cs="Times New Roman"/>
          <w:bCs/>
          <w:szCs w:val="24"/>
        </w:rPr>
        <w:t xml:space="preserve">e Department refers to “environmental exposures” in § 375-1.8(d)(2)(ii)(c). </w:t>
      </w:r>
      <w:r w:rsidR="0083353A">
        <w:rPr>
          <w:rFonts w:eastAsia="Times New Roman" w:cs="Times New Roman"/>
          <w:bCs/>
          <w:szCs w:val="24"/>
        </w:rPr>
        <w:t xml:space="preserve"> </w:t>
      </w:r>
      <w:r w:rsidR="00483A11" w:rsidRPr="007F1CD2">
        <w:rPr>
          <w:rFonts w:eastAsia="Times New Roman" w:cs="Times New Roman"/>
          <w:bCs/>
          <w:szCs w:val="24"/>
        </w:rPr>
        <w:t>The Department should use one consistent and defined term.</w:t>
      </w:r>
      <w:r w:rsidR="001A687F" w:rsidRPr="007F1CD2">
        <w:rPr>
          <w:rFonts w:eastAsia="Times New Roman" w:cs="Times New Roman"/>
          <w:bCs/>
          <w:szCs w:val="24"/>
        </w:rPr>
        <w:t xml:space="preserve"> </w:t>
      </w:r>
      <w:r w:rsidRPr="007F1CD2">
        <w:rPr>
          <w:rFonts w:eastAsia="Times New Roman" w:cs="Times New Roman"/>
          <w:bCs/>
          <w:szCs w:val="24"/>
        </w:rPr>
        <w:t xml:space="preserve"> </w:t>
      </w:r>
      <w:proofErr w:type="gramStart"/>
      <w:r w:rsidRPr="007F1CD2">
        <w:rPr>
          <w:rFonts w:eastAsia="Times New Roman" w:cs="Times New Roman"/>
          <w:bCs/>
          <w:szCs w:val="24"/>
        </w:rPr>
        <w:t>In particular, it</w:t>
      </w:r>
      <w:proofErr w:type="gramEnd"/>
      <w:r w:rsidRPr="007F1CD2">
        <w:rPr>
          <w:rFonts w:eastAsia="Times New Roman" w:cs="Times New Roman"/>
          <w:bCs/>
          <w:szCs w:val="24"/>
        </w:rPr>
        <w:t xml:space="preserve"> is not clear if the proposal could require a Participant to implement an engineering control at an off-site property.   </w:t>
      </w:r>
    </w:p>
    <w:p w14:paraId="232BFB3B" w14:textId="77777777" w:rsidR="007F1CD2" w:rsidRDefault="007F1CD2" w:rsidP="00A5121D">
      <w:pPr>
        <w:pStyle w:val="ListParagraph"/>
        <w:spacing w:after="0"/>
        <w:ind w:left="1080"/>
        <w:rPr>
          <w:rFonts w:eastAsia="Times New Roman" w:cs="Times New Roman"/>
          <w:bCs/>
          <w:szCs w:val="24"/>
        </w:rPr>
      </w:pPr>
    </w:p>
    <w:p w14:paraId="0D24A838" w14:textId="3B0E003D" w:rsidR="009B5C05" w:rsidRPr="007F1CD2" w:rsidRDefault="00ED38F6" w:rsidP="00A5121D">
      <w:pPr>
        <w:pStyle w:val="ListParagraph"/>
        <w:spacing w:after="0"/>
        <w:ind w:left="1080"/>
        <w:rPr>
          <w:rFonts w:eastAsia="Times New Roman" w:cs="Times New Roman"/>
          <w:szCs w:val="24"/>
        </w:rPr>
      </w:pPr>
      <w:r>
        <w:rPr>
          <w:rFonts w:eastAsia="Times New Roman" w:cs="Times New Roman"/>
          <w:bCs/>
          <w:szCs w:val="24"/>
        </w:rPr>
        <w:t xml:space="preserve">We recommend that the </w:t>
      </w:r>
      <w:r w:rsidRPr="003366CE">
        <w:rPr>
          <w:rFonts w:cs="Times New Roman"/>
          <w:bCs/>
          <w:szCs w:val="24"/>
        </w:rPr>
        <w:t>Department</w:t>
      </w:r>
      <w:r>
        <w:rPr>
          <w:rFonts w:eastAsia="Times New Roman" w:cs="Times New Roman"/>
          <w:bCs/>
          <w:szCs w:val="24"/>
        </w:rPr>
        <w:t xml:space="preserve"> either withdraw the proposal or clarify Participants’ obligations.</w:t>
      </w:r>
    </w:p>
    <w:p w14:paraId="0F3916E3" w14:textId="4A65F7AF" w:rsidR="00EF5138" w:rsidRDefault="00EF5138" w:rsidP="00A5121D">
      <w:pPr>
        <w:spacing w:after="0"/>
        <w:rPr>
          <w:rFonts w:cs="Times New Roman"/>
          <w:szCs w:val="24"/>
        </w:rPr>
      </w:pPr>
    </w:p>
    <w:p w14:paraId="74263320" w14:textId="2C1883F6" w:rsidR="007F1CD2" w:rsidRDefault="00804125" w:rsidP="00A5121D">
      <w:pPr>
        <w:pStyle w:val="ListParagraph"/>
        <w:numPr>
          <w:ilvl w:val="0"/>
          <w:numId w:val="17"/>
        </w:numPr>
        <w:spacing w:after="0"/>
        <w:rPr>
          <w:rFonts w:cs="Times New Roman"/>
          <w:szCs w:val="24"/>
        </w:rPr>
      </w:pPr>
      <w:r w:rsidRPr="007F1CD2">
        <w:rPr>
          <w:rFonts w:cs="Times New Roman"/>
          <w:b/>
          <w:szCs w:val="24"/>
          <w:u w:val="single"/>
        </w:rPr>
        <w:t xml:space="preserve">§ 375-3.8(c)(5): </w:t>
      </w:r>
      <w:r w:rsidR="00C55F5A" w:rsidRPr="007F1CD2">
        <w:rPr>
          <w:rFonts w:cs="Times New Roman"/>
          <w:b/>
          <w:szCs w:val="24"/>
          <w:u w:val="single"/>
        </w:rPr>
        <w:t>Feasibility Studies Required for Class 2 Sites</w:t>
      </w:r>
      <w:r w:rsidR="00C06537">
        <w:rPr>
          <w:rFonts w:cs="Times New Roman"/>
          <w:b/>
          <w:szCs w:val="24"/>
          <w:u w:val="single"/>
        </w:rPr>
        <w:t xml:space="preserve"> </w:t>
      </w:r>
      <w:proofErr w:type="gramStart"/>
      <w:r w:rsidR="00C06537">
        <w:rPr>
          <w:rFonts w:cs="Times New Roman"/>
          <w:b/>
          <w:szCs w:val="24"/>
          <w:u w:val="single"/>
        </w:rPr>
        <w:t>-</w:t>
      </w:r>
      <w:r w:rsidR="007F1CD2" w:rsidRPr="007F1CD2">
        <w:rPr>
          <w:rFonts w:cs="Times New Roman"/>
          <w:bCs/>
          <w:szCs w:val="24"/>
        </w:rPr>
        <w:t xml:space="preserve"> </w:t>
      </w:r>
      <w:r w:rsidR="00943CBE">
        <w:rPr>
          <w:rFonts w:cs="Times New Roman"/>
          <w:bCs/>
          <w:szCs w:val="24"/>
        </w:rPr>
        <w:t xml:space="preserve"> </w:t>
      </w:r>
      <w:r w:rsidRPr="007F1CD2">
        <w:rPr>
          <w:rFonts w:cs="Times New Roman"/>
          <w:szCs w:val="24"/>
        </w:rPr>
        <w:t>We</w:t>
      </w:r>
      <w:proofErr w:type="gramEnd"/>
      <w:r w:rsidRPr="007F1CD2">
        <w:rPr>
          <w:rFonts w:cs="Times New Roman"/>
          <w:szCs w:val="24"/>
        </w:rPr>
        <w:t xml:space="preserve"> object to this proposal because it </w:t>
      </w:r>
      <w:r w:rsidR="00C55F5A" w:rsidRPr="007F1CD2">
        <w:rPr>
          <w:rFonts w:cs="Times New Roman"/>
          <w:szCs w:val="24"/>
        </w:rPr>
        <w:t xml:space="preserve">is inconsistent with ECL § 27-1413(4), which provides that for significant threat </w:t>
      </w:r>
      <w:r w:rsidR="00EB19DC" w:rsidRPr="007F1CD2">
        <w:rPr>
          <w:rFonts w:cs="Times New Roman"/>
          <w:szCs w:val="24"/>
        </w:rPr>
        <w:t xml:space="preserve">(Class 2) </w:t>
      </w:r>
      <w:r w:rsidR="00C55F5A" w:rsidRPr="007F1CD2">
        <w:rPr>
          <w:rFonts w:cs="Times New Roman"/>
          <w:szCs w:val="24"/>
        </w:rPr>
        <w:t>sites, the Department “shall select the remedy from a department-approved alternatives analysis”.  Requiring feasibility studies</w:t>
      </w:r>
      <w:r w:rsidRPr="007F1CD2">
        <w:rPr>
          <w:rFonts w:cs="Times New Roman"/>
          <w:szCs w:val="24"/>
        </w:rPr>
        <w:t xml:space="preserve"> would add substantial costs and delays for BCP projects and would only serve to further discourage the redevelopment of these sites.</w:t>
      </w:r>
      <w:r w:rsidR="00E52CD5">
        <w:rPr>
          <w:rFonts w:cs="Times New Roman"/>
          <w:szCs w:val="24"/>
        </w:rPr>
        <w:t xml:space="preserve">  </w:t>
      </w:r>
      <w:r w:rsidRPr="007F1CD2">
        <w:rPr>
          <w:rFonts w:cs="Times New Roman"/>
          <w:szCs w:val="24"/>
        </w:rPr>
        <w:t xml:space="preserve">  </w:t>
      </w:r>
    </w:p>
    <w:p w14:paraId="040EE75C" w14:textId="77777777" w:rsidR="007F1CD2" w:rsidRDefault="007F1CD2" w:rsidP="00A5121D">
      <w:pPr>
        <w:pStyle w:val="ListParagraph"/>
        <w:spacing w:after="0"/>
        <w:ind w:left="1080"/>
        <w:rPr>
          <w:rFonts w:cs="Times New Roman"/>
          <w:b/>
          <w:szCs w:val="24"/>
          <w:u w:val="single"/>
        </w:rPr>
      </w:pPr>
    </w:p>
    <w:p w14:paraId="5E89A6DA" w14:textId="69276B04" w:rsidR="00E52CD5" w:rsidRDefault="00EB19DC" w:rsidP="00A5121D">
      <w:pPr>
        <w:pStyle w:val="ListParagraph"/>
        <w:spacing w:after="0"/>
        <w:ind w:left="1080"/>
        <w:rPr>
          <w:rFonts w:cs="Times New Roman"/>
          <w:szCs w:val="24"/>
        </w:rPr>
      </w:pPr>
      <w:r w:rsidRPr="007F1CD2">
        <w:rPr>
          <w:rFonts w:cs="Times New Roman"/>
          <w:szCs w:val="24"/>
        </w:rPr>
        <w:t>A</w:t>
      </w:r>
      <w:r w:rsidR="00FD559E" w:rsidRPr="007F1CD2">
        <w:rPr>
          <w:rFonts w:cs="Times New Roman"/>
          <w:szCs w:val="24"/>
        </w:rPr>
        <w:t xml:space="preserve"> </w:t>
      </w:r>
      <w:r w:rsidRPr="007F1CD2">
        <w:rPr>
          <w:rFonts w:cs="Times New Roman"/>
          <w:szCs w:val="24"/>
        </w:rPr>
        <w:t>V</w:t>
      </w:r>
      <w:r w:rsidR="00804125" w:rsidRPr="007F1CD2">
        <w:rPr>
          <w:rFonts w:cs="Times New Roman"/>
          <w:szCs w:val="24"/>
        </w:rPr>
        <w:t>olunteer is entitled to bring a Class 2 site into the BCP as a “Brownf</w:t>
      </w:r>
      <w:r w:rsidRPr="007F1CD2">
        <w:rPr>
          <w:rFonts w:cs="Times New Roman"/>
          <w:szCs w:val="24"/>
        </w:rPr>
        <w:t>ield Site” pursuant to ECL § 27-</w:t>
      </w:r>
      <w:r w:rsidR="00804125" w:rsidRPr="007F1CD2">
        <w:rPr>
          <w:rFonts w:cs="Times New Roman"/>
          <w:szCs w:val="24"/>
        </w:rPr>
        <w:t xml:space="preserve">1405(2)(a).  However, this proposed </w:t>
      </w:r>
      <w:r w:rsidR="00804125" w:rsidRPr="007F1CD2">
        <w:rPr>
          <w:rFonts w:cs="Times New Roman"/>
          <w:bCs/>
          <w:szCs w:val="24"/>
        </w:rPr>
        <w:t>regulation</w:t>
      </w:r>
      <w:r w:rsidR="00804125" w:rsidRPr="007F1CD2">
        <w:rPr>
          <w:rFonts w:cs="Times New Roman"/>
          <w:szCs w:val="24"/>
        </w:rPr>
        <w:t xml:space="preserve"> appears to be designed to continue to treat a Superfund Site admitted into the BCP as if it remained a Class 2 site in the Superfund program.  For Class 2 sites admitted into the BCP before a remedy has been selected, this new provision states “the remedy will be selected by the department in accordance with section 375-2.8(e) of this Part.” </w:t>
      </w:r>
      <w:r w:rsidR="00C55F5A" w:rsidRPr="007F1CD2">
        <w:rPr>
          <w:rFonts w:cs="Times New Roman"/>
          <w:szCs w:val="24"/>
        </w:rPr>
        <w:t xml:space="preserve"> </w:t>
      </w:r>
      <w:r w:rsidR="00804125" w:rsidRPr="007F1CD2">
        <w:rPr>
          <w:rFonts w:cs="Times New Roman"/>
          <w:szCs w:val="24"/>
        </w:rPr>
        <w:t xml:space="preserve">If a </w:t>
      </w:r>
      <w:r w:rsidR="00804125" w:rsidRPr="007F1CD2">
        <w:rPr>
          <w:rFonts w:cs="Times New Roman"/>
          <w:szCs w:val="24"/>
        </w:rPr>
        <w:lastRenderedPageBreak/>
        <w:t>Volunteer has decided to bring a Class 2 site into the BCP, it should be entitled to utilize the BCP</w:t>
      </w:r>
      <w:r w:rsidR="00C55F5A" w:rsidRPr="007F1CD2">
        <w:rPr>
          <w:rFonts w:cs="Times New Roman"/>
          <w:szCs w:val="24"/>
        </w:rPr>
        <w:t xml:space="preserve"> </w:t>
      </w:r>
      <w:r w:rsidR="00804125" w:rsidRPr="007F1CD2">
        <w:rPr>
          <w:rFonts w:cs="Times New Roman"/>
          <w:szCs w:val="24"/>
        </w:rPr>
        <w:t xml:space="preserve">process instead of the more onerous and time-consuming Superfund process in section 375-2.8(e). </w:t>
      </w:r>
      <w:r w:rsidR="00C55F5A" w:rsidRPr="007F1CD2">
        <w:rPr>
          <w:rFonts w:cs="Times New Roman"/>
          <w:szCs w:val="24"/>
        </w:rPr>
        <w:t xml:space="preserve"> </w:t>
      </w:r>
      <w:r w:rsidR="00804125" w:rsidRPr="007F1CD2">
        <w:rPr>
          <w:rFonts w:cs="Times New Roman"/>
          <w:szCs w:val="24"/>
        </w:rPr>
        <w:t xml:space="preserve">In addition, a Volunteer bringing a Class 2 site into the BCP is likely planning a project for the site, and the Volunteer should have some ability to select a remedy consistent with the proposed project pursuant to the BCP remedy selection process. </w:t>
      </w:r>
      <w:r w:rsidR="00C55F5A" w:rsidRPr="007F1CD2">
        <w:rPr>
          <w:rFonts w:cs="Times New Roman"/>
          <w:szCs w:val="24"/>
        </w:rPr>
        <w:t xml:space="preserve"> </w:t>
      </w:r>
      <w:r w:rsidRPr="007F1CD2">
        <w:rPr>
          <w:rFonts w:cs="Times New Roman"/>
          <w:szCs w:val="24"/>
        </w:rPr>
        <w:t>In contrast, t</w:t>
      </w:r>
      <w:r w:rsidR="00804125" w:rsidRPr="007F1CD2">
        <w:rPr>
          <w:rFonts w:cs="Times New Roman"/>
          <w:szCs w:val="24"/>
        </w:rPr>
        <w:t xml:space="preserve">he Superfund process is not driven by project-based remedies. </w:t>
      </w:r>
      <w:r w:rsidR="00C55F5A" w:rsidRPr="007F1CD2">
        <w:rPr>
          <w:rFonts w:cs="Times New Roman"/>
          <w:szCs w:val="24"/>
        </w:rPr>
        <w:t xml:space="preserve"> </w:t>
      </w:r>
      <w:r w:rsidR="00804125" w:rsidRPr="007F1CD2">
        <w:rPr>
          <w:rFonts w:cs="Times New Roman"/>
          <w:szCs w:val="24"/>
        </w:rPr>
        <w:t xml:space="preserve">While the Department does have the final remedy selection authority for significant threat sites in the BCP pursuant to ECL§ 27-1413(4), it is unclear why the Superfund </w:t>
      </w:r>
      <w:r w:rsidR="00804125" w:rsidRPr="007F1CD2">
        <w:rPr>
          <w:rFonts w:cs="Times New Roman"/>
          <w:bCs/>
          <w:szCs w:val="24"/>
        </w:rPr>
        <w:t>process</w:t>
      </w:r>
      <w:r w:rsidR="00804125" w:rsidRPr="007F1CD2">
        <w:rPr>
          <w:rFonts w:cs="Times New Roman"/>
          <w:szCs w:val="24"/>
        </w:rPr>
        <w:t xml:space="preserve"> must be utilized</w:t>
      </w:r>
      <w:r w:rsidR="00E52CD5">
        <w:rPr>
          <w:rFonts w:cs="Times New Roman"/>
          <w:szCs w:val="24"/>
        </w:rPr>
        <w:t>.</w:t>
      </w:r>
    </w:p>
    <w:p w14:paraId="746EDE78" w14:textId="77777777" w:rsidR="00E52CD5" w:rsidRDefault="00E52CD5" w:rsidP="00A5121D">
      <w:pPr>
        <w:pStyle w:val="ListParagraph"/>
        <w:spacing w:after="0"/>
        <w:ind w:left="1080"/>
        <w:rPr>
          <w:rFonts w:cs="Times New Roman"/>
          <w:szCs w:val="24"/>
        </w:rPr>
      </w:pPr>
    </w:p>
    <w:p w14:paraId="465ADDAC" w14:textId="5BB4BA10" w:rsidR="00804125" w:rsidRPr="007F1CD2" w:rsidRDefault="00E52CD5" w:rsidP="00A5121D">
      <w:pPr>
        <w:pStyle w:val="ListParagraph"/>
        <w:spacing w:after="0"/>
        <w:ind w:left="1080"/>
        <w:rPr>
          <w:rFonts w:cs="Times New Roman"/>
          <w:szCs w:val="24"/>
        </w:rPr>
      </w:pPr>
      <w:r>
        <w:rPr>
          <w:rFonts w:cs="Times New Roman"/>
          <w:szCs w:val="24"/>
        </w:rPr>
        <w:t xml:space="preserve">To the extent there is </w:t>
      </w:r>
      <w:r w:rsidR="00F015A9">
        <w:rPr>
          <w:rFonts w:cs="Times New Roman"/>
          <w:szCs w:val="24"/>
        </w:rPr>
        <w:t xml:space="preserve">a </w:t>
      </w:r>
      <w:r>
        <w:rPr>
          <w:rFonts w:cs="Times New Roman"/>
          <w:szCs w:val="24"/>
        </w:rPr>
        <w:t>concern that</w:t>
      </w:r>
      <w:r w:rsidR="00F015A9">
        <w:rPr>
          <w:rFonts w:cs="Times New Roman"/>
          <w:szCs w:val="24"/>
        </w:rPr>
        <w:t>, in the event</w:t>
      </w:r>
      <w:r>
        <w:rPr>
          <w:rFonts w:cs="Times New Roman"/>
          <w:szCs w:val="24"/>
        </w:rPr>
        <w:t xml:space="preserve"> a Class 2 site</w:t>
      </w:r>
      <w:r w:rsidR="00F015A9">
        <w:rPr>
          <w:rFonts w:cs="Times New Roman"/>
          <w:szCs w:val="24"/>
        </w:rPr>
        <w:t xml:space="preserve"> leaves the BCP and returns to the Superfund program a Feasibility Study would need to be drafted to support the selected remedy, that would </w:t>
      </w:r>
      <w:r w:rsidR="0083353A">
        <w:rPr>
          <w:rFonts w:cs="Times New Roman"/>
          <w:szCs w:val="24"/>
        </w:rPr>
        <w:t xml:space="preserve">have </w:t>
      </w:r>
      <w:r w:rsidR="00F015A9">
        <w:rPr>
          <w:rFonts w:cs="Times New Roman"/>
          <w:szCs w:val="24"/>
        </w:rPr>
        <w:t>be</w:t>
      </w:r>
      <w:r w:rsidR="0083353A">
        <w:rPr>
          <w:rFonts w:cs="Times New Roman"/>
          <w:szCs w:val="24"/>
        </w:rPr>
        <w:t>en required had</w:t>
      </w:r>
      <w:r w:rsidR="00F015A9">
        <w:rPr>
          <w:rFonts w:cs="Times New Roman"/>
          <w:szCs w:val="24"/>
        </w:rPr>
        <w:t xml:space="preserve"> the site never entered the BCP</w:t>
      </w:r>
      <w:r w:rsidR="0083353A">
        <w:rPr>
          <w:rFonts w:cs="Times New Roman"/>
          <w:szCs w:val="24"/>
        </w:rPr>
        <w:t>,</w:t>
      </w:r>
      <w:r w:rsidR="00F015A9">
        <w:rPr>
          <w:rFonts w:cs="Times New Roman"/>
          <w:szCs w:val="24"/>
        </w:rPr>
        <w:t xml:space="preserve"> and </w:t>
      </w:r>
      <w:r w:rsidR="0083353A">
        <w:rPr>
          <w:rFonts w:cs="Times New Roman"/>
          <w:szCs w:val="24"/>
        </w:rPr>
        <w:t xml:space="preserve">it </w:t>
      </w:r>
      <w:r w:rsidR="00F015A9">
        <w:rPr>
          <w:rFonts w:cs="Times New Roman"/>
          <w:szCs w:val="24"/>
        </w:rPr>
        <w:t xml:space="preserve">would </w:t>
      </w:r>
      <w:r w:rsidR="0083353A">
        <w:rPr>
          <w:rFonts w:cs="Times New Roman"/>
          <w:szCs w:val="24"/>
        </w:rPr>
        <w:t xml:space="preserve">have </w:t>
      </w:r>
      <w:r w:rsidR="00F015A9">
        <w:rPr>
          <w:rFonts w:cs="Times New Roman"/>
          <w:szCs w:val="24"/>
        </w:rPr>
        <w:t>be</w:t>
      </w:r>
      <w:r w:rsidR="0083353A">
        <w:rPr>
          <w:rFonts w:cs="Times New Roman"/>
          <w:szCs w:val="24"/>
        </w:rPr>
        <w:t>en</w:t>
      </w:r>
      <w:r w:rsidR="00F015A9">
        <w:rPr>
          <w:rFonts w:cs="Times New Roman"/>
          <w:szCs w:val="24"/>
        </w:rPr>
        <w:t xml:space="preserve"> the responsibility of the potentially responsible party and/or the Department regardless.  The Department and/or the potentially responsible party would have benefited from the work undertaken by the BCP Volunteer regardless of whether the site made it through remedy implementation.   A BCP Volunteer should not be treated as a Superfund potentially responsible party simply because of the potential for the site to transition back to the Superfund program. </w:t>
      </w:r>
      <w:r>
        <w:rPr>
          <w:rFonts w:cs="Times New Roman"/>
          <w:szCs w:val="24"/>
        </w:rPr>
        <w:t xml:space="preserve"> </w:t>
      </w:r>
    </w:p>
    <w:p w14:paraId="5C7A8638" w14:textId="4AF23C2D" w:rsidR="00804125" w:rsidRDefault="00804125" w:rsidP="00A5121D">
      <w:pPr>
        <w:spacing w:after="0"/>
        <w:rPr>
          <w:rFonts w:cs="Times New Roman"/>
          <w:szCs w:val="24"/>
        </w:rPr>
      </w:pPr>
    </w:p>
    <w:p w14:paraId="05AFE732" w14:textId="0C84169F" w:rsidR="007F1CD2" w:rsidRDefault="00ED38F6" w:rsidP="00A5121D">
      <w:pPr>
        <w:pStyle w:val="ListParagraph"/>
        <w:numPr>
          <w:ilvl w:val="0"/>
          <w:numId w:val="17"/>
        </w:numPr>
        <w:spacing w:after="0"/>
        <w:rPr>
          <w:rFonts w:cs="Times New Roman"/>
          <w:szCs w:val="24"/>
        </w:rPr>
      </w:pPr>
      <w:r w:rsidRPr="007F1CD2">
        <w:rPr>
          <w:rFonts w:cs="Times New Roman"/>
          <w:b/>
          <w:szCs w:val="24"/>
          <w:u w:val="single"/>
        </w:rPr>
        <w:t xml:space="preserve">§ </w:t>
      </w:r>
      <w:r w:rsidR="00E02184" w:rsidRPr="007F1CD2">
        <w:rPr>
          <w:rFonts w:cs="Times New Roman"/>
          <w:b/>
          <w:szCs w:val="24"/>
          <w:u w:val="single"/>
        </w:rPr>
        <w:t>375-3.8(e)(1)(iii): Elimination of Conditional Track 1 Remedies</w:t>
      </w:r>
      <w:r w:rsidR="00C06537">
        <w:rPr>
          <w:rFonts w:cs="Times New Roman"/>
          <w:b/>
          <w:szCs w:val="24"/>
          <w:u w:val="single"/>
        </w:rPr>
        <w:t xml:space="preserve"> -</w:t>
      </w:r>
      <w:r w:rsidR="00E02184" w:rsidRPr="007F1CD2">
        <w:rPr>
          <w:rFonts w:cs="Times New Roman"/>
          <w:b/>
          <w:szCs w:val="24"/>
        </w:rPr>
        <w:t xml:space="preserve"> </w:t>
      </w:r>
      <w:r w:rsidR="007F1CD2">
        <w:rPr>
          <w:rFonts w:cs="Times New Roman"/>
          <w:bCs/>
          <w:szCs w:val="24"/>
        </w:rPr>
        <w:t xml:space="preserve"> </w:t>
      </w:r>
      <w:r w:rsidR="00E02184" w:rsidRPr="007F1CD2">
        <w:rPr>
          <w:rFonts w:cs="Times New Roman"/>
          <w:szCs w:val="24"/>
        </w:rPr>
        <w:t>Elimination of conditional Track 1 remedies is inconsistent with ECL § 27</w:t>
      </w:r>
      <w:r w:rsidR="00E02184" w:rsidRPr="007F1CD2">
        <w:rPr>
          <w:rFonts w:cs="Times New Roman"/>
          <w:szCs w:val="24"/>
        </w:rPr>
        <w:softHyphen/>
      </w:r>
      <w:r w:rsidRPr="007F1CD2">
        <w:rPr>
          <w:rFonts w:cs="Times New Roman"/>
          <w:szCs w:val="24"/>
        </w:rPr>
        <w:t>-</w:t>
      </w:r>
      <w:r w:rsidR="00E02184" w:rsidRPr="007F1CD2">
        <w:rPr>
          <w:rFonts w:cs="Times New Roman"/>
          <w:szCs w:val="24"/>
        </w:rPr>
        <w:t xml:space="preserve">1415(4) which states “that volunteers whose proposed remedial program for the remediation of groundwater may require the </w:t>
      </w:r>
      <w:r w:rsidR="00E02184" w:rsidRPr="007F1CD2">
        <w:rPr>
          <w:rFonts w:cs="Times New Roman"/>
          <w:i/>
          <w:szCs w:val="24"/>
        </w:rPr>
        <w:t xml:space="preserve">long-term employment of institutional or engineering controls </w:t>
      </w:r>
      <w:r w:rsidR="00E02184" w:rsidRPr="007F1CD2">
        <w:rPr>
          <w:rFonts w:cs="Times New Roman"/>
          <w:szCs w:val="24"/>
        </w:rPr>
        <w:t xml:space="preserve">after the bulk reduction of groundwater contamination to asymptotic levels has been achieved but whose </w:t>
      </w:r>
      <w:r w:rsidR="00E02184" w:rsidRPr="007F1CD2">
        <w:rPr>
          <w:rFonts w:cs="Times New Roman"/>
          <w:bCs/>
          <w:szCs w:val="24"/>
        </w:rPr>
        <w:t>program</w:t>
      </w:r>
      <w:r w:rsidR="00E02184" w:rsidRPr="007F1CD2">
        <w:rPr>
          <w:rFonts w:cs="Times New Roman"/>
          <w:szCs w:val="24"/>
        </w:rPr>
        <w:t xml:space="preserve"> would otherwise conform with the requirements necessary to qualify for Track 1, shall qualify for Track 1.”  (Emphasis added.)  </w:t>
      </w:r>
    </w:p>
    <w:p w14:paraId="1DADB9A9" w14:textId="77777777" w:rsidR="007F1CD2" w:rsidRDefault="007F1CD2" w:rsidP="00A5121D">
      <w:pPr>
        <w:pStyle w:val="ListParagraph"/>
        <w:spacing w:after="0"/>
        <w:ind w:left="1080"/>
        <w:rPr>
          <w:rFonts w:cs="Times New Roman"/>
          <w:b/>
          <w:szCs w:val="24"/>
          <w:u w:val="single"/>
        </w:rPr>
      </w:pPr>
    </w:p>
    <w:p w14:paraId="06EFFD9C" w14:textId="30E97EDF" w:rsidR="007F1CD2" w:rsidRDefault="00E02184" w:rsidP="00A5121D">
      <w:pPr>
        <w:pStyle w:val="ListParagraph"/>
        <w:spacing w:after="0"/>
        <w:ind w:left="1080"/>
        <w:rPr>
          <w:rFonts w:cs="Times New Roman"/>
          <w:bCs/>
          <w:szCs w:val="24"/>
        </w:rPr>
      </w:pPr>
      <w:r w:rsidRPr="007F1CD2">
        <w:rPr>
          <w:rFonts w:cs="Times New Roman"/>
          <w:szCs w:val="24"/>
        </w:rPr>
        <w:t xml:space="preserve">The Legislature understood that despite a Track 1 soil source removal remedy, some residual groundwater contamination may remain, and allowed for long term groundwater </w:t>
      </w:r>
      <w:r w:rsidRPr="007F1CD2">
        <w:rPr>
          <w:rFonts w:cs="Times New Roman"/>
          <w:bCs/>
          <w:szCs w:val="24"/>
        </w:rPr>
        <w:t>engineering</w:t>
      </w:r>
      <w:r w:rsidR="00ED38F6" w:rsidRPr="007F1CD2">
        <w:rPr>
          <w:rFonts w:cs="Times New Roman"/>
          <w:szCs w:val="24"/>
        </w:rPr>
        <w:t xml:space="preserve"> controls to be in place.  </w:t>
      </w:r>
      <w:r w:rsidR="0043575E" w:rsidRPr="007F1CD2">
        <w:rPr>
          <w:rFonts w:cs="Times New Roman"/>
          <w:bCs/>
          <w:szCs w:val="24"/>
        </w:rPr>
        <w:t>The reason for this is that</w:t>
      </w:r>
      <w:r w:rsidR="006C36B5" w:rsidRPr="007F1CD2">
        <w:rPr>
          <w:rFonts w:cs="Times New Roman"/>
          <w:bCs/>
          <w:szCs w:val="24"/>
        </w:rPr>
        <w:t xml:space="preserve"> it is extremely difficult to achieve New York State drinking water standards in an urban environment, and the Legislature wanted to encourage</w:t>
      </w:r>
      <w:r w:rsidR="0035264F" w:rsidRPr="007F1CD2">
        <w:rPr>
          <w:rFonts w:cs="Times New Roman"/>
          <w:bCs/>
          <w:szCs w:val="24"/>
        </w:rPr>
        <w:t xml:space="preserve"> </w:t>
      </w:r>
      <w:r w:rsidR="006C36B5" w:rsidRPr="007F1CD2">
        <w:rPr>
          <w:rFonts w:cs="Times New Roman"/>
          <w:bCs/>
          <w:szCs w:val="24"/>
        </w:rPr>
        <w:t xml:space="preserve">parties </w:t>
      </w:r>
      <w:r w:rsidR="0035264F" w:rsidRPr="007F1CD2">
        <w:rPr>
          <w:rFonts w:cs="Times New Roman"/>
          <w:bCs/>
          <w:szCs w:val="24"/>
        </w:rPr>
        <w:t>to achieve</w:t>
      </w:r>
      <w:r w:rsidR="006C36B5" w:rsidRPr="007F1CD2">
        <w:rPr>
          <w:rFonts w:cs="Times New Roman"/>
          <w:bCs/>
          <w:szCs w:val="24"/>
        </w:rPr>
        <w:t xml:space="preserve"> Track 1 </w:t>
      </w:r>
      <w:r w:rsidR="006869E0">
        <w:rPr>
          <w:rFonts w:cs="Times New Roman"/>
          <w:bCs/>
          <w:szCs w:val="24"/>
        </w:rPr>
        <w:t xml:space="preserve">soil </w:t>
      </w:r>
      <w:r w:rsidR="006C36B5" w:rsidRPr="007F1CD2">
        <w:rPr>
          <w:rFonts w:cs="Times New Roman"/>
          <w:bCs/>
          <w:szCs w:val="24"/>
        </w:rPr>
        <w:t>cleanups</w:t>
      </w:r>
      <w:r w:rsidR="006869E0">
        <w:rPr>
          <w:rFonts w:cs="Times New Roman"/>
          <w:bCs/>
          <w:szCs w:val="24"/>
        </w:rPr>
        <w:t xml:space="preserve"> to eliminate the sources of groundwater contamination</w:t>
      </w:r>
      <w:r w:rsidR="006C36B5" w:rsidRPr="007F1CD2">
        <w:rPr>
          <w:rFonts w:cs="Times New Roman"/>
          <w:bCs/>
          <w:szCs w:val="24"/>
        </w:rPr>
        <w:t>.</w:t>
      </w:r>
    </w:p>
    <w:p w14:paraId="32C74A39" w14:textId="77777777" w:rsidR="007F1CD2" w:rsidRDefault="007F1CD2" w:rsidP="00A5121D">
      <w:pPr>
        <w:pStyle w:val="ListParagraph"/>
        <w:spacing w:after="0"/>
        <w:ind w:left="1080"/>
        <w:rPr>
          <w:rFonts w:cs="Times New Roman"/>
          <w:bCs/>
          <w:szCs w:val="24"/>
        </w:rPr>
      </w:pPr>
    </w:p>
    <w:p w14:paraId="201BC5DB" w14:textId="77777777" w:rsidR="007F1CD2" w:rsidRDefault="00ED38F6" w:rsidP="00A5121D">
      <w:pPr>
        <w:pStyle w:val="ListParagraph"/>
        <w:spacing w:after="0"/>
        <w:ind w:left="1080"/>
        <w:rPr>
          <w:rFonts w:cs="Times New Roman"/>
          <w:szCs w:val="24"/>
        </w:rPr>
      </w:pPr>
      <w:r>
        <w:rPr>
          <w:rFonts w:cs="Times New Roman"/>
          <w:szCs w:val="24"/>
        </w:rPr>
        <w:t>The Department’s proposal would eviscerate</w:t>
      </w:r>
      <w:r w:rsidR="00E02184" w:rsidRPr="00DC1D53">
        <w:rPr>
          <w:rFonts w:cs="Times New Roman"/>
          <w:szCs w:val="24"/>
        </w:rPr>
        <w:t xml:space="preserve"> a party’s ability to achieve a Track 1 remedy if in the Department’s discretion “the volunteer has not demonstrated to the </w:t>
      </w:r>
      <w:r w:rsidR="00E02184" w:rsidRPr="003366CE">
        <w:rPr>
          <w:rFonts w:cs="Times New Roman"/>
          <w:bCs/>
          <w:szCs w:val="24"/>
        </w:rPr>
        <w:t>department’s</w:t>
      </w:r>
      <w:r w:rsidR="00E02184" w:rsidRPr="00DC1D53">
        <w:rPr>
          <w:rFonts w:cs="Times New Roman"/>
          <w:szCs w:val="24"/>
        </w:rPr>
        <w:t xml:space="preserve"> satisfaction that there has been a bulk reduction in groundwater contamination to asymptotic levels at the time the certificate of completion is issued”.  </w:t>
      </w:r>
    </w:p>
    <w:p w14:paraId="6E93FD6E" w14:textId="77777777" w:rsidR="007F1CD2" w:rsidRDefault="007F1CD2" w:rsidP="00A5121D">
      <w:pPr>
        <w:pStyle w:val="ListParagraph"/>
        <w:spacing w:after="0"/>
        <w:ind w:left="1080"/>
        <w:rPr>
          <w:rFonts w:cs="Times New Roman"/>
          <w:szCs w:val="24"/>
        </w:rPr>
      </w:pPr>
    </w:p>
    <w:p w14:paraId="70F68AA0" w14:textId="3CCA77EB" w:rsidR="007F1CD2" w:rsidRDefault="00E02184" w:rsidP="00A5121D">
      <w:pPr>
        <w:pStyle w:val="ListParagraph"/>
        <w:spacing w:after="0"/>
        <w:ind w:left="1080"/>
        <w:rPr>
          <w:rFonts w:cs="Times New Roman"/>
          <w:szCs w:val="24"/>
        </w:rPr>
      </w:pPr>
      <w:r w:rsidRPr="00DC1D53">
        <w:rPr>
          <w:rFonts w:cs="Times New Roman"/>
          <w:szCs w:val="24"/>
        </w:rPr>
        <w:t xml:space="preserve">DEC’s proposed language converts a valid Track 1 remedy into a Track 2 remedy if there is any residual groundwater contamination, which will discourage the implementation of Track 1 remedies and is contrary to the overall intent of the program to achieve a permanent remedy as stated in ECL § 27-1403.  Instead, this regulation should define what it means </w:t>
      </w:r>
      <w:r w:rsidRPr="003366CE">
        <w:rPr>
          <w:rFonts w:cs="Times New Roman"/>
          <w:bCs/>
          <w:szCs w:val="24"/>
        </w:rPr>
        <w:t>to</w:t>
      </w:r>
      <w:r w:rsidRPr="00DC1D53">
        <w:rPr>
          <w:rFonts w:cs="Times New Roman"/>
          <w:szCs w:val="24"/>
        </w:rPr>
        <w:t xml:space="preserve"> achieve asymptotic conditions since it is </w:t>
      </w:r>
      <w:r w:rsidRPr="00DC1D53">
        <w:rPr>
          <w:rFonts w:cs="Times New Roman"/>
          <w:szCs w:val="24"/>
        </w:rPr>
        <w:lastRenderedPageBreak/>
        <w:t>rarely possible to achieve drinking water standards in an urban environment.  Moreover, there is no mechanism in the Tax Law to give a party additional tax credits years later if they are earned after a party’s cleanup status changes from a Track 2 to a Track 1.  The Tax Law would have to be amended to accommodate this regulation, and</w:t>
      </w:r>
      <w:r w:rsidR="00ED38F6">
        <w:rPr>
          <w:rFonts w:cs="Times New Roman"/>
          <w:szCs w:val="24"/>
        </w:rPr>
        <w:t xml:space="preserve"> there is no guarantee that</w:t>
      </w:r>
      <w:r w:rsidRPr="00DC1D53">
        <w:rPr>
          <w:rFonts w:cs="Times New Roman"/>
          <w:szCs w:val="24"/>
        </w:rPr>
        <w:t xml:space="preserve"> </w:t>
      </w:r>
      <w:r w:rsidR="006869E0">
        <w:rPr>
          <w:rFonts w:cs="Times New Roman"/>
          <w:szCs w:val="24"/>
        </w:rPr>
        <w:t xml:space="preserve">a statutory amendment can </w:t>
      </w:r>
      <w:r w:rsidR="00ED38F6">
        <w:rPr>
          <w:rFonts w:cs="Times New Roman"/>
          <w:szCs w:val="24"/>
        </w:rPr>
        <w:t>be accomplished</w:t>
      </w:r>
      <w:r w:rsidRPr="00DC1D53">
        <w:rPr>
          <w:rFonts w:cs="Times New Roman"/>
          <w:szCs w:val="24"/>
        </w:rPr>
        <w:t xml:space="preserve">. </w:t>
      </w:r>
      <w:r w:rsidR="00ED38F6">
        <w:rPr>
          <w:rFonts w:cs="Times New Roman"/>
          <w:szCs w:val="24"/>
        </w:rPr>
        <w:t xml:space="preserve"> The Department of </w:t>
      </w:r>
      <w:r w:rsidRPr="00DC1D53">
        <w:rPr>
          <w:rFonts w:cs="Times New Roman"/>
          <w:szCs w:val="24"/>
        </w:rPr>
        <w:t xml:space="preserve">Tax and Finance can claw back credits far more easily under the current conditional Track 1 approach than </w:t>
      </w:r>
      <w:r w:rsidR="006869E0">
        <w:rPr>
          <w:rFonts w:cs="Times New Roman"/>
          <w:szCs w:val="24"/>
        </w:rPr>
        <w:t>it can</w:t>
      </w:r>
      <w:r w:rsidRPr="00DC1D53">
        <w:rPr>
          <w:rFonts w:cs="Times New Roman"/>
          <w:szCs w:val="24"/>
        </w:rPr>
        <w:t xml:space="preserve"> retroactively authorize additional tax credits</w:t>
      </w:r>
      <w:r w:rsidR="006869E0">
        <w:rPr>
          <w:rFonts w:cs="Times New Roman"/>
          <w:szCs w:val="24"/>
        </w:rPr>
        <w:t>, since it does not currently have this statutory authority</w:t>
      </w:r>
      <w:r w:rsidRPr="00DC1D53">
        <w:rPr>
          <w:rFonts w:cs="Times New Roman"/>
          <w:szCs w:val="24"/>
        </w:rPr>
        <w:t xml:space="preserve">.  The conditional Track 1 approach has been used by the Department for </w:t>
      </w:r>
      <w:proofErr w:type="gramStart"/>
      <w:r w:rsidRPr="00DC1D53">
        <w:rPr>
          <w:rFonts w:cs="Times New Roman"/>
          <w:szCs w:val="24"/>
        </w:rPr>
        <w:t>a number of</w:t>
      </w:r>
      <w:proofErr w:type="gramEnd"/>
      <w:r w:rsidRPr="00DC1D53">
        <w:rPr>
          <w:rFonts w:cs="Times New Roman"/>
          <w:szCs w:val="24"/>
        </w:rPr>
        <w:t xml:space="preserve"> years without issue and should continue to be implemented.  This approach should be codified in regulations.</w:t>
      </w:r>
    </w:p>
    <w:p w14:paraId="1DEAED5B" w14:textId="77777777" w:rsidR="007F1CD2" w:rsidRDefault="007F1CD2" w:rsidP="00A5121D">
      <w:pPr>
        <w:pStyle w:val="ListParagraph"/>
        <w:spacing w:after="0"/>
        <w:ind w:left="1080"/>
        <w:rPr>
          <w:rFonts w:cs="Times New Roman"/>
          <w:szCs w:val="24"/>
        </w:rPr>
      </w:pPr>
    </w:p>
    <w:p w14:paraId="69BB55E4" w14:textId="77777777" w:rsidR="007F1CD2" w:rsidRDefault="00E02184" w:rsidP="00A5121D">
      <w:pPr>
        <w:pStyle w:val="ListParagraph"/>
        <w:spacing w:after="0"/>
        <w:ind w:left="1080"/>
        <w:rPr>
          <w:rFonts w:cs="Times New Roman"/>
          <w:szCs w:val="24"/>
        </w:rPr>
      </w:pPr>
      <w:r w:rsidRPr="00DC1D53">
        <w:rPr>
          <w:rFonts w:cs="Times New Roman"/>
          <w:szCs w:val="24"/>
        </w:rPr>
        <w:t xml:space="preserve">At a minimum, the Department’s proposed regulation should have a phase-in period so that it does not apply to sites that have already been accepted into the BCP and for which remedial parties are implementing (or about to implement) conditional Track 1 </w:t>
      </w:r>
      <w:r w:rsidRPr="003366CE">
        <w:rPr>
          <w:rFonts w:cs="Times New Roman"/>
          <w:bCs/>
          <w:szCs w:val="24"/>
        </w:rPr>
        <w:t>remedial</w:t>
      </w:r>
      <w:r w:rsidRPr="00DC1D53">
        <w:rPr>
          <w:rFonts w:cs="Times New Roman"/>
          <w:szCs w:val="24"/>
        </w:rPr>
        <w:t xml:space="preserve"> programs.  The remedial parties at such sites have made significant investments in their respective projects.  They are implementing remedies pursuant to Decision Documents issued by the Department and Work Plans approved by the Department.  The Department’s proposal, if enacted, could cause such parties to suffer </w:t>
      </w:r>
      <w:r w:rsidRPr="003366CE">
        <w:rPr>
          <w:rFonts w:cs="Times New Roman"/>
          <w:bCs/>
          <w:szCs w:val="24"/>
        </w:rPr>
        <w:t>significant</w:t>
      </w:r>
      <w:r w:rsidRPr="00DC1D53">
        <w:rPr>
          <w:rFonts w:cs="Times New Roman"/>
          <w:szCs w:val="24"/>
        </w:rPr>
        <w:t xml:space="preserve"> and unjustified economic harm.</w:t>
      </w:r>
    </w:p>
    <w:p w14:paraId="4E52FB42" w14:textId="77777777" w:rsidR="007F1CD2" w:rsidRDefault="00A86D7D" w:rsidP="00A5121D">
      <w:pPr>
        <w:pStyle w:val="ListParagraph"/>
        <w:spacing w:after="0"/>
        <w:ind w:left="1080"/>
        <w:rPr>
          <w:rFonts w:eastAsia="Times New Roman" w:cs="Times New Roman"/>
          <w:szCs w:val="24"/>
        </w:rPr>
      </w:pPr>
      <w:r>
        <w:rPr>
          <w:rFonts w:cs="Times New Roman"/>
          <w:szCs w:val="24"/>
        </w:rPr>
        <w:t xml:space="preserve">Additionally, the proposal provides that </w:t>
      </w:r>
      <w:proofErr w:type="gramStart"/>
      <w:r w:rsidR="00AF6C45" w:rsidRPr="00DC1D53">
        <w:rPr>
          <w:rFonts w:eastAsia="Times New Roman" w:cs="Times New Roman"/>
          <w:szCs w:val="24"/>
        </w:rPr>
        <w:t>in order to</w:t>
      </w:r>
      <w:proofErr w:type="gramEnd"/>
      <w:r w:rsidR="00AF6C45" w:rsidRPr="00DC1D53">
        <w:rPr>
          <w:rFonts w:eastAsia="Times New Roman" w:cs="Times New Roman"/>
          <w:szCs w:val="24"/>
        </w:rPr>
        <w:t xml:space="preserve"> </w:t>
      </w:r>
      <w:r>
        <w:rPr>
          <w:rFonts w:eastAsia="Times New Roman" w:cs="Times New Roman"/>
          <w:szCs w:val="24"/>
        </w:rPr>
        <w:t xml:space="preserve">obtain </w:t>
      </w:r>
      <w:r w:rsidR="00AF6C45" w:rsidRPr="00DC1D53">
        <w:rPr>
          <w:rFonts w:eastAsia="Times New Roman" w:cs="Times New Roman"/>
          <w:szCs w:val="24"/>
        </w:rPr>
        <w:t>a</w:t>
      </w:r>
      <w:r>
        <w:rPr>
          <w:rFonts w:eastAsia="Times New Roman" w:cs="Times New Roman"/>
          <w:szCs w:val="24"/>
        </w:rPr>
        <w:t xml:space="preserve"> </w:t>
      </w:r>
      <w:r w:rsidR="00AF6C45" w:rsidRPr="00DC1D53">
        <w:rPr>
          <w:rFonts w:eastAsia="Times New Roman" w:cs="Times New Roman"/>
          <w:szCs w:val="24"/>
        </w:rPr>
        <w:t>Track 1</w:t>
      </w:r>
      <w:r>
        <w:rPr>
          <w:rFonts w:eastAsia="Times New Roman" w:cs="Times New Roman"/>
          <w:szCs w:val="24"/>
        </w:rPr>
        <w:t xml:space="preserve"> cleanup</w:t>
      </w:r>
      <w:r w:rsidR="00AF6C45" w:rsidRPr="00DC1D53">
        <w:rPr>
          <w:rFonts w:eastAsia="Times New Roman" w:cs="Times New Roman"/>
          <w:szCs w:val="24"/>
        </w:rPr>
        <w:t>, the</w:t>
      </w:r>
      <w:r>
        <w:rPr>
          <w:rFonts w:eastAsia="Times New Roman" w:cs="Times New Roman"/>
          <w:szCs w:val="24"/>
        </w:rPr>
        <w:t xml:space="preserve">re must be a “bulk reduction in </w:t>
      </w:r>
      <w:r w:rsidR="00AF6C45" w:rsidRPr="00DC1D53">
        <w:rPr>
          <w:rFonts w:eastAsia="Times New Roman" w:cs="Times New Roman"/>
          <w:szCs w:val="24"/>
        </w:rPr>
        <w:t xml:space="preserve">groundwater </w:t>
      </w:r>
      <w:r>
        <w:rPr>
          <w:rFonts w:eastAsia="Times New Roman" w:cs="Times New Roman"/>
          <w:szCs w:val="24"/>
        </w:rPr>
        <w:t xml:space="preserve">contamination to asymptotic levels </w:t>
      </w:r>
      <w:r w:rsidR="00AF6C45" w:rsidRPr="00A86D7D">
        <w:rPr>
          <w:rFonts w:eastAsia="Times New Roman" w:cs="Times New Roman"/>
          <w:i/>
          <w:szCs w:val="24"/>
        </w:rPr>
        <w:t xml:space="preserve">at the time the </w:t>
      </w:r>
      <w:r w:rsidRPr="00A86D7D">
        <w:rPr>
          <w:rFonts w:eastAsia="Times New Roman" w:cs="Times New Roman"/>
          <w:i/>
          <w:szCs w:val="24"/>
        </w:rPr>
        <w:t>c</w:t>
      </w:r>
      <w:r w:rsidR="00AF6C45" w:rsidRPr="00A86D7D">
        <w:rPr>
          <w:rFonts w:eastAsia="Times New Roman" w:cs="Times New Roman"/>
          <w:i/>
          <w:szCs w:val="24"/>
        </w:rPr>
        <w:t xml:space="preserve">ertificate of </w:t>
      </w:r>
      <w:r w:rsidRPr="00A86D7D">
        <w:rPr>
          <w:rFonts w:eastAsia="Times New Roman" w:cs="Times New Roman"/>
          <w:i/>
          <w:szCs w:val="24"/>
        </w:rPr>
        <w:t>c</w:t>
      </w:r>
      <w:r w:rsidR="00AF6C45" w:rsidRPr="00A86D7D">
        <w:rPr>
          <w:rFonts w:eastAsia="Times New Roman" w:cs="Times New Roman"/>
          <w:i/>
          <w:szCs w:val="24"/>
        </w:rPr>
        <w:t xml:space="preserve">ompletion </w:t>
      </w:r>
      <w:r w:rsidRPr="00A86D7D">
        <w:rPr>
          <w:rFonts w:eastAsia="Times New Roman" w:cs="Times New Roman"/>
          <w:i/>
          <w:szCs w:val="24"/>
        </w:rPr>
        <w:t>is issued</w:t>
      </w:r>
      <w:r>
        <w:rPr>
          <w:rFonts w:eastAsia="Times New Roman" w:cs="Times New Roman"/>
          <w:szCs w:val="24"/>
        </w:rPr>
        <w:t>.”  (</w:t>
      </w:r>
      <w:r w:rsidRPr="003366CE">
        <w:rPr>
          <w:rFonts w:cs="Times New Roman"/>
          <w:bCs/>
          <w:szCs w:val="24"/>
        </w:rPr>
        <w:t>Emphasis</w:t>
      </w:r>
      <w:r>
        <w:rPr>
          <w:rFonts w:eastAsia="Times New Roman" w:cs="Times New Roman"/>
          <w:szCs w:val="24"/>
        </w:rPr>
        <w:t xml:space="preserve"> added.)  That </w:t>
      </w:r>
      <w:r w:rsidR="00AF6C45" w:rsidRPr="00DC1D53">
        <w:rPr>
          <w:rFonts w:eastAsia="Times New Roman" w:cs="Times New Roman"/>
          <w:szCs w:val="24"/>
        </w:rPr>
        <w:t xml:space="preserve">is not consistent with the statute, which does not require achievement of the final groundwater remedy when the COC is </w:t>
      </w:r>
      <w:proofErr w:type="gramStart"/>
      <w:r w:rsidR="00AF6C45" w:rsidRPr="00DC1D53">
        <w:rPr>
          <w:rFonts w:eastAsia="Times New Roman" w:cs="Times New Roman"/>
          <w:szCs w:val="24"/>
        </w:rPr>
        <w:t>issued</w:t>
      </w:r>
      <w:proofErr w:type="gramEnd"/>
      <w:r w:rsidR="00AF6C45" w:rsidRPr="00DC1D53">
        <w:rPr>
          <w:rFonts w:eastAsia="Times New Roman" w:cs="Times New Roman"/>
          <w:szCs w:val="24"/>
        </w:rPr>
        <w:t xml:space="preserve"> and which does not include a timeframe in which to achieve the groundwater remedial goals.  </w:t>
      </w:r>
      <w:r>
        <w:rPr>
          <w:rFonts w:eastAsia="Times New Roman" w:cs="Times New Roman"/>
          <w:i/>
          <w:szCs w:val="24"/>
        </w:rPr>
        <w:t xml:space="preserve">See </w:t>
      </w:r>
      <w:r>
        <w:rPr>
          <w:rFonts w:eastAsia="Times New Roman" w:cs="Times New Roman"/>
          <w:szCs w:val="24"/>
        </w:rPr>
        <w:t xml:space="preserve">ECL § 27-1415(4).  </w:t>
      </w:r>
    </w:p>
    <w:p w14:paraId="5C9C20F2" w14:textId="77777777" w:rsidR="007F1CD2" w:rsidRDefault="007F1CD2" w:rsidP="00A5121D">
      <w:pPr>
        <w:pStyle w:val="ListParagraph"/>
        <w:spacing w:after="0"/>
        <w:ind w:left="1080"/>
        <w:rPr>
          <w:rFonts w:eastAsia="Times New Roman" w:cs="Times New Roman"/>
          <w:szCs w:val="24"/>
        </w:rPr>
      </w:pPr>
    </w:p>
    <w:p w14:paraId="4EF21EDA" w14:textId="27D389F2" w:rsidR="007F1CD2" w:rsidRDefault="00A86D7D" w:rsidP="00A5121D">
      <w:pPr>
        <w:pStyle w:val="ListParagraph"/>
        <w:spacing w:after="0"/>
        <w:ind w:left="1080"/>
        <w:rPr>
          <w:rFonts w:cs="Times New Roman"/>
          <w:bCs/>
          <w:szCs w:val="24"/>
        </w:rPr>
      </w:pPr>
      <w:r>
        <w:rPr>
          <w:rFonts w:eastAsia="Times New Roman" w:cs="Times New Roman"/>
          <w:szCs w:val="24"/>
        </w:rPr>
        <w:t xml:space="preserve">Further, proposed </w:t>
      </w:r>
      <w:r w:rsidR="00AF6C45" w:rsidRPr="00DC1D53">
        <w:rPr>
          <w:rFonts w:eastAsia="Times New Roman" w:cs="Times New Roman"/>
          <w:szCs w:val="24"/>
        </w:rPr>
        <w:t>§</w:t>
      </w:r>
      <w:r>
        <w:rPr>
          <w:rFonts w:eastAsia="Times New Roman" w:cs="Times New Roman"/>
          <w:szCs w:val="24"/>
        </w:rPr>
        <w:t xml:space="preserve"> </w:t>
      </w:r>
      <w:r w:rsidR="00AF6C45" w:rsidRPr="00DC1D53">
        <w:rPr>
          <w:rFonts w:eastAsia="Times New Roman" w:cs="Times New Roman"/>
          <w:szCs w:val="24"/>
        </w:rPr>
        <w:t>375-3.8(e)(1)(iii)(</w:t>
      </w:r>
      <w:r w:rsidR="00AF6C45" w:rsidRPr="00A86D7D">
        <w:rPr>
          <w:rFonts w:eastAsia="Times New Roman" w:cs="Times New Roman"/>
          <w:iCs/>
          <w:szCs w:val="24"/>
        </w:rPr>
        <w:t>c</w:t>
      </w:r>
      <w:r w:rsidR="00AF6C45" w:rsidRPr="00DC1D53">
        <w:rPr>
          <w:rFonts w:eastAsia="Times New Roman" w:cs="Times New Roman"/>
          <w:szCs w:val="24"/>
        </w:rPr>
        <w:t xml:space="preserve">) </w:t>
      </w:r>
      <w:r>
        <w:rPr>
          <w:rFonts w:eastAsia="Times New Roman" w:cs="Times New Roman"/>
          <w:szCs w:val="24"/>
        </w:rPr>
        <w:t xml:space="preserve">provides that a conditional Track 1 cleanup cannot be obtained if there are </w:t>
      </w:r>
      <w:proofErr w:type="gramStart"/>
      <w:r>
        <w:rPr>
          <w:rFonts w:eastAsia="Times New Roman" w:cs="Times New Roman"/>
          <w:szCs w:val="24"/>
        </w:rPr>
        <w:t>institutional</w:t>
      </w:r>
      <w:proofErr w:type="gramEnd"/>
      <w:r>
        <w:rPr>
          <w:rFonts w:eastAsia="Times New Roman" w:cs="Times New Roman"/>
          <w:szCs w:val="24"/>
        </w:rPr>
        <w:t xml:space="preserve"> or engineering controls being used to achieve remedial objecti</w:t>
      </w:r>
      <w:r w:rsidR="006869E0">
        <w:rPr>
          <w:rFonts w:eastAsia="Times New Roman" w:cs="Times New Roman"/>
          <w:szCs w:val="24"/>
        </w:rPr>
        <w:t>ve</w:t>
      </w:r>
      <w:r>
        <w:rPr>
          <w:rFonts w:eastAsia="Times New Roman" w:cs="Times New Roman"/>
          <w:szCs w:val="24"/>
        </w:rPr>
        <w:t>s for soil vapor.  This proposal also is inconsistent with ECL § 27-1415(4)</w:t>
      </w:r>
      <w:r w:rsidR="006C36B5">
        <w:rPr>
          <w:rFonts w:eastAsia="Times New Roman" w:cs="Times New Roman"/>
          <w:szCs w:val="24"/>
        </w:rPr>
        <w:t xml:space="preserve">.  </w:t>
      </w:r>
      <w:r w:rsidR="006C36B5">
        <w:rPr>
          <w:rFonts w:cs="Times New Roman"/>
          <w:bCs/>
          <w:szCs w:val="24"/>
        </w:rPr>
        <w:t>I</w:t>
      </w:r>
      <w:r w:rsidR="00AF6C45" w:rsidRPr="00DC1D53">
        <w:rPr>
          <w:rFonts w:cs="Times New Roman"/>
          <w:bCs/>
          <w:szCs w:val="24"/>
        </w:rPr>
        <w:t>n an urban environment in a brownfield neighborhood, a party who has implemented a Track 1 soil and groundwa</w:t>
      </w:r>
      <w:r w:rsidR="0035264F">
        <w:rPr>
          <w:rFonts w:cs="Times New Roman"/>
          <w:bCs/>
          <w:szCs w:val="24"/>
        </w:rPr>
        <w:t xml:space="preserve">ter remedy should not lose </w:t>
      </w:r>
      <w:r w:rsidR="006C36B5">
        <w:rPr>
          <w:rFonts w:cs="Times New Roman"/>
          <w:bCs/>
          <w:szCs w:val="24"/>
        </w:rPr>
        <w:t xml:space="preserve">a Track 1 cleanup </w:t>
      </w:r>
      <w:r w:rsidR="00AF6C45" w:rsidRPr="00DC1D53">
        <w:rPr>
          <w:rFonts w:cs="Times New Roman"/>
          <w:bCs/>
          <w:szCs w:val="24"/>
        </w:rPr>
        <w:t xml:space="preserve">because of off-site area-wide </w:t>
      </w:r>
      <w:r w:rsidR="006C36B5">
        <w:rPr>
          <w:rFonts w:cs="Times New Roman"/>
          <w:bCs/>
          <w:szCs w:val="24"/>
        </w:rPr>
        <w:t xml:space="preserve">soil vapor. </w:t>
      </w:r>
      <w:r w:rsidR="00AF6C45" w:rsidRPr="00DC1D53">
        <w:rPr>
          <w:rFonts w:cs="Times New Roman"/>
          <w:bCs/>
          <w:szCs w:val="24"/>
        </w:rPr>
        <w:t xml:space="preserve"> To the extent</w:t>
      </w:r>
      <w:r w:rsidR="0043575E">
        <w:rPr>
          <w:rFonts w:cs="Times New Roman"/>
          <w:bCs/>
          <w:szCs w:val="24"/>
        </w:rPr>
        <w:t xml:space="preserve"> that</w:t>
      </w:r>
      <w:r w:rsidR="00AF6C45" w:rsidRPr="00DC1D53">
        <w:rPr>
          <w:rFonts w:cs="Times New Roman"/>
          <w:bCs/>
          <w:szCs w:val="24"/>
        </w:rPr>
        <w:t xml:space="preserve"> soil vapor remedial objectives are being added to the </w:t>
      </w:r>
      <w:r w:rsidR="006C36B5">
        <w:rPr>
          <w:rFonts w:cs="Times New Roman"/>
          <w:bCs/>
          <w:szCs w:val="24"/>
        </w:rPr>
        <w:t xml:space="preserve">Department’s </w:t>
      </w:r>
      <w:r w:rsidR="00AF6C45" w:rsidRPr="00DC1D53">
        <w:rPr>
          <w:rFonts w:cs="Times New Roman"/>
          <w:bCs/>
          <w:szCs w:val="24"/>
        </w:rPr>
        <w:t>regulations, if contaminated vapor is emanating onto the site from an off-site source, th</w:t>
      </w:r>
      <w:r w:rsidR="006C36B5">
        <w:rPr>
          <w:rFonts w:cs="Times New Roman"/>
          <w:bCs/>
          <w:szCs w:val="24"/>
        </w:rPr>
        <w:t>ere should be a carve-</w:t>
      </w:r>
      <w:r w:rsidR="00AF6C45" w:rsidRPr="00DC1D53">
        <w:rPr>
          <w:rFonts w:cs="Times New Roman"/>
          <w:bCs/>
          <w:szCs w:val="24"/>
        </w:rPr>
        <w:t xml:space="preserve">out and the party who has otherwise achieved </w:t>
      </w:r>
      <w:r w:rsidR="0035264F">
        <w:rPr>
          <w:rFonts w:cs="Times New Roman"/>
          <w:bCs/>
          <w:szCs w:val="24"/>
        </w:rPr>
        <w:t xml:space="preserve">a </w:t>
      </w:r>
      <w:r w:rsidR="00AF6C45" w:rsidRPr="00DC1D53">
        <w:rPr>
          <w:rFonts w:cs="Times New Roman"/>
          <w:bCs/>
          <w:szCs w:val="24"/>
        </w:rPr>
        <w:t xml:space="preserve">Track 1 </w:t>
      </w:r>
      <w:r w:rsidR="0035264F">
        <w:rPr>
          <w:rFonts w:cs="Times New Roman"/>
          <w:bCs/>
          <w:szCs w:val="24"/>
        </w:rPr>
        <w:t xml:space="preserve">cleanup </w:t>
      </w:r>
      <w:r w:rsidR="00AF6C45" w:rsidRPr="00DC1D53">
        <w:rPr>
          <w:rFonts w:cs="Times New Roman"/>
          <w:bCs/>
          <w:szCs w:val="24"/>
        </w:rPr>
        <w:t xml:space="preserve">should be able to keep their Track 1 </w:t>
      </w:r>
      <w:r w:rsidR="0035264F">
        <w:rPr>
          <w:rFonts w:cs="Times New Roman"/>
          <w:bCs/>
          <w:szCs w:val="24"/>
        </w:rPr>
        <w:t>status</w:t>
      </w:r>
      <w:r w:rsidR="00AF6C45" w:rsidRPr="00DC1D53">
        <w:rPr>
          <w:rFonts w:cs="Times New Roman"/>
          <w:bCs/>
          <w:szCs w:val="24"/>
        </w:rPr>
        <w:t xml:space="preserve"> even if on-site vapor mitigation is required to address an off-site source of vapors impacting the site.   </w:t>
      </w:r>
    </w:p>
    <w:p w14:paraId="5D9A4727" w14:textId="77777777" w:rsidR="007F1CD2" w:rsidRDefault="007F1CD2" w:rsidP="00A5121D">
      <w:pPr>
        <w:pStyle w:val="ListParagraph"/>
        <w:spacing w:after="0"/>
        <w:ind w:left="1080"/>
        <w:rPr>
          <w:rFonts w:cs="Times New Roman"/>
          <w:bCs/>
          <w:szCs w:val="24"/>
        </w:rPr>
      </w:pPr>
    </w:p>
    <w:p w14:paraId="5DD49E4E" w14:textId="257C7C2D" w:rsidR="007F1CD2" w:rsidRDefault="00AF6C45" w:rsidP="00A5121D">
      <w:pPr>
        <w:pStyle w:val="ListParagraph"/>
        <w:spacing w:after="0"/>
        <w:ind w:left="1080"/>
        <w:rPr>
          <w:rFonts w:cs="Times New Roman"/>
          <w:bCs/>
          <w:szCs w:val="24"/>
        </w:rPr>
      </w:pPr>
      <w:r w:rsidRPr="00DC1D53">
        <w:rPr>
          <w:rFonts w:cs="Times New Roman"/>
          <w:bCs/>
          <w:szCs w:val="24"/>
        </w:rPr>
        <w:t xml:space="preserve">In addition, since the overall intent of the BCP program is to achieve a permanent remedy as stated in ECL § 27-1403, </w:t>
      </w:r>
      <w:r w:rsidR="0083353A">
        <w:rPr>
          <w:rFonts w:cs="Times New Roman"/>
          <w:bCs/>
          <w:szCs w:val="24"/>
        </w:rPr>
        <w:t xml:space="preserve">as noted above </w:t>
      </w:r>
      <w:r w:rsidRPr="00DC1D53">
        <w:rPr>
          <w:rFonts w:cs="Times New Roman"/>
          <w:bCs/>
          <w:szCs w:val="24"/>
        </w:rPr>
        <w:t>this regulation should define what it means to achieve asymptotic conditions since it is rarely possible to achieve drinking water standards in an urban environment, and even if achieved, there may still be some on</w:t>
      </w:r>
      <w:r w:rsidR="0043575E">
        <w:rPr>
          <w:rFonts w:cs="Times New Roman"/>
          <w:bCs/>
          <w:szCs w:val="24"/>
        </w:rPr>
        <w:t>-</w:t>
      </w:r>
      <w:r w:rsidRPr="00DC1D53">
        <w:rPr>
          <w:rFonts w:cs="Times New Roman"/>
          <w:bCs/>
          <w:szCs w:val="24"/>
        </w:rPr>
        <w:t xml:space="preserve"> or off-site vapor.  </w:t>
      </w:r>
    </w:p>
    <w:p w14:paraId="22682DF9" w14:textId="77777777" w:rsidR="007F1CD2" w:rsidRDefault="007F1CD2" w:rsidP="00A5121D">
      <w:pPr>
        <w:pStyle w:val="ListParagraph"/>
        <w:spacing w:after="0"/>
        <w:ind w:left="1080"/>
        <w:rPr>
          <w:rFonts w:cs="Times New Roman"/>
          <w:bCs/>
          <w:szCs w:val="24"/>
        </w:rPr>
      </w:pPr>
    </w:p>
    <w:p w14:paraId="09AD4D93" w14:textId="72D2A0B5" w:rsidR="0077418F" w:rsidRPr="007F1CD2" w:rsidRDefault="007A3B0B" w:rsidP="00A5121D">
      <w:pPr>
        <w:pStyle w:val="ListParagraph"/>
        <w:spacing w:after="0"/>
        <w:ind w:left="1080"/>
        <w:rPr>
          <w:rFonts w:cs="Times New Roman"/>
          <w:szCs w:val="24"/>
        </w:rPr>
      </w:pPr>
      <w:r>
        <w:rPr>
          <w:rFonts w:cs="Times New Roman"/>
          <w:bCs/>
          <w:szCs w:val="24"/>
        </w:rPr>
        <w:lastRenderedPageBreak/>
        <w:t>T</w:t>
      </w:r>
      <w:r w:rsidR="008B486D">
        <w:rPr>
          <w:rFonts w:cs="Times New Roman"/>
          <w:bCs/>
          <w:szCs w:val="24"/>
        </w:rPr>
        <w:t>o address the concerns</w:t>
      </w:r>
      <w:r w:rsidR="00603333">
        <w:rPr>
          <w:rFonts w:cs="Times New Roman"/>
          <w:bCs/>
          <w:szCs w:val="24"/>
        </w:rPr>
        <w:t xml:space="preserve"> raised here</w:t>
      </w:r>
      <w:r>
        <w:rPr>
          <w:rFonts w:cs="Times New Roman"/>
          <w:bCs/>
          <w:szCs w:val="24"/>
        </w:rPr>
        <w:t xml:space="preserve">, the Department may want to adopt a media-based approach </w:t>
      </w:r>
      <w:r w:rsidR="00A57B6A">
        <w:rPr>
          <w:rFonts w:cs="Times New Roman"/>
          <w:bCs/>
          <w:szCs w:val="24"/>
        </w:rPr>
        <w:t xml:space="preserve">for determining Track 1 status </w:t>
      </w:r>
      <w:r w:rsidR="00603333">
        <w:rPr>
          <w:rFonts w:cs="Times New Roman"/>
          <w:bCs/>
          <w:szCs w:val="24"/>
        </w:rPr>
        <w:t xml:space="preserve">much like the operable unit </w:t>
      </w:r>
      <w:r w:rsidR="004F0B56">
        <w:rPr>
          <w:rFonts w:cs="Times New Roman"/>
          <w:bCs/>
          <w:szCs w:val="24"/>
        </w:rPr>
        <w:t xml:space="preserve">(OU) </w:t>
      </w:r>
      <w:r w:rsidR="00603333">
        <w:rPr>
          <w:rFonts w:cs="Times New Roman"/>
          <w:bCs/>
          <w:szCs w:val="24"/>
        </w:rPr>
        <w:t>approach frequent</w:t>
      </w:r>
      <w:r w:rsidR="00DC4358">
        <w:rPr>
          <w:rFonts w:cs="Times New Roman"/>
          <w:bCs/>
          <w:szCs w:val="24"/>
        </w:rPr>
        <w:t>ly employed in the federal and S</w:t>
      </w:r>
      <w:r w:rsidR="00603333">
        <w:rPr>
          <w:rFonts w:cs="Times New Roman"/>
          <w:bCs/>
          <w:szCs w:val="24"/>
        </w:rPr>
        <w:t xml:space="preserve">tate </w:t>
      </w:r>
      <w:r w:rsidR="00DC4358">
        <w:rPr>
          <w:rFonts w:cs="Times New Roman"/>
          <w:bCs/>
          <w:szCs w:val="24"/>
        </w:rPr>
        <w:t>S</w:t>
      </w:r>
      <w:r w:rsidR="00603333">
        <w:rPr>
          <w:rFonts w:cs="Times New Roman"/>
          <w:bCs/>
          <w:szCs w:val="24"/>
        </w:rPr>
        <w:t xml:space="preserve">uperfund approach. </w:t>
      </w:r>
      <w:r w:rsidR="0083353A">
        <w:rPr>
          <w:rFonts w:cs="Times New Roman"/>
          <w:bCs/>
          <w:szCs w:val="24"/>
        </w:rPr>
        <w:t xml:space="preserve"> </w:t>
      </w:r>
      <w:r w:rsidR="004F0B56">
        <w:rPr>
          <w:rFonts w:cs="Times New Roman"/>
          <w:bCs/>
          <w:szCs w:val="24"/>
        </w:rPr>
        <w:t xml:space="preserve">Under the </w:t>
      </w:r>
      <w:r w:rsidR="00DC4358">
        <w:rPr>
          <w:rFonts w:cs="Times New Roman"/>
          <w:bCs/>
          <w:szCs w:val="24"/>
        </w:rPr>
        <w:t>S</w:t>
      </w:r>
      <w:r w:rsidR="004F0B56">
        <w:rPr>
          <w:rFonts w:cs="Times New Roman"/>
          <w:bCs/>
          <w:szCs w:val="24"/>
        </w:rPr>
        <w:t>uperfund program</w:t>
      </w:r>
      <w:r w:rsidR="00DC4358">
        <w:rPr>
          <w:rFonts w:cs="Times New Roman"/>
          <w:bCs/>
          <w:szCs w:val="24"/>
        </w:rPr>
        <w:t>s</w:t>
      </w:r>
      <w:r w:rsidR="004F0B56">
        <w:rPr>
          <w:rFonts w:cs="Times New Roman"/>
          <w:bCs/>
          <w:szCs w:val="24"/>
        </w:rPr>
        <w:t xml:space="preserve">, sites are often </w:t>
      </w:r>
      <w:r w:rsidR="00A26EE9">
        <w:rPr>
          <w:rFonts w:cs="Times New Roman"/>
          <w:bCs/>
          <w:szCs w:val="24"/>
        </w:rPr>
        <w:t xml:space="preserve">broken into </w:t>
      </w:r>
      <w:r w:rsidR="004F0B56">
        <w:rPr>
          <w:rFonts w:cs="Times New Roman"/>
          <w:bCs/>
          <w:szCs w:val="24"/>
        </w:rPr>
        <w:t>OU</w:t>
      </w:r>
      <w:r w:rsidR="00DC4358">
        <w:rPr>
          <w:rFonts w:cs="Times New Roman"/>
          <w:bCs/>
          <w:szCs w:val="24"/>
        </w:rPr>
        <w:t>s</w:t>
      </w:r>
      <w:r w:rsidR="00A26EE9">
        <w:rPr>
          <w:rFonts w:cs="Times New Roman"/>
          <w:bCs/>
          <w:szCs w:val="24"/>
        </w:rPr>
        <w:t xml:space="preserve"> based on media. </w:t>
      </w:r>
      <w:r w:rsidR="00DC4358">
        <w:rPr>
          <w:rFonts w:cs="Times New Roman"/>
          <w:bCs/>
          <w:szCs w:val="24"/>
        </w:rPr>
        <w:t xml:space="preserve"> </w:t>
      </w:r>
      <w:r w:rsidR="00A57B6A">
        <w:rPr>
          <w:rFonts w:cs="Times New Roman"/>
          <w:bCs/>
          <w:szCs w:val="24"/>
        </w:rPr>
        <w:t xml:space="preserve">Applying this approach to the BCP, </w:t>
      </w:r>
      <w:r w:rsidR="00807233">
        <w:rPr>
          <w:rFonts w:cs="Times New Roman"/>
          <w:bCs/>
          <w:szCs w:val="24"/>
        </w:rPr>
        <w:t>if a</w:t>
      </w:r>
      <w:r w:rsidR="005370F3">
        <w:rPr>
          <w:rFonts w:cs="Times New Roman"/>
          <w:bCs/>
          <w:szCs w:val="24"/>
        </w:rPr>
        <w:t xml:space="preserve"> soil cleanup achieves the Track 1 SCOs, the applica</w:t>
      </w:r>
      <w:r w:rsidR="00DC4358">
        <w:rPr>
          <w:rFonts w:cs="Times New Roman"/>
          <w:bCs/>
          <w:szCs w:val="24"/>
        </w:rPr>
        <w:t>nt would be able to qualify for T</w:t>
      </w:r>
      <w:r w:rsidR="005370F3">
        <w:rPr>
          <w:rFonts w:cs="Times New Roman"/>
          <w:bCs/>
          <w:szCs w:val="24"/>
        </w:rPr>
        <w:t xml:space="preserve">rack 1 site preparation tax credit </w:t>
      </w:r>
      <w:r w:rsidR="00532CFA">
        <w:rPr>
          <w:rFonts w:cs="Times New Roman"/>
          <w:bCs/>
          <w:szCs w:val="24"/>
        </w:rPr>
        <w:t xml:space="preserve">(i.e., 50%) </w:t>
      </w:r>
      <w:r w:rsidR="00937DF4">
        <w:rPr>
          <w:rFonts w:cs="Times New Roman"/>
          <w:bCs/>
          <w:szCs w:val="24"/>
        </w:rPr>
        <w:t xml:space="preserve">for soil remediation </w:t>
      </w:r>
      <w:r w:rsidR="00532CFA">
        <w:rPr>
          <w:rFonts w:cs="Times New Roman"/>
          <w:bCs/>
          <w:szCs w:val="24"/>
        </w:rPr>
        <w:t>but qualify for a different cleanup track for groundwater-related</w:t>
      </w:r>
      <w:r w:rsidR="006869E0">
        <w:rPr>
          <w:rFonts w:cs="Times New Roman"/>
          <w:bCs/>
          <w:szCs w:val="24"/>
        </w:rPr>
        <w:t xml:space="preserve"> or soil vapor-related</w:t>
      </w:r>
      <w:r w:rsidR="00532CFA">
        <w:rPr>
          <w:rFonts w:cs="Times New Roman"/>
          <w:bCs/>
          <w:szCs w:val="24"/>
        </w:rPr>
        <w:t xml:space="preserve"> costs. </w:t>
      </w:r>
    </w:p>
    <w:p w14:paraId="2B9F306F" w14:textId="77777777" w:rsidR="00943CBE" w:rsidRDefault="00943CBE" w:rsidP="00A5121D">
      <w:pPr>
        <w:spacing w:after="0"/>
        <w:jc w:val="both"/>
        <w:rPr>
          <w:rFonts w:cs="Times New Roman"/>
          <w:bCs/>
          <w:szCs w:val="24"/>
        </w:rPr>
      </w:pPr>
    </w:p>
    <w:p w14:paraId="1D9046DA" w14:textId="54494FD9" w:rsidR="007F1CD2" w:rsidRDefault="003E1B3C" w:rsidP="00A5121D">
      <w:pPr>
        <w:pStyle w:val="ListParagraph"/>
        <w:numPr>
          <w:ilvl w:val="0"/>
          <w:numId w:val="17"/>
        </w:numPr>
        <w:spacing w:after="0"/>
        <w:rPr>
          <w:rFonts w:cs="Times New Roman"/>
          <w:szCs w:val="24"/>
        </w:rPr>
      </w:pPr>
      <w:r w:rsidRPr="007F1CD2">
        <w:rPr>
          <w:rFonts w:cs="Times New Roman"/>
          <w:b/>
          <w:szCs w:val="24"/>
          <w:u w:val="single"/>
        </w:rPr>
        <w:t xml:space="preserve">§ </w:t>
      </w:r>
      <w:r w:rsidR="00E16B94" w:rsidRPr="007F1CD2">
        <w:rPr>
          <w:rFonts w:cs="Times New Roman"/>
          <w:b/>
          <w:szCs w:val="24"/>
          <w:u w:val="single"/>
        </w:rPr>
        <w:t>375-3.8(e)</w:t>
      </w:r>
      <w:r w:rsidR="0035264F" w:rsidRPr="007F1CD2">
        <w:rPr>
          <w:rFonts w:cs="Times New Roman"/>
          <w:b/>
          <w:szCs w:val="24"/>
          <w:u w:val="single"/>
        </w:rPr>
        <w:t>(2): Changes to Track 2 Cleanup Requirements</w:t>
      </w:r>
      <w:r w:rsidR="00C06537">
        <w:rPr>
          <w:rFonts w:cs="Times New Roman"/>
          <w:b/>
          <w:szCs w:val="24"/>
          <w:u w:val="single"/>
        </w:rPr>
        <w:t xml:space="preserve"> </w:t>
      </w:r>
      <w:proofErr w:type="gramStart"/>
      <w:r w:rsidR="00C06537">
        <w:rPr>
          <w:rFonts w:cs="Times New Roman"/>
          <w:b/>
          <w:szCs w:val="24"/>
          <w:u w:val="single"/>
        </w:rPr>
        <w:t>-</w:t>
      </w:r>
      <w:r w:rsidR="007F1CD2" w:rsidRPr="007F1CD2">
        <w:rPr>
          <w:rFonts w:cs="Times New Roman"/>
          <w:bCs/>
          <w:szCs w:val="24"/>
        </w:rPr>
        <w:t xml:space="preserve"> </w:t>
      </w:r>
      <w:r w:rsidR="00943CBE">
        <w:rPr>
          <w:rFonts w:cs="Times New Roman"/>
          <w:bCs/>
          <w:szCs w:val="24"/>
        </w:rPr>
        <w:t xml:space="preserve"> </w:t>
      </w:r>
      <w:r w:rsidR="0043575E" w:rsidRPr="007F1CD2">
        <w:rPr>
          <w:rFonts w:cs="Times New Roman"/>
          <w:szCs w:val="24"/>
        </w:rPr>
        <w:t>A</w:t>
      </w:r>
      <w:proofErr w:type="gramEnd"/>
      <w:r w:rsidR="0043575E" w:rsidRPr="007F1CD2">
        <w:rPr>
          <w:rFonts w:cs="Times New Roman"/>
          <w:szCs w:val="24"/>
        </w:rPr>
        <w:t xml:space="preserve"> party currently </w:t>
      </w:r>
      <w:r w:rsidR="00E16B94" w:rsidRPr="007F1CD2">
        <w:rPr>
          <w:rFonts w:cs="Times New Roman"/>
          <w:szCs w:val="24"/>
        </w:rPr>
        <w:t xml:space="preserve">has to demonstrate achievement </w:t>
      </w:r>
      <w:r w:rsidR="00C75044" w:rsidRPr="007F1CD2">
        <w:rPr>
          <w:rFonts w:cs="Times New Roman"/>
          <w:szCs w:val="24"/>
        </w:rPr>
        <w:t xml:space="preserve">of a Track 2 cleanup </w:t>
      </w:r>
      <w:r w:rsidR="00E16B94" w:rsidRPr="007F1CD2">
        <w:rPr>
          <w:rFonts w:cs="Times New Roman"/>
          <w:szCs w:val="24"/>
        </w:rPr>
        <w:t>at 15 feet below the surface or bedrock, whichever is shallower, of the restricted residential, commercial</w:t>
      </w:r>
      <w:r w:rsidR="00C75044" w:rsidRPr="007F1CD2">
        <w:rPr>
          <w:rFonts w:cs="Times New Roman"/>
          <w:szCs w:val="24"/>
        </w:rPr>
        <w:t>,</w:t>
      </w:r>
      <w:r w:rsidR="00E16B94" w:rsidRPr="007F1CD2">
        <w:rPr>
          <w:rFonts w:cs="Times New Roman"/>
          <w:szCs w:val="24"/>
        </w:rPr>
        <w:t xml:space="preserve"> or industrial cleanup standards, or the Protection </w:t>
      </w:r>
      <w:r w:rsidR="00E16B94" w:rsidRPr="007F1CD2">
        <w:rPr>
          <w:rFonts w:cs="Times New Roman"/>
          <w:bCs/>
          <w:szCs w:val="24"/>
        </w:rPr>
        <w:t>of</w:t>
      </w:r>
      <w:r w:rsidR="00E16B94" w:rsidRPr="007F1CD2">
        <w:rPr>
          <w:rFonts w:cs="Times New Roman"/>
          <w:szCs w:val="24"/>
        </w:rPr>
        <w:t xml:space="preserve"> Groundwater or Ecological Resources as applicable.  </w:t>
      </w:r>
      <w:r w:rsidR="0043575E" w:rsidRPr="007F1CD2">
        <w:rPr>
          <w:rFonts w:cs="Times New Roman"/>
          <w:szCs w:val="24"/>
        </w:rPr>
        <w:t xml:space="preserve">Under the proposed regulations, </w:t>
      </w:r>
      <w:r w:rsidR="00E16B94" w:rsidRPr="007F1CD2">
        <w:rPr>
          <w:rFonts w:cs="Times New Roman"/>
          <w:szCs w:val="24"/>
        </w:rPr>
        <w:t>for all Track 2 cleanups other than Residential, if the remaining contamination at 15 feet exceeds the protection of groundwater standards and the party is impleme</w:t>
      </w:r>
      <w:r w:rsidR="003C3055" w:rsidRPr="007F1CD2">
        <w:rPr>
          <w:rFonts w:cs="Times New Roman"/>
          <w:szCs w:val="24"/>
        </w:rPr>
        <w:t xml:space="preserve">nting a groundwater remedy, the </w:t>
      </w:r>
      <w:r w:rsidR="0043575E" w:rsidRPr="007F1CD2">
        <w:rPr>
          <w:rFonts w:cs="Times New Roman"/>
          <w:szCs w:val="24"/>
        </w:rPr>
        <w:t>Department</w:t>
      </w:r>
      <w:r w:rsidR="003C3055" w:rsidRPr="007F1CD2">
        <w:rPr>
          <w:rFonts w:cs="Times New Roman"/>
          <w:szCs w:val="24"/>
        </w:rPr>
        <w:t xml:space="preserve"> can exercise its</w:t>
      </w:r>
      <w:r w:rsidR="0043575E" w:rsidRPr="007F1CD2">
        <w:rPr>
          <w:rFonts w:cs="Times New Roman"/>
          <w:szCs w:val="24"/>
        </w:rPr>
        <w:t xml:space="preserve"> discretion</w:t>
      </w:r>
      <w:r w:rsidR="003C3055" w:rsidRPr="007F1CD2">
        <w:rPr>
          <w:rFonts w:cs="Times New Roman"/>
          <w:szCs w:val="24"/>
        </w:rPr>
        <w:t xml:space="preserve"> to allow the </w:t>
      </w:r>
      <w:r w:rsidR="00E16B94" w:rsidRPr="007F1CD2">
        <w:rPr>
          <w:rFonts w:cs="Times New Roman"/>
          <w:szCs w:val="24"/>
        </w:rPr>
        <w:t>par</w:t>
      </w:r>
      <w:r w:rsidR="003C3055" w:rsidRPr="007F1CD2">
        <w:rPr>
          <w:rFonts w:cs="Times New Roman"/>
          <w:szCs w:val="24"/>
        </w:rPr>
        <w:t xml:space="preserve">ty to </w:t>
      </w:r>
      <w:r w:rsidR="00C75044" w:rsidRPr="007F1CD2">
        <w:rPr>
          <w:rFonts w:cs="Times New Roman"/>
          <w:szCs w:val="24"/>
        </w:rPr>
        <w:t xml:space="preserve">achieve Track 2. </w:t>
      </w:r>
      <w:r w:rsidR="00E16B94" w:rsidRPr="007F1CD2">
        <w:rPr>
          <w:rFonts w:cs="Times New Roman"/>
          <w:szCs w:val="24"/>
        </w:rPr>
        <w:t xml:space="preserve"> </w:t>
      </w:r>
    </w:p>
    <w:p w14:paraId="2C901CE1" w14:textId="77777777" w:rsidR="007F1CD2" w:rsidRDefault="007F1CD2" w:rsidP="00A5121D">
      <w:pPr>
        <w:pStyle w:val="ListParagraph"/>
        <w:spacing w:after="0"/>
        <w:ind w:left="1080"/>
        <w:rPr>
          <w:rFonts w:cs="Times New Roman"/>
          <w:b/>
          <w:szCs w:val="24"/>
          <w:u w:val="single"/>
        </w:rPr>
      </w:pPr>
    </w:p>
    <w:p w14:paraId="03585467" w14:textId="42FADA29" w:rsidR="00E16B94" w:rsidRPr="007F1CD2" w:rsidRDefault="00E16B94" w:rsidP="00A5121D">
      <w:pPr>
        <w:pStyle w:val="ListParagraph"/>
        <w:spacing w:after="0"/>
        <w:ind w:left="1080"/>
        <w:rPr>
          <w:rFonts w:cs="Times New Roman"/>
          <w:szCs w:val="24"/>
        </w:rPr>
      </w:pPr>
      <w:r w:rsidRPr="007F1CD2">
        <w:rPr>
          <w:rFonts w:cs="Times New Roman"/>
          <w:bCs/>
          <w:szCs w:val="24"/>
        </w:rPr>
        <w:t xml:space="preserve">The statutory definition of </w:t>
      </w:r>
      <w:r w:rsidR="0035264F" w:rsidRPr="007F1CD2">
        <w:rPr>
          <w:rFonts w:cs="Times New Roman"/>
          <w:bCs/>
          <w:szCs w:val="24"/>
        </w:rPr>
        <w:t xml:space="preserve">a </w:t>
      </w:r>
      <w:r w:rsidRPr="007F1CD2">
        <w:rPr>
          <w:rFonts w:cs="Times New Roman"/>
          <w:bCs/>
          <w:szCs w:val="24"/>
        </w:rPr>
        <w:t xml:space="preserve">Track 2 </w:t>
      </w:r>
      <w:r w:rsidR="0035264F" w:rsidRPr="007F1CD2">
        <w:rPr>
          <w:rFonts w:cs="Times New Roman"/>
          <w:bCs/>
          <w:szCs w:val="24"/>
        </w:rPr>
        <w:t xml:space="preserve">cleanup </w:t>
      </w:r>
      <w:r w:rsidRPr="007F1CD2">
        <w:rPr>
          <w:rFonts w:cs="Times New Roman"/>
          <w:bCs/>
          <w:szCs w:val="24"/>
        </w:rPr>
        <w:t xml:space="preserve">does not have a depth limit.  </w:t>
      </w:r>
      <w:r w:rsidR="0035264F" w:rsidRPr="007F1CD2">
        <w:rPr>
          <w:rFonts w:cs="Times New Roman"/>
          <w:bCs/>
          <w:i/>
          <w:szCs w:val="24"/>
        </w:rPr>
        <w:t xml:space="preserve">See </w:t>
      </w:r>
      <w:r w:rsidR="0035264F" w:rsidRPr="007F1CD2">
        <w:rPr>
          <w:rFonts w:cs="Times New Roman"/>
          <w:bCs/>
          <w:szCs w:val="24"/>
        </w:rPr>
        <w:t xml:space="preserve">ECL § 27-1415(4).  </w:t>
      </w:r>
      <w:r w:rsidR="0043575E" w:rsidRPr="007F1CD2">
        <w:rPr>
          <w:rFonts w:cs="Times New Roman"/>
          <w:bCs/>
          <w:szCs w:val="24"/>
        </w:rPr>
        <w:t>We support this proposal as being consistent with the statute.</w:t>
      </w:r>
    </w:p>
    <w:p w14:paraId="0F586C21" w14:textId="4A4746D7" w:rsidR="00585890" w:rsidRDefault="00585890" w:rsidP="00A5121D">
      <w:pPr>
        <w:spacing w:after="0"/>
        <w:rPr>
          <w:rFonts w:cs="Times New Roman"/>
          <w:szCs w:val="24"/>
        </w:rPr>
      </w:pPr>
    </w:p>
    <w:p w14:paraId="3D85BA0A" w14:textId="4AD9F5B5" w:rsidR="007F1CD2" w:rsidRDefault="003703CB" w:rsidP="00A5121D">
      <w:pPr>
        <w:pStyle w:val="ListParagraph"/>
        <w:numPr>
          <w:ilvl w:val="0"/>
          <w:numId w:val="17"/>
        </w:numPr>
        <w:spacing w:after="0"/>
        <w:rPr>
          <w:rFonts w:cs="Times New Roman"/>
          <w:color w:val="000000"/>
          <w:szCs w:val="24"/>
        </w:rPr>
      </w:pPr>
      <w:r w:rsidRPr="007F1CD2">
        <w:rPr>
          <w:rFonts w:cs="Times New Roman"/>
          <w:b/>
          <w:color w:val="000000"/>
          <w:szCs w:val="24"/>
          <w:u w:val="single"/>
        </w:rPr>
        <w:t xml:space="preserve">§ </w:t>
      </w:r>
      <w:r w:rsidR="00E02184" w:rsidRPr="007F1CD2">
        <w:rPr>
          <w:rFonts w:cs="Times New Roman"/>
          <w:b/>
          <w:color w:val="000000"/>
          <w:szCs w:val="24"/>
          <w:u w:val="single"/>
        </w:rPr>
        <w:t>375-3.8(f)(4)(ii)</w:t>
      </w:r>
      <w:r w:rsidRPr="007F1CD2">
        <w:rPr>
          <w:rFonts w:cs="Times New Roman"/>
          <w:b/>
          <w:color w:val="000000"/>
          <w:szCs w:val="24"/>
          <w:u w:val="single"/>
        </w:rPr>
        <w:t>:</w:t>
      </w:r>
      <w:r w:rsidR="00E02184" w:rsidRPr="007F1CD2">
        <w:rPr>
          <w:rFonts w:cs="Times New Roman"/>
          <w:color w:val="000000"/>
          <w:szCs w:val="24"/>
          <w:u w:val="single"/>
        </w:rPr>
        <w:t xml:space="preserve"> </w:t>
      </w:r>
      <w:r w:rsidR="00E02184" w:rsidRPr="007F1CD2">
        <w:rPr>
          <w:rFonts w:cs="Times New Roman"/>
          <w:b/>
          <w:color w:val="000000"/>
          <w:szCs w:val="24"/>
          <w:u w:val="single"/>
        </w:rPr>
        <w:t>Efforts by Volunteers to Address Off-Site Contamination</w:t>
      </w:r>
      <w:r w:rsidR="00C06537">
        <w:rPr>
          <w:rFonts w:cs="Times New Roman"/>
          <w:b/>
          <w:color w:val="000000"/>
          <w:szCs w:val="24"/>
          <w:u w:val="single"/>
        </w:rPr>
        <w:t xml:space="preserve"> -</w:t>
      </w:r>
      <w:r w:rsidR="00E02184" w:rsidRPr="007F1CD2">
        <w:rPr>
          <w:rFonts w:cs="Times New Roman"/>
          <w:color w:val="000000"/>
          <w:szCs w:val="24"/>
        </w:rPr>
        <w:t xml:space="preserve"> Consistent with our comment above regarding proposed </w:t>
      </w:r>
      <w:r w:rsidRPr="007F1CD2">
        <w:rPr>
          <w:rFonts w:cs="Times New Roman"/>
          <w:color w:val="000000"/>
          <w:szCs w:val="24"/>
        </w:rPr>
        <w:t>§ 375-</w:t>
      </w:r>
      <w:r w:rsidR="00E02184" w:rsidRPr="007F1CD2">
        <w:rPr>
          <w:rFonts w:cs="Times New Roman"/>
          <w:color w:val="000000"/>
          <w:szCs w:val="24"/>
        </w:rPr>
        <w:t xml:space="preserve">1.8(d)(1)(iii), this proposal should be revised to omit the words “at the site boundary” in the first sentence. </w:t>
      </w:r>
      <w:r w:rsidRPr="007F1CD2">
        <w:rPr>
          <w:rFonts w:cs="Times New Roman"/>
          <w:color w:val="000000"/>
          <w:szCs w:val="24"/>
        </w:rPr>
        <w:t xml:space="preserve"> </w:t>
      </w:r>
      <w:r w:rsidR="00E02184" w:rsidRPr="007F1CD2">
        <w:rPr>
          <w:rFonts w:cs="Times New Roman"/>
          <w:color w:val="000000"/>
          <w:szCs w:val="24"/>
        </w:rPr>
        <w:t xml:space="preserve">Additionally, the proposal should be revised to clarify that a Volunteer need not prevent soil vapor emanating beyond the edge of a plume </w:t>
      </w:r>
      <w:r w:rsidR="009D39D7" w:rsidRPr="007F1CD2">
        <w:rPr>
          <w:rFonts w:cs="Times New Roman"/>
          <w:color w:val="000000"/>
          <w:szCs w:val="24"/>
        </w:rPr>
        <w:t>and that the Volunteer’s</w:t>
      </w:r>
      <w:r w:rsidR="00E02184" w:rsidRPr="007F1CD2">
        <w:rPr>
          <w:rFonts w:cs="Times New Roman"/>
          <w:color w:val="000000"/>
          <w:szCs w:val="24"/>
        </w:rPr>
        <w:t xml:space="preserve"> efforts should be addressed to </w:t>
      </w:r>
      <w:r w:rsidR="009D39D7" w:rsidRPr="007F1CD2">
        <w:rPr>
          <w:rFonts w:cs="Times New Roman"/>
          <w:color w:val="000000"/>
          <w:szCs w:val="24"/>
        </w:rPr>
        <w:t>the</w:t>
      </w:r>
      <w:r w:rsidR="00E02184" w:rsidRPr="007F1CD2">
        <w:rPr>
          <w:rFonts w:cs="Times New Roman"/>
          <w:color w:val="000000"/>
          <w:szCs w:val="24"/>
        </w:rPr>
        <w:t xml:space="preserve"> plume itself.</w:t>
      </w:r>
    </w:p>
    <w:p w14:paraId="5C724E6F" w14:textId="77777777" w:rsidR="007F1CD2" w:rsidRDefault="007F1CD2" w:rsidP="00A5121D">
      <w:pPr>
        <w:pStyle w:val="ListParagraph"/>
        <w:spacing w:after="0"/>
        <w:ind w:left="1080"/>
        <w:rPr>
          <w:rFonts w:cs="Times New Roman"/>
          <w:b/>
          <w:color w:val="000000"/>
          <w:szCs w:val="24"/>
          <w:u w:val="single"/>
        </w:rPr>
      </w:pPr>
    </w:p>
    <w:p w14:paraId="1BBB36D7" w14:textId="4E3EDB5D" w:rsidR="003703CB" w:rsidRPr="007F1CD2" w:rsidRDefault="003703CB" w:rsidP="00A5121D">
      <w:pPr>
        <w:pStyle w:val="ListParagraph"/>
        <w:spacing w:after="0"/>
        <w:ind w:left="1080"/>
        <w:rPr>
          <w:rFonts w:cs="Times New Roman"/>
          <w:color w:val="000000"/>
          <w:szCs w:val="24"/>
        </w:rPr>
      </w:pPr>
      <w:r w:rsidRPr="007F1CD2">
        <w:rPr>
          <w:rFonts w:cs="Times New Roman"/>
          <w:bCs/>
          <w:szCs w:val="24"/>
        </w:rPr>
        <w:t xml:space="preserve">Further, consistent with </w:t>
      </w:r>
      <w:r w:rsidRPr="007F1CD2">
        <w:rPr>
          <w:rFonts w:cs="Times New Roman"/>
          <w:color w:val="000000"/>
          <w:szCs w:val="24"/>
        </w:rPr>
        <w:t xml:space="preserve">§ 375-1.8(d)(1)(iii), this proposal should be revised to replace the phrase “any plume” with the phrase “any site-related plume”.  </w:t>
      </w:r>
    </w:p>
    <w:p w14:paraId="506635A6" w14:textId="484BDC35" w:rsidR="003703CB" w:rsidRDefault="003703CB" w:rsidP="00A5121D">
      <w:pPr>
        <w:spacing w:after="0"/>
        <w:rPr>
          <w:rFonts w:cs="Times New Roman"/>
          <w:bCs/>
          <w:szCs w:val="24"/>
        </w:rPr>
      </w:pPr>
    </w:p>
    <w:p w14:paraId="0102015F" w14:textId="0E7FBFC3" w:rsidR="007F1CD2" w:rsidRDefault="007F1CD2" w:rsidP="00A5121D">
      <w:pPr>
        <w:spacing w:after="0"/>
        <w:rPr>
          <w:rFonts w:cs="Times New Roman"/>
          <w:b/>
          <w:szCs w:val="24"/>
          <w:u w:val="single"/>
        </w:rPr>
      </w:pPr>
      <w:r w:rsidRPr="007F1CD2">
        <w:rPr>
          <w:rFonts w:cs="Times New Roman"/>
          <w:b/>
          <w:szCs w:val="24"/>
          <w:u w:val="single"/>
        </w:rPr>
        <w:t>6 NYCRR Subpart 375-</w:t>
      </w:r>
      <w:r>
        <w:rPr>
          <w:rFonts w:cs="Times New Roman"/>
          <w:b/>
          <w:szCs w:val="24"/>
          <w:u w:val="single"/>
        </w:rPr>
        <w:t>6</w:t>
      </w:r>
    </w:p>
    <w:p w14:paraId="658929A6" w14:textId="77777777" w:rsidR="007F1CD2" w:rsidRDefault="007F1CD2" w:rsidP="00A5121D">
      <w:pPr>
        <w:spacing w:after="0"/>
        <w:rPr>
          <w:rFonts w:cs="Times New Roman"/>
          <w:b/>
          <w:szCs w:val="24"/>
          <w:u w:val="single"/>
        </w:rPr>
      </w:pPr>
    </w:p>
    <w:p w14:paraId="53172A85" w14:textId="151396C1" w:rsidR="007F1CD2" w:rsidRDefault="005F716C" w:rsidP="00A5121D">
      <w:pPr>
        <w:pStyle w:val="ListParagraph"/>
        <w:numPr>
          <w:ilvl w:val="0"/>
          <w:numId w:val="17"/>
        </w:numPr>
        <w:spacing w:after="0"/>
        <w:rPr>
          <w:rFonts w:cs="Times New Roman"/>
          <w:szCs w:val="24"/>
        </w:rPr>
      </w:pPr>
      <w:r w:rsidRPr="007F1CD2">
        <w:rPr>
          <w:rFonts w:cs="Times New Roman"/>
          <w:b/>
          <w:szCs w:val="24"/>
          <w:u w:val="single"/>
        </w:rPr>
        <w:t xml:space="preserve">§ </w:t>
      </w:r>
      <w:r w:rsidR="00E02184" w:rsidRPr="007F1CD2">
        <w:rPr>
          <w:rFonts w:cs="Times New Roman"/>
          <w:b/>
          <w:szCs w:val="24"/>
          <w:u w:val="single"/>
        </w:rPr>
        <w:t>375-6.8: Revised Soil Cleanup Objectives</w:t>
      </w:r>
      <w:r w:rsidR="00C06537">
        <w:rPr>
          <w:rFonts w:cs="Times New Roman"/>
          <w:b/>
          <w:szCs w:val="24"/>
          <w:u w:val="single"/>
        </w:rPr>
        <w:t xml:space="preserve"> </w:t>
      </w:r>
      <w:proofErr w:type="gramStart"/>
      <w:r w:rsidR="00C06537">
        <w:rPr>
          <w:rFonts w:cs="Times New Roman"/>
          <w:b/>
          <w:szCs w:val="24"/>
          <w:u w:val="single"/>
        </w:rPr>
        <w:t>-</w:t>
      </w:r>
      <w:r w:rsidR="007F1CD2" w:rsidRPr="007F1CD2">
        <w:rPr>
          <w:rFonts w:cs="Times New Roman"/>
          <w:bCs/>
          <w:szCs w:val="24"/>
        </w:rPr>
        <w:t xml:space="preserve"> </w:t>
      </w:r>
      <w:r w:rsidR="00943CBE">
        <w:rPr>
          <w:rFonts w:cs="Times New Roman"/>
          <w:bCs/>
          <w:szCs w:val="24"/>
        </w:rPr>
        <w:t xml:space="preserve"> </w:t>
      </w:r>
      <w:r w:rsidR="00E02184" w:rsidRPr="007F1CD2">
        <w:rPr>
          <w:rFonts w:cs="Times New Roman"/>
          <w:szCs w:val="24"/>
        </w:rPr>
        <w:t>The</w:t>
      </w:r>
      <w:proofErr w:type="gramEnd"/>
      <w:r w:rsidR="00E02184" w:rsidRPr="007F1CD2">
        <w:rPr>
          <w:rFonts w:cs="Times New Roman"/>
          <w:szCs w:val="24"/>
        </w:rPr>
        <w:t xml:space="preserve"> Department’s Regulatory Impact Statement indicates that after a rural background study regarding PFOA/PFOS “is </w:t>
      </w:r>
      <w:r w:rsidR="00E02184" w:rsidRPr="007F1CD2">
        <w:rPr>
          <w:rFonts w:cs="Times New Roman"/>
          <w:bCs/>
          <w:szCs w:val="24"/>
        </w:rPr>
        <w:t>completed</w:t>
      </w:r>
      <w:r w:rsidR="00E02184" w:rsidRPr="007F1CD2">
        <w:rPr>
          <w:rFonts w:cs="Times New Roman"/>
          <w:szCs w:val="24"/>
        </w:rPr>
        <w:t xml:space="preserve"> and other data are analyzed, DEC </w:t>
      </w:r>
      <w:r w:rsidR="00E02184" w:rsidRPr="007F1CD2">
        <w:rPr>
          <w:rFonts w:cs="Times New Roman"/>
          <w:i/>
          <w:szCs w:val="24"/>
        </w:rPr>
        <w:t>will</w:t>
      </w:r>
      <w:r w:rsidR="00E02184" w:rsidRPr="007F1CD2">
        <w:rPr>
          <w:rFonts w:cs="Times New Roman"/>
          <w:szCs w:val="24"/>
        </w:rPr>
        <w:t xml:space="preserve"> add SCOs for PFOA/PFOS.”  Regulatory Impact Statement at 5 (emphasis added).  </w:t>
      </w:r>
    </w:p>
    <w:p w14:paraId="00A6D4AA" w14:textId="77777777" w:rsidR="007F1CD2" w:rsidRDefault="007F1CD2" w:rsidP="00A5121D">
      <w:pPr>
        <w:pStyle w:val="ListParagraph"/>
        <w:spacing w:after="0"/>
        <w:ind w:left="1080"/>
        <w:rPr>
          <w:rFonts w:cs="Times New Roman"/>
          <w:b/>
          <w:szCs w:val="24"/>
          <w:u w:val="single"/>
        </w:rPr>
      </w:pPr>
    </w:p>
    <w:p w14:paraId="4CF9C0D8" w14:textId="77777777" w:rsidR="007F1CD2" w:rsidRDefault="00E02184" w:rsidP="00A5121D">
      <w:pPr>
        <w:pStyle w:val="ListParagraph"/>
        <w:spacing w:after="0"/>
        <w:ind w:left="1080"/>
        <w:rPr>
          <w:rFonts w:cs="Times New Roman"/>
          <w:szCs w:val="24"/>
        </w:rPr>
      </w:pPr>
      <w:r w:rsidRPr="007F1CD2">
        <w:rPr>
          <w:rFonts w:cs="Times New Roman"/>
          <w:szCs w:val="24"/>
        </w:rPr>
        <w:t xml:space="preserve">We disagree with the proposed inclusion of SCOs for PFOA/PFOS.  PFOA and PFOS are ubiquitous, and background levels sometimes exceed regulatory limits.  Additionally, scientific understanding about the fate and transport of PFOA and PFOS is still developing.  However, the primary exposure routes for PFOA and PFOS appear to be drinking water.  Given this context, PFOA and PFOS at many sites may not pose any threat to human health or the environment.  Accordingly, it makes little </w:t>
      </w:r>
      <w:r w:rsidRPr="007F1CD2">
        <w:rPr>
          <w:rFonts w:cs="Times New Roman"/>
          <w:szCs w:val="24"/>
        </w:rPr>
        <w:lastRenderedPageBreak/>
        <w:t xml:space="preserve">sense to have inflexible SCOs for PFOA and PFOS.  At a minimum, the Department should include a footnote emphasizing that the Department retains discretion (pursuant to § 375-6.5(a)(1) or other authorities) to set site-specific SCOs for PFOA and PFOS.  </w:t>
      </w:r>
    </w:p>
    <w:p w14:paraId="44FB315F" w14:textId="77777777" w:rsidR="007F1CD2" w:rsidRDefault="007F1CD2" w:rsidP="00A5121D">
      <w:pPr>
        <w:pStyle w:val="ListParagraph"/>
        <w:spacing w:after="0"/>
        <w:ind w:left="1080"/>
        <w:rPr>
          <w:rFonts w:cs="Times New Roman"/>
          <w:szCs w:val="24"/>
        </w:rPr>
      </w:pPr>
    </w:p>
    <w:p w14:paraId="470107F8" w14:textId="5266E21E" w:rsidR="00E16B94" w:rsidRDefault="00027C7F" w:rsidP="00A5121D">
      <w:pPr>
        <w:pStyle w:val="ListParagraph"/>
        <w:spacing w:after="0"/>
        <w:ind w:left="1080"/>
        <w:rPr>
          <w:rFonts w:cs="Times New Roman"/>
          <w:b/>
          <w:bCs/>
          <w:szCs w:val="24"/>
        </w:rPr>
      </w:pPr>
      <w:r w:rsidRPr="00027C7F">
        <w:rPr>
          <w:rFonts w:cs="Times New Roman"/>
          <w:szCs w:val="24"/>
        </w:rPr>
        <w:t>While the Regulatory Impact Statement that accompanies the regulations states: “[c]</w:t>
      </w:r>
      <w:proofErr w:type="spellStart"/>
      <w:r w:rsidRPr="00027C7F">
        <w:rPr>
          <w:rFonts w:cs="Times New Roman"/>
          <w:szCs w:val="24"/>
        </w:rPr>
        <w:t>hanges</w:t>
      </w:r>
      <w:proofErr w:type="spellEnd"/>
      <w:r w:rsidRPr="00027C7F">
        <w:rPr>
          <w:rFonts w:cs="Times New Roman"/>
          <w:szCs w:val="24"/>
        </w:rPr>
        <w:t xml:space="preserve"> to SCOs will only apply to sites that do not have a remedy selected as of the adoption date of the revised regulations</w:t>
      </w:r>
      <w:r>
        <w:rPr>
          <w:rFonts w:cs="Times New Roman"/>
          <w:szCs w:val="24"/>
        </w:rPr>
        <w:t xml:space="preserve">” </w:t>
      </w:r>
      <w:r w:rsidR="008903F1">
        <w:rPr>
          <w:rFonts w:cs="Times New Roman"/>
          <w:bCs/>
          <w:szCs w:val="24"/>
        </w:rPr>
        <w:t xml:space="preserve">the </w:t>
      </w:r>
      <w:r>
        <w:rPr>
          <w:rFonts w:cs="Times New Roman"/>
          <w:bCs/>
          <w:szCs w:val="24"/>
        </w:rPr>
        <w:t xml:space="preserve">regulations themselves </w:t>
      </w:r>
      <w:r w:rsidR="00E16B94" w:rsidRPr="00DC1D53">
        <w:rPr>
          <w:rFonts w:cs="Times New Roman"/>
          <w:bCs/>
          <w:szCs w:val="24"/>
        </w:rPr>
        <w:t xml:space="preserve">do </w:t>
      </w:r>
      <w:r w:rsidR="00DD3F96">
        <w:rPr>
          <w:rFonts w:cs="Times New Roman"/>
          <w:bCs/>
          <w:szCs w:val="24"/>
        </w:rPr>
        <w:t xml:space="preserve">not </w:t>
      </w:r>
      <w:r>
        <w:rPr>
          <w:rFonts w:cs="Times New Roman"/>
          <w:bCs/>
          <w:szCs w:val="24"/>
        </w:rPr>
        <w:t xml:space="preserve">include a provision regarding how the </w:t>
      </w:r>
      <w:r w:rsidR="00E16B94" w:rsidRPr="00DC1D53">
        <w:rPr>
          <w:rFonts w:cs="Times New Roman"/>
          <w:bCs/>
          <w:szCs w:val="24"/>
        </w:rPr>
        <w:t xml:space="preserve">new SCOs </w:t>
      </w:r>
      <w:r>
        <w:rPr>
          <w:rFonts w:cs="Times New Roman"/>
          <w:bCs/>
          <w:szCs w:val="24"/>
        </w:rPr>
        <w:t>will be applied to c</w:t>
      </w:r>
      <w:r w:rsidR="00DD3F96">
        <w:rPr>
          <w:rFonts w:cs="Times New Roman"/>
          <w:bCs/>
          <w:szCs w:val="24"/>
        </w:rPr>
        <w:t>urrent sites, leaving uncertaint</w:t>
      </w:r>
      <w:r>
        <w:rPr>
          <w:rFonts w:cs="Times New Roman"/>
          <w:bCs/>
          <w:szCs w:val="24"/>
        </w:rPr>
        <w:t xml:space="preserve">y that the Department will implement the new SCOs consistently across Regions and Project Managers.  </w:t>
      </w:r>
      <w:r w:rsidR="008903F1">
        <w:rPr>
          <w:rFonts w:cs="Times New Roman"/>
          <w:bCs/>
          <w:szCs w:val="24"/>
        </w:rPr>
        <w:t>We</w:t>
      </w:r>
      <w:r w:rsidR="00E16B94" w:rsidRPr="00DC1D53">
        <w:rPr>
          <w:rFonts w:cs="Times New Roman"/>
          <w:bCs/>
          <w:szCs w:val="24"/>
        </w:rPr>
        <w:t xml:space="preserve"> respectfully </w:t>
      </w:r>
      <w:r>
        <w:rPr>
          <w:rFonts w:cs="Times New Roman"/>
          <w:bCs/>
          <w:szCs w:val="24"/>
        </w:rPr>
        <w:t xml:space="preserve">suggest </w:t>
      </w:r>
      <w:r w:rsidR="00E16B94" w:rsidRPr="00DC1D53">
        <w:rPr>
          <w:rFonts w:cs="Times New Roman"/>
          <w:bCs/>
          <w:szCs w:val="24"/>
        </w:rPr>
        <w:t xml:space="preserve">that </w:t>
      </w:r>
      <w:r w:rsidR="008903F1">
        <w:rPr>
          <w:rFonts w:cs="Times New Roman"/>
          <w:bCs/>
          <w:szCs w:val="24"/>
        </w:rPr>
        <w:t xml:space="preserve">any </w:t>
      </w:r>
      <w:r w:rsidR="00E16B94" w:rsidRPr="00DC1D53">
        <w:rPr>
          <w:rFonts w:cs="Times New Roman"/>
          <w:bCs/>
          <w:szCs w:val="24"/>
        </w:rPr>
        <w:t>new SCOs beco</w:t>
      </w:r>
      <w:r w:rsidR="008903F1">
        <w:rPr>
          <w:rFonts w:cs="Times New Roman"/>
          <w:bCs/>
          <w:szCs w:val="24"/>
        </w:rPr>
        <w:t xml:space="preserve">me effective one year after </w:t>
      </w:r>
      <w:r w:rsidR="00E16B94" w:rsidRPr="00DC1D53">
        <w:rPr>
          <w:rFonts w:cs="Times New Roman"/>
          <w:bCs/>
          <w:szCs w:val="24"/>
        </w:rPr>
        <w:t xml:space="preserve">final regulations are promulgated so that </w:t>
      </w:r>
      <w:r>
        <w:rPr>
          <w:rFonts w:cs="Times New Roman"/>
          <w:bCs/>
          <w:szCs w:val="24"/>
        </w:rPr>
        <w:t xml:space="preserve">all remedial </w:t>
      </w:r>
      <w:r w:rsidR="00E16B94" w:rsidRPr="00DC1D53">
        <w:rPr>
          <w:rFonts w:cs="Times New Roman"/>
          <w:bCs/>
          <w:szCs w:val="24"/>
        </w:rPr>
        <w:t xml:space="preserve">parties can effectively plan for the changes. </w:t>
      </w:r>
      <w:r w:rsidR="008903F1">
        <w:rPr>
          <w:rFonts w:cs="Times New Roman"/>
          <w:bCs/>
          <w:szCs w:val="24"/>
        </w:rPr>
        <w:t xml:space="preserve"> </w:t>
      </w:r>
    </w:p>
    <w:p w14:paraId="42616EF5" w14:textId="77777777" w:rsidR="009856C7" w:rsidRDefault="009856C7" w:rsidP="00A5121D">
      <w:pPr>
        <w:spacing w:after="0"/>
        <w:rPr>
          <w:rFonts w:cs="Times New Roman"/>
          <w:szCs w:val="24"/>
        </w:rPr>
      </w:pPr>
    </w:p>
    <w:p w14:paraId="2A6E69E9" w14:textId="77777777" w:rsidR="00792BA7" w:rsidRPr="00792BA7" w:rsidRDefault="00792BA7" w:rsidP="00A5121D">
      <w:pPr>
        <w:spacing w:after="0"/>
        <w:jc w:val="center"/>
        <w:rPr>
          <w:rFonts w:cs="Times New Roman"/>
          <w:b/>
          <w:bCs/>
          <w:szCs w:val="24"/>
          <w:u w:val="single"/>
        </w:rPr>
      </w:pPr>
      <w:r w:rsidRPr="00792BA7">
        <w:rPr>
          <w:rFonts w:cs="Times New Roman"/>
          <w:b/>
          <w:bCs/>
          <w:szCs w:val="24"/>
          <w:u w:val="single"/>
        </w:rPr>
        <w:t>CONCLUSION</w:t>
      </w:r>
    </w:p>
    <w:p w14:paraId="54935990" w14:textId="77777777" w:rsidR="00792BA7" w:rsidRPr="00792BA7" w:rsidRDefault="00792BA7" w:rsidP="00A5121D">
      <w:pPr>
        <w:spacing w:after="0"/>
        <w:rPr>
          <w:rFonts w:cs="Times New Roman"/>
          <w:szCs w:val="24"/>
        </w:rPr>
      </w:pPr>
    </w:p>
    <w:p w14:paraId="73F4152F" w14:textId="7DA0E9E7" w:rsidR="005F716C" w:rsidRDefault="00792BA7" w:rsidP="00A5121D">
      <w:pPr>
        <w:spacing w:after="0"/>
        <w:rPr>
          <w:rFonts w:cs="Times New Roman"/>
          <w:szCs w:val="24"/>
        </w:rPr>
      </w:pPr>
      <w:r w:rsidRPr="00792BA7">
        <w:rPr>
          <w:rFonts w:cs="Times New Roman"/>
          <w:szCs w:val="24"/>
        </w:rPr>
        <w:t>We thank the Department for the opportunity to comment on these proposed</w:t>
      </w:r>
      <w:r>
        <w:rPr>
          <w:rFonts w:cs="Times New Roman"/>
          <w:szCs w:val="24"/>
        </w:rPr>
        <w:t xml:space="preserve"> </w:t>
      </w:r>
      <w:r w:rsidRPr="00792BA7">
        <w:rPr>
          <w:rFonts w:cs="Times New Roman"/>
          <w:szCs w:val="24"/>
        </w:rPr>
        <w:t>regulations.</w:t>
      </w:r>
    </w:p>
    <w:sectPr w:rsidR="005F716C" w:rsidSect="00E20F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7E890" w14:textId="77777777" w:rsidR="00E20F61" w:rsidRDefault="00E20F61" w:rsidP="003C194A">
      <w:pPr>
        <w:spacing w:after="0"/>
      </w:pPr>
      <w:r>
        <w:separator/>
      </w:r>
    </w:p>
  </w:endnote>
  <w:endnote w:type="continuationSeparator" w:id="0">
    <w:p w14:paraId="6CB3B0F7" w14:textId="77777777" w:rsidR="00E20F61" w:rsidRDefault="00E20F61" w:rsidP="003C19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4337" w14:textId="3AE1D1B7" w:rsidR="005F716C" w:rsidRPr="000B5DB5" w:rsidRDefault="00000000" w:rsidP="000B5DB5">
    <w:pPr>
      <w:pStyle w:val="DOCXID"/>
    </w:pPr>
    <w:fldSimple w:instr=" DOCPROPERTY DOCXDOCID DMS=InterwovenIManage Format=&lt;&lt;NUM&gt;&gt;.&lt;&lt;VER&gt;&gt; &lt;&lt;CLT&gt;&gt;-&lt;&lt;MTR&gt;&gt; PRESERVELOCATION \* MERGEFORMAT ">
      <w:r w:rsidR="006606F3">
        <w:t>3139963.2 099999-30592</w:t>
      </w:r>
    </w:fldSimple>
  </w:p>
  <w:p w14:paraId="55800D9D" w14:textId="77777777" w:rsidR="005F716C" w:rsidRDefault="005F716C"/>
  <w:p w14:paraId="673BF43F" w14:textId="77777777" w:rsidR="005F716C" w:rsidRDefault="005F716C"/>
  <w:p w14:paraId="523726F1" w14:textId="77777777" w:rsidR="005F716C" w:rsidRDefault="005F716C"/>
  <w:p w14:paraId="6B495389" w14:textId="77777777" w:rsidR="005F716C" w:rsidRDefault="005F716C"/>
  <w:p w14:paraId="762412E1" w14:textId="77777777" w:rsidR="005F716C" w:rsidRDefault="005F71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0FB7" w14:textId="55756A32" w:rsidR="00FF6691" w:rsidRDefault="00FF6691">
    <w:pPr>
      <w:pStyle w:val="Footer"/>
      <w:jc w:val="center"/>
    </w:pPr>
    <w:r>
      <w:fldChar w:fldCharType="begin"/>
    </w:r>
    <w:r>
      <w:instrText xml:space="preserve"> PAGE   \* MERGEFORMAT </w:instrText>
    </w:r>
    <w:r>
      <w:fldChar w:fldCharType="separate"/>
    </w:r>
    <w:r w:rsidR="006606F3">
      <w:rPr>
        <w:noProof/>
      </w:rPr>
      <w:t>20</w:t>
    </w:r>
    <w:r>
      <w:rPr>
        <w:noProof/>
      </w:rPr>
      <w:fldChar w:fldCharType="end"/>
    </w:r>
  </w:p>
  <w:p w14:paraId="3651A171" w14:textId="08A92E04" w:rsidR="005F716C" w:rsidRDefault="00530ED9" w:rsidP="00530ED9">
    <w:pPr>
      <w:pStyle w:val="DOCXID"/>
      <w:rPr>
        <w:noProof/>
      </w:rPr>
    </w:pPr>
    <w:r>
      <w:rPr>
        <w:noProof/>
      </w:rPr>
      <w:fldChar w:fldCharType="begin"/>
    </w:r>
    <w:r>
      <w:rPr>
        <w:noProof/>
      </w:rPr>
      <w:instrText xml:space="preserve"> DOCPROPERTY DOCXDOCID DMS=InterwovenIManage Format=&lt;&lt;NUM&gt;&gt;.&lt;&lt;VER&gt;&gt; &lt;&lt;CLT&gt;&gt;-&lt;&lt;MTR&gt;&gt; PRESERVELOCATION \* MERGEFORMAT </w:instrText>
    </w:r>
    <w:r>
      <w:rPr>
        <w:noProof/>
      </w:rPr>
      <w:fldChar w:fldCharType="separate"/>
    </w:r>
    <w:r w:rsidR="006606F3">
      <w:t>3139963.2 099999-30592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9F36" w14:textId="03CFF01E" w:rsidR="005F716C" w:rsidRPr="000B5DB5" w:rsidRDefault="00000000" w:rsidP="000B5DB5">
    <w:pPr>
      <w:pStyle w:val="DOCXID"/>
    </w:pPr>
    <w:fldSimple w:instr=" DOCPROPERTY DOCXDOCID DMS=InterwovenIManage Format=&lt;&lt;NUM&gt;&gt;.&lt;&lt;VER&gt;&gt; &lt;&lt;CLT&gt;&gt;-&lt;&lt;MTR&gt;&gt; PRESERVELOCATION \* MERGEFORMAT ">
      <w:r w:rsidR="006606F3">
        <w:t>3139963.2 099999-30592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F7640" w14:textId="77777777" w:rsidR="00E20F61" w:rsidRDefault="00E20F61" w:rsidP="003C194A">
      <w:pPr>
        <w:spacing w:after="0"/>
      </w:pPr>
      <w:r>
        <w:separator/>
      </w:r>
    </w:p>
  </w:footnote>
  <w:footnote w:type="continuationSeparator" w:id="0">
    <w:p w14:paraId="562983E7" w14:textId="77777777" w:rsidR="00E20F61" w:rsidRDefault="00E20F61" w:rsidP="003C19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4553" w14:textId="77777777" w:rsidR="00530ED9" w:rsidRDefault="00530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E2EF" w14:textId="4496FB57" w:rsidR="005F716C" w:rsidRDefault="005F716C" w:rsidP="0085356D">
    <w:pPr>
      <w:pStyle w:val="Header"/>
      <w:jc w:val="right"/>
    </w:pPr>
    <w:r>
      <w:t>Confidential</w:t>
    </w:r>
  </w:p>
  <w:p w14:paraId="31AB2283" w14:textId="0BCF322F" w:rsidR="005F716C" w:rsidRDefault="005F716C" w:rsidP="0085356D">
    <w:pPr>
      <w:pStyle w:val="Header"/>
      <w:jc w:val="right"/>
    </w:pPr>
    <w:r>
      <w:t>Discussion Draft</w:t>
    </w:r>
  </w:p>
  <w:p w14:paraId="6664C0F8" w14:textId="77777777" w:rsidR="005F716C" w:rsidRDefault="005F7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014D" w14:textId="77777777" w:rsidR="00530ED9" w:rsidRDefault="00530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81C4B3B8"/>
    <w:lvl w:ilvl="0">
      <w:start w:val="1"/>
      <w:numFmt w:val="lowerLetter"/>
      <w:lvlText w:val="(%1)"/>
      <w:lvlJc w:val="left"/>
      <w:pPr>
        <w:ind w:left="2601" w:hanging="340"/>
      </w:pPr>
      <w:rPr>
        <w:rFonts w:ascii="Times New Roman" w:hAnsi="Times New Roman" w:cs="Times New Roman"/>
        <w:b w:val="0"/>
        <w:bCs w:val="0"/>
        <w:i/>
        <w:iCs/>
        <w:spacing w:val="-1"/>
        <w:w w:val="100"/>
        <w:sz w:val="24"/>
        <w:szCs w:val="24"/>
      </w:rPr>
    </w:lvl>
    <w:lvl w:ilvl="1">
      <w:numFmt w:val="bullet"/>
      <w:lvlText w:val="•"/>
      <w:lvlJc w:val="left"/>
      <w:pPr>
        <w:ind w:left="3258" w:hanging="340"/>
      </w:pPr>
    </w:lvl>
    <w:lvl w:ilvl="2">
      <w:numFmt w:val="bullet"/>
      <w:lvlText w:val="•"/>
      <w:lvlJc w:val="left"/>
      <w:pPr>
        <w:ind w:left="3916" w:hanging="340"/>
      </w:pPr>
    </w:lvl>
    <w:lvl w:ilvl="3">
      <w:numFmt w:val="bullet"/>
      <w:lvlText w:val="•"/>
      <w:lvlJc w:val="left"/>
      <w:pPr>
        <w:ind w:left="4574" w:hanging="340"/>
      </w:pPr>
    </w:lvl>
    <w:lvl w:ilvl="4">
      <w:numFmt w:val="bullet"/>
      <w:lvlText w:val="•"/>
      <w:lvlJc w:val="left"/>
      <w:pPr>
        <w:ind w:left="5232" w:hanging="340"/>
      </w:pPr>
    </w:lvl>
    <w:lvl w:ilvl="5">
      <w:numFmt w:val="bullet"/>
      <w:lvlText w:val="•"/>
      <w:lvlJc w:val="left"/>
      <w:pPr>
        <w:ind w:left="5890" w:hanging="340"/>
      </w:pPr>
    </w:lvl>
    <w:lvl w:ilvl="6">
      <w:numFmt w:val="bullet"/>
      <w:lvlText w:val="•"/>
      <w:lvlJc w:val="left"/>
      <w:pPr>
        <w:ind w:left="6548" w:hanging="340"/>
      </w:pPr>
    </w:lvl>
    <w:lvl w:ilvl="7">
      <w:numFmt w:val="bullet"/>
      <w:lvlText w:val="•"/>
      <w:lvlJc w:val="left"/>
      <w:pPr>
        <w:ind w:left="7206" w:hanging="340"/>
      </w:pPr>
    </w:lvl>
    <w:lvl w:ilvl="8">
      <w:numFmt w:val="bullet"/>
      <w:lvlText w:val="•"/>
      <w:lvlJc w:val="left"/>
      <w:pPr>
        <w:ind w:left="7864" w:hanging="340"/>
      </w:pPr>
    </w:lvl>
  </w:abstractNum>
  <w:abstractNum w:abstractNumId="1" w15:restartNumberingAfterBreak="0">
    <w:nsid w:val="0D662747"/>
    <w:multiLevelType w:val="hybridMultilevel"/>
    <w:tmpl w:val="32762A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B6502"/>
    <w:multiLevelType w:val="hybridMultilevel"/>
    <w:tmpl w:val="C3EC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C143B"/>
    <w:multiLevelType w:val="hybridMultilevel"/>
    <w:tmpl w:val="9308219C"/>
    <w:lvl w:ilvl="0" w:tplc="04090001">
      <w:start w:val="1"/>
      <w:numFmt w:val="bullet"/>
      <w:lvlText w:val=""/>
      <w:lvlJc w:val="left"/>
      <w:pPr>
        <w:ind w:left="1498" w:hanging="360"/>
      </w:pPr>
      <w:rPr>
        <w:rFonts w:ascii="Symbol" w:hAnsi="Symbol" w:hint="default"/>
      </w:rPr>
    </w:lvl>
    <w:lvl w:ilvl="1" w:tplc="04090003">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4" w15:restartNumberingAfterBreak="0">
    <w:nsid w:val="33C11DB1"/>
    <w:multiLevelType w:val="hybridMultilevel"/>
    <w:tmpl w:val="A866C7EE"/>
    <w:lvl w:ilvl="0" w:tplc="DC9CE8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562DC"/>
    <w:multiLevelType w:val="multilevel"/>
    <w:tmpl w:val="B87CE830"/>
    <w:lvl w:ilvl="0">
      <w:numFmt w:val="bullet"/>
      <w:lvlText w:val="·"/>
      <w:lvlJc w:val="left"/>
      <w:pPr>
        <w:tabs>
          <w:tab w:val="left" w:pos="360"/>
        </w:tabs>
      </w:pPr>
      <w:rPr>
        <w:rFonts w:ascii="Symbol" w:eastAsia="Symbol" w:hAnsi="Symbol"/>
        <w:b/>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4B4EBB"/>
    <w:multiLevelType w:val="hybridMultilevel"/>
    <w:tmpl w:val="5CEC4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F61EB3"/>
    <w:multiLevelType w:val="hybridMultilevel"/>
    <w:tmpl w:val="C1600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C61D09"/>
    <w:multiLevelType w:val="hybridMultilevel"/>
    <w:tmpl w:val="3ADC8596"/>
    <w:lvl w:ilvl="0" w:tplc="23B41614">
      <w:start w:val="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986837"/>
    <w:multiLevelType w:val="hybridMultilevel"/>
    <w:tmpl w:val="91F29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62E2339"/>
    <w:multiLevelType w:val="multilevel"/>
    <w:tmpl w:val="DBF60B44"/>
    <w:lvl w:ilvl="0">
      <w:numFmt w:val="bullet"/>
      <w:lvlText w:val="·"/>
      <w:lvlJc w:val="left"/>
      <w:pPr>
        <w:tabs>
          <w:tab w:val="left" w:pos="360"/>
        </w:tabs>
      </w:pPr>
      <w:rPr>
        <w:rFonts w:ascii="Symbol" w:eastAsia="Symbol" w:hAnsi="Symbol"/>
        <w:b/>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B55140"/>
    <w:multiLevelType w:val="hybridMultilevel"/>
    <w:tmpl w:val="821AC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144B"/>
    <w:multiLevelType w:val="hybridMultilevel"/>
    <w:tmpl w:val="4498FA72"/>
    <w:lvl w:ilvl="0" w:tplc="F6DC1E88">
      <w:start w:val="1"/>
      <w:numFmt w:val="upperRoman"/>
      <w:lvlText w:val="%1."/>
      <w:lvlJc w:val="left"/>
      <w:pPr>
        <w:ind w:left="1080" w:hanging="720"/>
      </w:pPr>
      <w:rPr>
        <w:rFonts w:hint="default"/>
        <w:b/>
      </w:rPr>
    </w:lvl>
    <w:lvl w:ilvl="1" w:tplc="750E194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45F68"/>
    <w:multiLevelType w:val="hybridMultilevel"/>
    <w:tmpl w:val="9BE63E3C"/>
    <w:lvl w:ilvl="0" w:tplc="EB1AC75A">
      <w:start w:val="1"/>
      <w:numFmt w:val="upperRoman"/>
      <w:lvlText w:val="%1."/>
      <w:lvlJc w:val="left"/>
      <w:pPr>
        <w:ind w:left="1080" w:hanging="720"/>
      </w:pPr>
      <w:rPr>
        <w:rFonts w:hint="default"/>
        <w:b/>
      </w:rPr>
    </w:lvl>
    <w:lvl w:ilvl="1" w:tplc="818AF0FA">
      <w:start w:val="1"/>
      <w:numFmt w:val="lowerLetter"/>
      <w:lvlText w:val="%2."/>
      <w:lvlJc w:val="left"/>
      <w:pPr>
        <w:ind w:left="1440" w:hanging="360"/>
      </w:pPr>
      <w:rPr>
        <w:b/>
      </w:rPr>
    </w:lvl>
    <w:lvl w:ilvl="2" w:tplc="7CF06348">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B503A8"/>
    <w:multiLevelType w:val="hybridMultilevel"/>
    <w:tmpl w:val="F492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9731AF"/>
    <w:multiLevelType w:val="hybridMultilevel"/>
    <w:tmpl w:val="37A2CB86"/>
    <w:lvl w:ilvl="0" w:tplc="B56A44E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22056B"/>
    <w:multiLevelType w:val="hybridMultilevel"/>
    <w:tmpl w:val="C46291BA"/>
    <w:lvl w:ilvl="0" w:tplc="CD1AE7A8">
      <w:start w:val="6"/>
      <w:numFmt w:val="bullet"/>
      <w:lvlText w:val="•"/>
      <w:lvlJc w:val="left"/>
      <w:pPr>
        <w:ind w:left="1080" w:hanging="360"/>
      </w:pPr>
      <w:rPr>
        <w:rFonts w:ascii="SymbolMT" w:eastAsiaTheme="minorHAnsi" w:hAnsi="SymbolMT" w:cs="SymbolMT"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EEB7EB9"/>
    <w:multiLevelType w:val="hybridMultilevel"/>
    <w:tmpl w:val="FA9A7B28"/>
    <w:lvl w:ilvl="0" w:tplc="8196EAE6">
      <w:start w:val="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ED3210"/>
    <w:multiLevelType w:val="hybridMultilevel"/>
    <w:tmpl w:val="06F8B500"/>
    <w:lvl w:ilvl="0" w:tplc="9962B76A">
      <w:start w:val="1"/>
      <w:numFmt w:val="bullet"/>
      <w:lvlText w:val=""/>
      <w:lvlJc w:val="left"/>
      <w:pPr>
        <w:ind w:left="825" w:hanging="360"/>
      </w:pPr>
      <w:rPr>
        <w:rFonts w:ascii="Symbol" w:hAnsi="Symbol" w:hint="default"/>
        <w:color w:val="auto"/>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16cid:durableId="898826323">
    <w:abstractNumId w:val="15"/>
  </w:num>
  <w:num w:numId="2" w16cid:durableId="849565904">
    <w:abstractNumId w:val="3"/>
  </w:num>
  <w:num w:numId="3" w16cid:durableId="1427457352">
    <w:abstractNumId w:val="12"/>
  </w:num>
  <w:num w:numId="4" w16cid:durableId="1183209057">
    <w:abstractNumId w:val="7"/>
  </w:num>
  <w:num w:numId="5" w16cid:durableId="428282506">
    <w:abstractNumId w:val="9"/>
  </w:num>
  <w:num w:numId="6" w16cid:durableId="1942832105">
    <w:abstractNumId w:val="14"/>
  </w:num>
  <w:num w:numId="7" w16cid:durableId="1085570755">
    <w:abstractNumId w:val="13"/>
  </w:num>
  <w:num w:numId="8" w16cid:durableId="1365641137">
    <w:abstractNumId w:val="6"/>
  </w:num>
  <w:num w:numId="9" w16cid:durableId="2140342531">
    <w:abstractNumId w:val="4"/>
  </w:num>
  <w:num w:numId="10" w16cid:durableId="471170592">
    <w:abstractNumId w:val="18"/>
  </w:num>
  <w:num w:numId="11" w16cid:durableId="377244578">
    <w:abstractNumId w:val="1"/>
  </w:num>
  <w:num w:numId="12" w16cid:durableId="1497719621">
    <w:abstractNumId w:val="0"/>
  </w:num>
  <w:num w:numId="13" w16cid:durableId="596136490">
    <w:abstractNumId w:val="11"/>
  </w:num>
  <w:num w:numId="14" w16cid:durableId="1062407025">
    <w:abstractNumId w:val="10"/>
  </w:num>
  <w:num w:numId="15" w16cid:durableId="566455177">
    <w:abstractNumId w:val="2"/>
  </w:num>
  <w:num w:numId="16" w16cid:durableId="1907179186">
    <w:abstractNumId w:val="5"/>
  </w:num>
  <w:num w:numId="17" w16cid:durableId="1852254430">
    <w:abstractNumId w:val="16"/>
  </w:num>
  <w:num w:numId="18" w16cid:durableId="1114668357">
    <w:abstractNumId w:val="17"/>
  </w:num>
  <w:num w:numId="19" w16cid:durableId="986130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6C"/>
    <w:rsid w:val="00002D9C"/>
    <w:rsid w:val="00002E51"/>
    <w:rsid w:val="000064D8"/>
    <w:rsid w:val="0001245F"/>
    <w:rsid w:val="0001295E"/>
    <w:rsid w:val="00012C23"/>
    <w:rsid w:val="0002068C"/>
    <w:rsid w:val="00024C0C"/>
    <w:rsid w:val="00025D47"/>
    <w:rsid w:val="000268F0"/>
    <w:rsid w:val="00027C7F"/>
    <w:rsid w:val="000321EB"/>
    <w:rsid w:val="00032289"/>
    <w:rsid w:val="0003385D"/>
    <w:rsid w:val="00034C7F"/>
    <w:rsid w:val="00036AB4"/>
    <w:rsid w:val="00041A4B"/>
    <w:rsid w:val="00041E32"/>
    <w:rsid w:val="000438E0"/>
    <w:rsid w:val="00045A8C"/>
    <w:rsid w:val="000517C5"/>
    <w:rsid w:val="000546F6"/>
    <w:rsid w:val="00055B03"/>
    <w:rsid w:val="00062736"/>
    <w:rsid w:val="00066538"/>
    <w:rsid w:val="00067609"/>
    <w:rsid w:val="00072DFC"/>
    <w:rsid w:val="0007433E"/>
    <w:rsid w:val="0007726B"/>
    <w:rsid w:val="00091C78"/>
    <w:rsid w:val="00091E3D"/>
    <w:rsid w:val="0009521B"/>
    <w:rsid w:val="00097AC9"/>
    <w:rsid w:val="000A0777"/>
    <w:rsid w:val="000A1214"/>
    <w:rsid w:val="000A16AC"/>
    <w:rsid w:val="000A3905"/>
    <w:rsid w:val="000A6262"/>
    <w:rsid w:val="000A6B70"/>
    <w:rsid w:val="000A7852"/>
    <w:rsid w:val="000B1615"/>
    <w:rsid w:val="000B3289"/>
    <w:rsid w:val="000B54D3"/>
    <w:rsid w:val="000B5DB5"/>
    <w:rsid w:val="000B67DE"/>
    <w:rsid w:val="000C03B7"/>
    <w:rsid w:val="000C64A9"/>
    <w:rsid w:val="000C6B96"/>
    <w:rsid w:val="000C72F6"/>
    <w:rsid w:val="000C7E12"/>
    <w:rsid w:val="000D1B7B"/>
    <w:rsid w:val="000D58D6"/>
    <w:rsid w:val="000D7F6D"/>
    <w:rsid w:val="000E2196"/>
    <w:rsid w:val="000E475A"/>
    <w:rsid w:val="000E49C7"/>
    <w:rsid w:val="000E5608"/>
    <w:rsid w:val="000F1EE2"/>
    <w:rsid w:val="000F6B8A"/>
    <w:rsid w:val="0010269E"/>
    <w:rsid w:val="00105FF2"/>
    <w:rsid w:val="00106477"/>
    <w:rsid w:val="00106861"/>
    <w:rsid w:val="001142E8"/>
    <w:rsid w:val="00114B9A"/>
    <w:rsid w:val="00114E65"/>
    <w:rsid w:val="00115F7D"/>
    <w:rsid w:val="001211DD"/>
    <w:rsid w:val="001213CF"/>
    <w:rsid w:val="00121475"/>
    <w:rsid w:val="00121C60"/>
    <w:rsid w:val="0012249C"/>
    <w:rsid w:val="001257CC"/>
    <w:rsid w:val="001260D3"/>
    <w:rsid w:val="00131CD3"/>
    <w:rsid w:val="001326AF"/>
    <w:rsid w:val="0014074D"/>
    <w:rsid w:val="0014283F"/>
    <w:rsid w:val="00142B9E"/>
    <w:rsid w:val="00143A69"/>
    <w:rsid w:val="00146C12"/>
    <w:rsid w:val="00153E86"/>
    <w:rsid w:val="00155379"/>
    <w:rsid w:val="00155808"/>
    <w:rsid w:val="00162163"/>
    <w:rsid w:val="0016639C"/>
    <w:rsid w:val="00167402"/>
    <w:rsid w:val="00170651"/>
    <w:rsid w:val="00171135"/>
    <w:rsid w:val="00172449"/>
    <w:rsid w:val="00172807"/>
    <w:rsid w:val="00173942"/>
    <w:rsid w:val="001816CC"/>
    <w:rsid w:val="00183001"/>
    <w:rsid w:val="001839E9"/>
    <w:rsid w:val="001863D7"/>
    <w:rsid w:val="001869BA"/>
    <w:rsid w:val="00192709"/>
    <w:rsid w:val="00196332"/>
    <w:rsid w:val="00196917"/>
    <w:rsid w:val="00197BA7"/>
    <w:rsid w:val="001A1B88"/>
    <w:rsid w:val="001A5406"/>
    <w:rsid w:val="001A6747"/>
    <w:rsid w:val="001A6856"/>
    <w:rsid w:val="001A687F"/>
    <w:rsid w:val="001B4153"/>
    <w:rsid w:val="001B74E9"/>
    <w:rsid w:val="001C00AF"/>
    <w:rsid w:val="001C2A65"/>
    <w:rsid w:val="001C43C2"/>
    <w:rsid w:val="001C5E6B"/>
    <w:rsid w:val="001C650D"/>
    <w:rsid w:val="001C69D4"/>
    <w:rsid w:val="001C7C9D"/>
    <w:rsid w:val="001D1187"/>
    <w:rsid w:val="001D1497"/>
    <w:rsid w:val="001D1F83"/>
    <w:rsid w:val="001D22D0"/>
    <w:rsid w:val="001D3EE8"/>
    <w:rsid w:val="001D4279"/>
    <w:rsid w:val="001D435B"/>
    <w:rsid w:val="001D6CF1"/>
    <w:rsid w:val="001E2186"/>
    <w:rsid w:val="001E29E6"/>
    <w:rsid w:val="001E6B64"/>
    <w:rsid w:val="001E74A2"/>
    <w:rsid w:val="001F0CDB"/>
    <w:rsid w:val="001F0EE6"/>
    <w:rsid w:val="001F10A7"/>
    <w:rsid w:val="001F362E"/>
    <w:rsid w:val="001F4FBB"/>
    <w:rsid w:val="001F50D2"/>
    <w:rsid w:val="002033DF"/>
    <w:rsid w:val="00203AF4"/>
    <w:rsid w:val="00207DC0"/>
    <w:rsid w:val="00207EC3"/>
    <w:rsid w:val="00213645"/>
    <w:rsid w:val="002138D2"/>
    <w:rsid w:val="00214269"/>
    <w:rsid w:val="002157B4"/>
    <w:rsid w:val="00217E8A"/>
    <w:rsid w:val="0022143A"/>
    <w:rsid w:val="002224C3"/>
    <w:rsid w:val="00222E93"/>
    <w:rsid w:val="00224D72"/>
    <w:rsid w:val="002258CB"/>
    <w:rsid w:val="00225ADD"/>
    <w:rsid w:val="0022607B"/>
    <w:rsid w:val="00226CBF"/>
    <w:rsid w:val="00230BFC"/>
    <w:rsid w:val="00230D70"/>
    <w:rsid w:val="002379EA"/>
    <w:rsid w:val="0024072E"/>
    <w:rsid w:val="00242F87"/>
    <w:rsid w:val="00243DF5"/>
    <w:rsid w:val="002450EB"/>
    <w:rsid w:val="00247C5D"/>
    <w:rsid w:val="00250A44"/>
    <w:rsid w:val="00251DB3"/>
    <w:rsid w:val="00252112"/>
    <w:rsid w:val="00261C7E"/>
    <w:rsid w:val="002622F9"/>
    <w:rsid w:val="00264809"/>
    <w:rsid w:val="00264A9F"/>
    <w:rsid w:val="00270869"/>
    <w:rsid w:val="00271CB7"/>
    <w:rsid w:val="00272ED8"/>
    <w:rsid w:val="00274E35"/>
    <w:rsid w:val="00274F19"/>
    <w:rsid w:val="0027564F"/>
    <w:rsid w:val="00276388"/>
    <w:rsid w:val="0027741E"/>
    <w:rsid w:val="00282B16"/>
    <w:rsid w:val="00286EEF"/>
    <w:rsid w:val="0029263C"/>
    <w:rsid w:val="00292C9A"/>
    <w:rsid w:val="00293DB2"/>
    <w:rsid w:val="00295340"/>
    <w:rsid w:val="002957C2"/>
    <w:rsid w:val="00295D98"/>
    <w:rsid w:val="00296B4F"/>
    <w:rsid w:val="00297DA7"/>
    <w:rsid w:val="002A04E0"/>
    <w:rsid w:val="002A2900"/>
    <w:rsid w:val="002A2C07"/>
    <w:rsid w:val="002A2F00"/>
    <w:rsid w:val="002A527D"/>
    <w:rsid w:val="002A5462"/>
    <w:rsid w:val="002A677E"/>
    <w:rsid w:val="002A77D9"/>
    <w:rsid w:val="002B1F79"/>
    <w:rsid w:val="002B7188"/>
    <w:rsid w:val="002C077B"/>
    <w:rsid w:val="002C20D7"/>
    <w:rsid w:val="002C56E7"/>
    <w:rsid w:val="002D1237"/>
    <w:rsid w:val="002D5973"/>
    <w:rsid w:val="002D6AAE"/>
    <w:rsid w:val="002E09DC"/>
    <w:rsid w:val="002E1120"/>
    <w:rsid w:val="002E3010"/>
    <w:rsid w:val="002E502F"/>
    <w:rsid w:val="002E678C"/>
    <w:rsid w:val="002E6968"/>
    <w:rsid w:val="002E70F1"/>
    <w:rsid w:val="002E7C2E"/>
    <w:rsid w:val="002F056D"/>
    <w:rsid w:val="002F0DD7"/>
    <w:rsid w:val="002F2715"/>
    <w:rsid w:val="002F4A5C"/>
    <w:rsid w:val="002F6946"/>
    <w:rsid w:val="002F6E36"/>
    <w:rsid w:val="002F7CAF"/>
    <w:rsid w:val="00301851"/>
    <w:rsid w:val="00304E60"/>
    <w:rsid w:val="00305762"/>
    <w:rsid w:val="003075DD"/>
    <w:rsid w:val="0031048D"/>
    <w:rsid w:val="003137DC"/>
    <w:rsid w:val="00315805"/>
    <w:rsid w:val="00316632"/>
    <w:rsid w:val="00316FCB"/>
    <w:rsid w:val="003175C3"/>
    <w:rsid w:val="00317732"/>
    <w:rsid w:val="00321B26"/>
    <w:rsid w:val="0032417A"/>
    <w:rsid w:val="00324826"/>
    <w:rsid w:val="003272C4"/>
    <w:rsid w:val="00331CC8"/>
    <w:rsid w:val="003338F6"/>
    <w:rsid w:val="00334C1F"/>
    <w:rsid w:val="0033637E"/>
    <w:rsid w:val="003366CE"/>
    <w:rsid w:val="00342AF8"/>
    <w:rsid w:val="003446A1"/>
    <w:rsid w:val="003446D7"/>
    <w:rsid w:val="003476A1"/>
    <w:rsid w:val="00347D75"/>
    <w:rsid w:val="0035232D"/>
    <w:rsid w:val="0035264F"/>
    <w:rsid w:val="003542D9"/>
    <w:rsid w:val="00354376"/>
    <w:rsid w:val="003575F6"/>
    <w:rsid w:val="00364248"/>
    <w:rsid w:val="00365ABA"/>
    <w:rsid w:val="00367E27"/>
    <w:rsid w:val="003703CB"/>
    <w:rsid w:val="003712D1"/>
    <w:rsid w:val="00372698"/>
    <w:rsid w:val="003760D3"/>
    <w:rsid w:val="00376175"/>
    <w:rsid w:val="00376401"/>
    <w:rsid w:val="00376EFD"/>
    <w:rsid w:val="00380C74"/>
    <w:rsid w:val="00381040"/>
    <w:rsid w:val="003825E6"/>
    <w:rsid w:val="003829AE"/>
    <w:rsid w:val="00382E4A"/>
    <w:rsid w:val="003834E7"/>
    <w:rsid w:val="00394AD6"/>
    <w:rsid w:val="00394CDC"/>
    <w:rsid w:val="003A0497"/>
    <w:rsid w:val="003A0FD9"/>
    <w:rsid w:val="003A1828"/>
    <w:rsid w:val="003A220D"/>
    <w:rsid w:val="003A5C64"/>
    <w:rsid w:val="003B21CC"/>
    <w:rsid w:val="003B4539"/>
    <w:rsid w:val="003B6888"/>
    <w:rsid w:val="003B7355"/>
    <w:rsid w:val="003C194A"/>
    <w:rsid w:val="003C3055"/>
    <w:rsid w:val="003C3C60"/>
    <w:rsid w:val="003C5EA6"/>
    <w:rsid w:val="003C75AB"/>
    <w:rsid w:val="003C79C2"/>
    <w:rsid w:val="003C7F25"/>
    <w:rsid w:val="003D3DC6"/>
    <w:rsid w:val="003D6A49"/>
    <w:rsid w:val="003E0D36"/>
    <w:rsid w:val="003E1539"/>
    <w:rsid w:val="003E1B3C"/>
    <w:rsid w:val="003E1CA5"/>
    <w:rsid w:val="003E2642"/>
    <w:rsid w:val="003E5DC9"/>
    <w:rsid w:val="003E76C7"/>
    <w:rsid w:val="003E7946"/>
    <w:rsid w:val="003F072A"/>
    <w:rsid w:val="003F512A"/>
    <w:rsid w:val="003F53D0"/>
    <w:rsid w:val="003F5545"/>
    <w:rsid w:val="003F67E1"/>
    <w:rsid w:val="004016BC"/>
    <w:rsid w:val="0040580D"/>
    <w:rsid w:val="00405A27"/>
    <w:rsid w:val="00406E0B"/>
    <w:rsid w:val="00407889"/>
    <w:rsid w:val="00414EA9"/>
    <w:rsid w:val="00416E07"/>
    <w:rsid w:val="00421319"/>
    <w:rsid w:val="00423A35"/>
    <w:rsid w:val="00423ED4"/>
    <w:rsid w:val="00424958"/>
    <w:rsid w:val="004262DB"/>
    <w:rsid w:val="00426FDE"/>
    <w:rsid w:val="004277B6"/>
    <w:rsid w:val="0043575E"/>
    <w:rsid w:val="00441B89"/>
    <w:rsid w:val="0044286F"/>
    <w:rsid w:val="00444DEB"/>
    <w:rsid w:val="00445C4F"/>
    <w:rsid w:val="00445EA5"/>
    <w:rsid w:val="00447086"/>
    <w:rsid w:val="004500DB"/>
    <w:rsid w:val="004504D4"/>
    <w:rsid w:val="0045089F"/>
    <w:rsid w:val="004674BB"/>
    <w:rsid w:val="00472885"/>
    <w:rsid w:val="004734D7"/>
    <w:rsid w:val="00477859"/>
    <w:rsid w:val="00481423"/>
    <w:rsid w:val="00483A11"/>
    <w:rsid w:val="00484037"/>
    <w:rsid w:val="0048534A"/>
    <w:rsid w:val="0049336D"/>
    <w:rsid w:val="00495CF2"/>
    <w:rsid w:val="0049663A"/>
    <w:rsid w:val="004978B6"/>
    <w:rsid w:val="004A2380"/>
    <w:rsid w:val="004A27FC"/>
    <w:rsid w:val="004A4090"/>
    <w:rsid w:val="004A5E99"/>
    <w:rsid w:val="004A6CE0"/>
    <w:rsid w:val="004B4363"/>
    <w:rsid w:val="004B71BB"/>
    <w:rsid w:val="004B7348"/>
    <w:rsid w:val="004C6BA9"/>
    <w:rsid w:val="004D0184"/>
    <w:rsid w:val="004D5FCA"/>
    <w:rsid w:val="004D645B"/>
    <w:rsid w:val="004E142C"/>
    <w:rsid w:val="004E4DF4"/>
    <w:rsid w:val="004E679E"/>
    <w:rsid w:val="004E703E"/>
    <w:rsid w:val="004E73B3"/>
    <w:rsid w:val="004F05FB"/>
    <w:rsid w:val="004F0B56"/>
    <w:rsid w:val="004F2D85"/>
    <w:rsid w:val="004F37B7"/>
    <w:rsid w:val="004F4A8C"/>
    <w:rsid w:val="00506ACA"/>
    <w:rsid w:val="005077E1"/>
    <w:rsid w:val="00510E31"/>
    <w:rsid w:val="00513EBD"/>
    <w:rsid w:val="00515A88"/>
    <w:rsid w:val="0052093E"/>
    <w:rsid w:val="005215E5"/>
    <w:rsid w:val="00521A10"/>
    <w:rsid w:val="005247B6"/>
    <w:rsid w:val="00530ED9"/>
    <w:rsid w:val="00532CFA"/>
    <w:rsid w:val="005370F3"/>
    <w:rsid w:val="00540BA7"/>
    <w:rsid w:val="00546837"/>
    <w:rsid w:val="00546CB5"/>
    <w:rsid w:val="00553BE2"/>
    <w:rsid w:val="00554807"/>
    <w:rsid w:val="00561718"/>
    <w:rsid w:val="00561C6A"/>
    <w:rsid w:val="0056302C"/>
    <w:rsid w:val="00564919"/>
    <w:rsid w:val="005656C0"/>
    <w:rsid w:val="00566880"/>
    <w:rsid w:val="00570164"/>
    <w:rsid w:val="00571185"/>
    <w:rsid w:val="00572427"/>
    <w:rsid w:val="0057336A"/>
    <w:rsid w:val="00574F93"/>
    <w:rsid w:val="00576669"/>
    <w:rsid w:val="005767C4"/>
    <w:rsid w:val="00580D5E"/>
    <w:rsid w:val="00583874"/>
    <w:rsid w:val="00583FC5"/>
    <w:rsid w:val="00585890"/>
    <w:rsid w:val="00587E77"/>
    <w:rsid w:val="00596A47"/>
    <w:rsid w:val="005A1B8C"/>
    <w:rsid w:val="005B1622"/>
    <w:rsid w:val="005B1C1E"/>
    <w:rsid w:val="005B58B3"/>
    <w:rsid w:val="005B6ED0"/>
    <w:rsid w:val="005B6FCB"/>
    <w:rsid w:val="005C3664"/>
    <w:rsid w:val="005C5BBD"/>
    <w:rsid w:val="005C751C"/>
    <w:rsid w:val="005D0642"/>
    <w:rsid w:val="005D159B"/>
    <w:rsid w:val="005D26A2"/>
    <w:rsid w:val="005D4913"/>
    <w:rsid w:val="005D65FE"/>
    <w:rsid w:val="005E1506"/>
    <w:rsid w:val="005E256E"/>
    <w:rsid w:val="005E2B72"/>
    <w:rsid w:val="005E2EBA"/>
    <w:rsid w:val="005F03C8"/>
    <w:rsid w:val="005F0ABA"/>
    <w:rsid w:val="005F5738"/>
    <w:rsid w:val="005F716C"/>
    <w:rsid w:val="00602473"/>
    <w:rsid w:val="00602DAB"/>
    <w:rsid w:val="00603333"/>
    <w:rsid w:val="00603B50"/>
    <w:rsid w:val="00603E1C"/>
    <w:rsid w:val="00607229"/>
    <w:rsid w:val="006117A7"/>
    <w:rsid w:val="0061489E"/>
    <w:rsid w:val="00620724"/>
    <w:rsid w:val="00621BD4"/>
    <w:rsid w:val="00622A95"/>
    <w:rsid w:val="00622C19"/>
    <w:rsid w:val="0062394F"/>
    <w:rsid w:val="0062399D"/>
    <w:rsid w:val="00626976"/>
    <w:rsid w:val="00627222"/>
    <w:rsid w:val="00627E34"/>
    <w:rsid w:val="00641D0A"/>
    <w:rsid w:val="00645135"/>
    <w:rsid w:val="00646FAC"/>
    <w:rsid w:val="006521FA"/>
    <w:rsid w:val="006574DE"/>
    <w:rsid w:val="0065786B"/>
    <w:rsid w:val="0066006B"/>
    <w:rsid w:val="006606F3"/>
    <w:rsid w:val="00660B18"/>
    <w:rsid w:val="0066272A"/>
    <w:rsid w:val="00665158"/>
    <w:rsid w:val="0066516F"/>
    <w:rsid w:val="00666FAE"/>
    <w:rsid w:val="00667A24"/>
    <w:rsid w:val="00667A45"/>
    <w:rsid w:val="00674BED"/>
    <w:rsid w:val="006751FD"/>
    <w:rsid w:val="006762F8"/>
    <w:rsid w:val="00676BCE"/>
    <w:rsid w:val="00677104"/>
    <w:rsid w:val="006869E0"/>
    <w:rsid w:val="00686F5C"/>
    <w:rsid w:val="00690AF4"/>
    <w:rsid w:val="0069191F"/>
    <w:rsid w:val="00692AC7"/>
    <w:rsid w:val="00696728"/>
    <w:rsid w:val="00697A89"/>
    <w:rsid w:val="006A0D1F"/>
    <w:rsid w:val="006A1768"/>
    <w:rsid w:val="006A711F"/>
    <w:rsid w:val="006B1581"/>
    <w:rsid w:val="006B18B0"/>
    <w:rsid w:val="006B4D39"/>
    <w:rsid w:val="006B4DBD"/>
    <w:rsid w:val="006B7DB4"/>
    <w:rsid w:val="006C1E98"/>
    <w:rsid w:val="006C36B5"/>
    <w:rsid w:val="006D13A8"/>
    <w:rsid w:val="006D15BD"/>
    <w:rsid w:val="006D2980"/>
    <w:rsid w:val="006D3879"/>
    <w:rsid w:val="006D3A05"/>
    <w:rsid w:val="006D4475"/>
    <w:rsid w:val="006E099B"/>
    <w:rsid w:val="006E3707"/>
    <w:rsid w:val="006E5A1A"/>
    <w:rsid w:val="006F0E81"/>
    <w:rsid w:val="006F19A5"/>
    <w:rsid w:val="006F5D70"/>
    <w:rsid w:val="006F77D7"/>
    <w:rsid w:val="00701A2B"/>
    <w:rsid w:val="0070507F"/>
    <w:rsid w:val="0070530F"/>
    <w:rsid w:val="00705958"/>
    <w:rsid w:val="00707AD0"/>
    <w:rsid w:val="00710B51"/>
    <w:rsid w:val="007125CA"/>
    <w:rsid w:val="00714E23"/>
    <w:rsid w:val="00720365"/>
    <w:rsid w:val="00724B41"/>
    <w:rsid w:val="00725A3A"/>
    <w:rsid w:val="00725E79"/>
    <w:rsid w:val="00727B3F"/>
    <w:rsid w:val="00727B8D"/>
    <w:rsid w:val="007318DA"/>
    <w:rsid w:val="00735277"/>
    <w:rsid w:val="0073622C"/>
    <w:rsid w:val="0073661C"/>
    <w:rsid w:val="00740477"/>
    <w:rsid w:val="00742121"/>
    <w:rsid w:val="00744F02"/>
    <w:rsid w:val="00752B05"/>
    <w:rsid w:val="007551F6"/>
    <w:rsid w:val="007577EC"/>
    <w:rsid w:val="0076435E"/>
    <w:rsid w:val="00765D5E"/>
    <w:rsid w:val="007677AF"/>
    <w:rsid w:val="00770175"/>
    <w:rsid w:val="0077418F"/>
    <w:rsid w:val="007803C3"/>
    <w:rsid w:val="00787811"/>
    <w:rsid w:val="00787E96"/>
    <w:rsid w:val="0079240E"/>
    <w:rsid w:val="00792BA7"/>
    <w:rsid w:val="00793D09"/>
    <w:rsid w:val="0079578A"/>
    <w:rsid w:val="00795F73"/>
    <w:rsid w:val="007963C1"/>
    <w:rsid w:val="007A02F8"/>
    <w:rsid w:val="007A3B0B"/>
    <w:rsid w:val="007A3EC1"/>
    <w:rsid w:val="007A42EB"/>
    <w:rsid w:val="007A46BF"/>
    <w:rsid w:val="007A5F42"/>
    <w:rsid w:val="007A6A79"/>
    <w:rsid w:val="007A7FC0"/>
    <w:rsid w:val="007B1883"/>
    <w:rsid w:val="007B36AE"/>
    <w:rsid w:val="007B4542"/>
    <w:rsid w:val="007B50A4"/>
    <w:rsid w:val="007B5A58"/>
    <w:rsid w:val="007C1314"/>
    <w:rsid w:val="007C1A54"/>
    <w:rsid w:val="007C38F5"/>
    <w:rsid w:val="007C3D3D"/>
    <w:rsid w:val="007C48B7"/>
    <w:rsid w:val="007C7751"/>
    <w:rsid w:val="007D1CA4"/>
    <w:rsid w:val="007D5823"/>
    <w:rsid w:val="007E2286"/>
    <w:rsid w:val="007E58E6"/>
    <w:rsid w:val="007E7DEF"/>
    <w:rsid w:val="007F14DE"/>
    <w:rsid w:val="007F1CD2"/>
    <w:rsid w:val="007F3470"/>
    <w:rsid w:val="007F38F0"/>
    <w:rsid w:val="007F5ADE"/>
    <w:rsid w:val="008009A2"/>
    <w:rsid w:val="00804125"/>
    <w:rsid w:val="00807233"/>
    <w:rsid w:val="008179A2"/>
    <w:rsid w:val="00822E46"/>
    <w:rsid w:val="0082743A"/>
    <w:rsid w:val="00830B20"/>
    <w:rsid w:val="00830D00"/>
    <w:rsid w:val="008326BE"/>
    <w:rsid w:val="0083353A"/>
    <w:rsid w:val="00833C63"/>
    <w:rsid w:val="008357EA"/>
    <w:rsid w:val="00836404"/>
    <w:rsid w:val="008420E3"/>
    <w:rsid w:val="00845706"/>
    <w:rsid w:val="00845C57"/>
    <w:rsid w:val="00847081"/>
    <w:rsid w:val="0084794E"/>
    <w:rsid w:val="008506D1"/>
    <w:rsid w:val="0085228A"/>
    <w:rsid w:val="00852EEC"/>
    <w:rsid w:val="00853105"/>
    <w:rsid w:val="0085356D"/>
    <w:rsid w:val="0085467C"/>
    <w:rsid w:val="0086027B"/>
    <w:rsid w:val="00860342"/>
    <w:rsid w:val="00872B83"/>
    <w:rsid w:val="00875638"/>
    <w:rsid w:val="008903F1"/>
    <w:rsid w:val="00891C84"/>
    <w:rsid w:val="00892D88"/>
    <w:rsid w:val="008942B9"/>
    <w:rsid w:val="008963DD"/>
    <w:rsid w:val="00896514"/>
    <w:rsid w:val="008A06AB"/>
    <w:rsid w:val="008A6756"/>
    <w:rsid w:val="008A6D05"/>
    <w:rsid w:val="008A766E"/>
    <w:rsid w:val="008B117F"/>
    <w:rsid w:val="008B486D"/>
    <w:rsid w:val="008B5F08"/>
    <w:rsid w:val="008B6D6C"/>
    <w:rsid w:val="008B6EB9"/>
    <w:rsid w:val="008C76E8"/>
    <w:rsid w:val="008C7AFE"/>
    <w:rsid w:val="008D244B"/>
    <w:rsid w:val="008D34C1"/>
    <w:rsid w:val="008D51D1"/>
    <w:rsid w:val="008D559F"/>
    <w:rsid w:val="008D60B5"/>
    <w:rsid w:val="008E103A"/>
    <w:rsid w:val="008E3854"/>
    <w:rsid w:val="008E5393"/>
    <w:rsid w:val="008F1BB4"/>
    <w:rsid w:val="008F22B1"/>
    <w:rsid w:val="008F2688"/>
    <w:rsid w:val="008F37AE"/>
    <w:rsid w:val="008F41EA"/>
    <w:rsid w:val="008F4227"/>
    <w:rsid w:val="008F4612"/>
    <w:rsid w:val="008F7888"/>
    <w:rsid w:val="009025A6"/>
    <w:rsid w:val="00902662"/>
    <w:rsid w:val="00906659"/>
    <w:rsid w:val="00910D9D"/>
    <w:rsid w:val="00913E49"/>
    <w:rsid w:val="009140D7"/>
    <w:rsid w:val="00914E99"/>
    <w:rsid w:val="009174B4"/>
    <w:rsid w:val="00917796"/>
    <w:rsid w:val="0092646F"/>
    <w:rsid w:val="009322EF"/>
    <w:rsid w:val="00933763"/>
    <w:rsid w:val="00937DF4"/>
    <w:rsid w:val="00937F31"/>
    <w:rsid w:val="00943CBE"/>
    <w:rsid w:val="00945A3A"/>
    <w:rsid w:val="00946ADD"/>
    <w:rsid w:val="00951ADA"/>
    <w:rsid w:val="00952469"/>
    <w:rsid w:val="0095615B"/>
    <w:rsid w:val="00960E9A"/>
    <w:rsid w:val="00961962"/>
    <w:rsid w:val="009637F1"/>
    <w:rsid w:val="00965617"/>
    <w:rsid w:val="0096675C"/>
    <w:rsid w:val="00972295"/>
    <w:rsid w:val="009731D7"/>
    <w:rsid w:val="00976DC3"/>
    <w:rsid w:val="009826C8"/>
    <w:rsid w:val="009829B1"/>
    <w:rsid w:val="00983667"/>
    <w:rsid w:val="00983898"/>
    <w:rsid w:val="0098404B"/>
    <w:rsid w:val="0098484D"/>
    <w:rsid w:val="009856C7"/>
    <w:rsid w:val="0099080A"/>
    <w:rsid w:val="0099100A"/>
    <w:rsid w:val="00991E9B"/>
    <w:rsid w:val="00994929"/>
    <w:rsid w:val="009A271B"/>
    <w:rsid w:val="009A49B6"/>
    <w:rsid w:val="009A50A1"/>
    <w:rsid w:val="009A5B65"/>
    <w:rsid w:val="009A6FAC"/>
    <w:rsid w:val="009B2DF8"/>
    <w:rsid w:val="009B3511"/>
    <w:rsid w:val="009B508C"/>
    <w:rsid w:val="009B5594"/>
    <w:rsid w:val="009B5C05"/>
    <w:rsid w:val="009C4F29"/>
    <w:rsid w:val="009D39D7"/>
    <w:rsid w:val="009D5263"/>
    <w:rsid w:val="009D65E5"/>
    <w:rsid w:val="009D7345"/>
    <w:rsid w:val="009E17FB"/>
    <w:rsid w:val="009E30CE"/>
    <w:rsid w:val="009E3680"/>
    <w:rsid w:val="009E4410"/>
    <w:rsid w:val="009E586C"/>
    <w:rsid w:val="009E614E"/>
    <w:rsid w:val="009E753A"/>
    <w:rsid w:val="009F1F7E"/>
    <w:rsid w:val="009F341A"/>
    <w:rsid w:val="009F6F0E"/>
    <w:rsid w:val="00A03071"/>
    <w:rsid w:val="00A055CE"/>
    <w:rsid w:val="00A17007"/>
    <w:rsid w:val="00A2047B"/>
    <w:rsid w:val="00A223CA"/>
    <w:rsid w:val="00A234FB"/>
    <w:rsid w:val="00A26EE9"/>
    <w:rsid w:val="00A329AC"/>
    <w:rsid w:val="00A33316"/>
    <w:rsid w:val="00A33CA0"/>
    <w:rsid w:val="00A33F4C"/>
    <w:rsid w:val="00A435EC"/>
    <w:rsid w:val="00A43713"/>
    <w:rsid w:val="00A45744"/>
    <w:rsid w:val="00A47EB7"/>
    <w:rsid w:val="00A5121D"/>
    <w:rsid w:val="00A51919"/>
    <w:rsid w:val="00A57B6A"/>
    <w:rsid w:val="00A6698F"/>
    <w:rsid w:val="00A67BD7"/>
    <w:rsid w:val="00A707DC"/>
    <w:rsid w:val="00A714A6"/>
    <w:rsid w:val="00A751DE"/>
    <w:rsid w:val="00A75452"/>
    <w:rsid w:val="00A76417"/>
    <w:rsid w:val="00A80BB7"/>
    <w:rsid w:val="00A85BC6"/>
    <w:rsid w:val="00A85C88"/>
    <w:rsid w:val="00A86D7D"/>
    <w:rsid w:val="00A92294"/>
    <w:rsid w:val="00A9486A"/>
    <w:rsid w:val="00A968CF"/>
    <w:rsid w:val="00AA22A6"/>
    <w:rsid w:val="00AA3B70"/>
    <w:rsid w:val="00AB6C60"/>
    <w:rsid w:val="00AB7889"/>
    <w:rsid w:val="00AC0161"/>
    <w:rsid w:val="00AC133B"/>
    <w:rsid w:val="00AC2F31"/>
    <w:rsid w:val="00AC6295"/>
    <w:rsid w:val="00AC763E"/>
    <w:rsid w:val="00AC7A9D"/>
    <w:rsid w:val="00AD4B09"/>
    <w:rsid w:val="00AD6463"/>
    <w:rsid w:val="00AD7249"/>
    <w:rsid w:val="00AE05CD"/>
    <w:rsid w:val="00AE43A9"/>
    <w:rsid w:val="00AE4B0B"/>
    <w:rsid w:val="00AE57BD"/>
    <w:rsid w:val="00AE61D5"/>
    <w:rsid w:val="00AE6A41"/>
    <w:rsid w:val="00AF1948"/>
    <w:rsid w:val="00AF252F"/>
    <w:rsid w:val="00AF45F5"/>
    <w:rsid w:val="00AF6C45"/>
    <w:rsid w:val="00B00B05"/>
    <w:rsid w:val="00B01386"/>
    <w:rsid w:val="00B034AB"/>
    <w:rsid w:val="00B103C2"/>
    <w:rsid w:val="00B1117D"/>
    <w:rsid w:val="00B143EB"/>
    <w:rsid w:val="00B16CC6"/>
    <w:rsid w:val="00B2049D"/>
    <w:rsid w:val="00B205FD"/>
    <w:rsid w:val="00B20F23"/>
    <w:rsid w:val="00B20FD3"/>
    <w:rsid w:val="00B2166A"/>
    <w:rsid w:val="00B21716"/>
    <w:rsid w:val="00B224CA"/>
    <w:rsid w:val="00B22EF7"/>
    <w:rsid w:val="00B26BAF"/>
    <w:rsid w:val="00B305C1"/>
    <w:rsid w:val="00B30D86"/>
    <w:rsid w:val="00B3303F"/>
    <w:rsid w:val="00B35DD0"/>
    <w:rsid w:val="00B3608A"/>
    <w:rsid w:val="00B36197"/>
    <w:rsid w:val="00B422E1"/>
    <w:rsid w:val="00B43969"/>
    <w:rsid w:val="00B44151"/>
    <w:rsid w:val="00B479E1"/>
    <w:rsid w:val="00B47CA7"/>
    <w:rsid w:val="00B47F5C"/>
    <w:rsid w:val="00B5026A"/>
    <w:rsid w:val="00B515EA"/>
    <w:rsid w:val="00B51DB4"/>
    <w:rsid w:val="00B5373A"/>
    <w:rsid w:val="00B54598"/>
    <w:rsid w:val="00B54799"/>
    <w:rsid w:val="00B55943"/>
    <w:rsid w:val="00B61F6E"/>
    <w:rsid w:val="00B64A7C"/>
    <w:rsid w:val="00B66130"/>
    <w:rsid w:val="00B662C0"/>
    <w:rsid w:val="00B663F6"/>
    <w:rsid w:val="00B667B9"/>
    <w:rsid w:val="00B67B1E"/>
    <w:rsid w:val="00B72C0C"/>
    <w:rsid w:val="00B744E1"/>
    <w:rsid w:val="00B74981"/>
    <w:rsid w:val="00B74D5A"/>
    <w:rsid w:val="00B7538A"/>
    <w:rsid w:val="00B7583B"/>
    <w:rsid w:val="00B779F9"/>
    <w:rsid w:val="00B8122F"/>
    <w:rsid w:val="00B82B00"/>
    <w:rsid w:val="00B830E4"/>
    <w:rsid w:val="00B83420"/>
    <w:rsid w:val="00B85850"/>
    <w:rsid w:val="00B93830"/>
    <w:rsid w:val="00B9542B"/>
    <w:rsid w:val="00B9654F"/>
    <w:rsid w:val="00B9704D"/>
    <w:rsid w:val="00BA0C24"/>
    <w:rsid w:val="00BA248E"/>
    <w:rsid w:val="00BA2DB4"/>
    <w:rsid w:val="00BA37BE"/>
    <w:rsid w:val="00BA3D22"/>
    <w:rsid w:val="00BA5133"/>
    <w:rsid w:val="00BA5AD3"/>
    <w:rsid w:val="00BA6538"/>
    <w:rsid w:val="00BB0DD1"/>
    <w:rsid w:val="00BB2535"/>
    <w:rsid w:val="00BB497A"/>
    <w:rsid w:val="00BB56E0"/>
    <w:rsid w:val="00BB71BF"/>
    <w:rsid w:val="00BC1DC0"/>
    <w:rsid w:val="00BC362C"/>
    <w:rsid w:val="00BC4E4F"/>
    <w:rsid w:val="00BC68C1"/>
    <w:rsid w:val="00BC74D4"/>
    <w:rsid w:val="00BD2038"/>
    <w:rsid w:val="00BD2834"/>
    <w:rsid w:val="00BD29A6"/>
    <w:rsid w:val="00BE2535"/>
    <w:rsid w:val="00BE2ABF"/>
    <w:rsid w:val="00BE5D22"/>
    <w:rsid w:val="00BE7828"/>
    <w:rsid w:val="00BF355F"/>
    <w:rsid w:val="00BF3E4E"/>
    <w:rsid w:val="00BF4C49"/>
    <w:rsid w:val="00BF6260"/>
    <w:rsid w:val="00BF648A"/>
    <w:rsid w:val="00BF65E6"/>
    <w:rsid w:val="00BF7AFB"/>
    <w:rsid w:val="00C00506"/>
    <w:rsid w:val="00C01623"/>
    <w:rsid w:val="00C018F9"/>
    <w:rsid w:val="00C06537"/>
    <w:rsid w:val="00C1551A"/>
    <w:rsid w:val="00C16343"/>
    <w:rsid w:val="00C17BC7"/>
    <w:rsid w:val="00C21AE4"/>
    <w:rsid w:val="00C23146"/>
    <w:rsid w:val="00C27FC9"/>
    <w:rsid w:val="00C33882"/>
    <w:rsid w:val="00C345F6"/>
    <w:rsid w:val="00C36C3B"/>
    <w:rsid w:val="00C402A2"/>
    <w:rsid w:val="00C4081D"/>
    <w:rsid w:val="00C43392"/>
    <w:rsid w:val="00C43A18"/>
    <w:rsid w:val="00C44FAB"/>
    <w:rsid w:val="00C477C6"/>
    <w:rsid w:val="00C47DC9"/>
    <w:rsid w:val="00C51279"/>
    <w:rsid w:val="00C53F8D"/>
    <w:rsid w:val="00C55F5A"/>
    <w:rsid w:val="00C57B83"/>
    <w:rsid w:val="00C61675"/>
    <w:rsid w:val="00C66ECA"/>
    <w:rsid w:val="00C72C0D"/>
    <w:rsid w:val="00C72E89"/>
    <w:rsid w:val="00C75044"/>
    <w:rsid w:val="00C7546A"/>
    <w:rsid w:val="00C764AE"/>
    <w:rsid w:val="00C811F1"/>
    <w:rsid w:val="00C92036"/>
    <w:rsid w:val="00C92C52"/>
    <w:rsid w:val="00C94400"/>
    <w:rsid w:val="00C97DAC"/>
    <w:rsid w:val="00CA1DE6"/>
    <w:rsid w:val="00CA210E"/>
    <w:rsid w:val="00CA3A4A"/>
    <w:rsid w:val="00CA3AB8"/>
    <w:rsid w:val="00CA4098"/>
    <w:rsid w:val="00CA508F"/>
    <w:rsid w:val="00CB3C93"/>
    <w:rsid w:val="00CB60DD"/>
    <w:rsid w:val="00CB73B3"/>
    <w:rsid w:val="00CC0C41"/>
    <w:rsid w:val="00CC2ABB"/>
    <w:rsid w:val="00CC69DF"/>
    <w:rsid w:val="00CD2D29"/>
    <w:rsid w:val="00CD5596"/>
    <w:rsid w:val="00CE0206"/>
    <w:rsid w:val="00CE62F1"/>
    <w:rsid w:val="00CF0645"/>
    <w:rsid w:val="00CF1B3F"/>
    <w:rsid w:val="00CF4616"/>
    <w:rsid w:val="00CF4948"/>
    <w:rsid w:val="00CF49B1"/>
    <w:rsid w:val="00CF521A"/>
    <w:rsid w:val="00D026FE"/>
    <w:rsid w:val="00D03E75"/>
    <w:rsid w:val="00D04803"/>
    <w:rsid w:val="00D06D66"/>
    <w:rsid w:val="00D07415"/>
    <w:rsid w:val="00D10CEC"/>
    <w:rsid w:val="00D148C6"/>
    <w:rsid w:val="00D15402"/>
    <w:rsid w:val="00D21269"/>
    <w:rsid w:val="00D23F78"/>
    <w:rsid w:val="00D30AE6"/>
    <w:rsid w:val="00D35E3E"/>
    <w:rsid w:val="00D40DC5"/>
    <w:rsid w:val="00D41CB0"/>
    <w:rsid w:val="00D41F9C"/>
    <w:rsid w:val="00D42965"/>
    <w:rsid w:val="00D43D25"/>
    <w:rsid w:val="00D47065"/>
    <w:rsid w:val="00D47781"/>
    <w:rsid w:val="00D5093B"/>
    <w:rsid w:val="00D51501"/>
    <w:rsid w:val="00D547F0"/>
    <w:rsid w:val="00D5490A"/>
    <w:rsid w:val="00D5547D"/>
    <w:rsid w:val="00D57BC7"/>
    <w:rsid w:val="00D66C5A"/>
    <w:rsid w:val="00D66F8A"/>
    <w:rsid w:val="00D67862"/>
    <w:rsid w:val="00D7187A"/>
    <w:rsid w:val="00D72459"/>
    <w:rsid w:val="00D73449"/>
    <w:rsid w:val="00D7450D"/>
    <w:rsid w:val="00D746ED"/>
    <w:rsid w:val="00D80EC0"/>
    <w:rsid w:val="00D824A2"/>
    <w:rsid w:val="00D841CD"/>
    <w:rsid w:val="00D90267"/>
    <w:rsid w:val="00D90FDA"/>
    <w:rsid w:val="00D91068"/>
    <w:rsid w:val="00D94549"/>
    <w:rsid w:val="00DA03C9"/>
    <w:rsid w:val="00DA0D23"/>
    <w:rsid w:val="00DA14FD"/>
    <w:rsid w:val="00DA1FC5"/>
    <w:rsid w:val="00DA54BE"/>
    <w:rsid w:val="00DA648F"/>
    <w:rsid w:val="00DA7AD6"/>
    <w:rsid w:val="00DB0ACB"/>
    <w:rsid w:val="00DB1AE0"/>
    <w:rsid w:val="00DB4FD1"/>
    <w:rsid w:val="00DB5159"/>
    <w:rsid w:val="00DB64DF"/>
    <w:rsid w:val="00DC0C0A"/>
    <w:rsid w:val="00DC1D53"/>
    <w:rsid w:val="00DC2EBE"/>
    <w:rsid w:val="00DC3D85"/>
    <w:rsid w:val="00DC4358"/>
    <w:rsid w:val="00DC6B58"/>
    <w:rsid w:val="00DD0E5D"/>
    <w:rsid w:val="00DD1BDC"/>
    <w:rsid w:val="00DD213E"/>
    <w:rsid w:val="00DD3F96"/>
    <w:rsid w:val="00DD7698"/>
    <w:rsid w:val="00DD7A82"/>
    <w:rsid w:val="00DE1479"/>
    <w:rsid w:val="00DE250D"/>
    <w:rsid w:val="00DE2992"/>
    <w:rsid w:val="00DE4DB0"/>
    <w:rsid w:val="00DF09CB"/>
    <w:rsid w:val="00DF291D"/>
    <w:rsid w:val="00DF368E"/>
    <w:rsid w:val="00DF4009"/>
    <w:rsid w:val="00DF7FD5"/>
    <w:rsid w:val="00E0197C"/>
    <w:rsid w:val="00E01F4C"/>
    <w:rsid w:val="00E02184"/>
    <w:rsid w:val="00E02729"/>
    <w:rsid w:val="00E04E0A"/>
    <w:rsid w:val="00E06CD3"/>
    <w:rsid w:val="00E070CD"/>
    <w:rsid w:val="00E07B18"/>
    <w:rsid w:val="00E11017"/>
    <w:rsid w:val="00E1440C"/>
    <w:rsid w:val="00E14EF8"/>
    <w:rsid w:val="00E15219"/>
    <w:rsid w:val="00E16B94"/>
    <w:rsid w:val="00E17807"/>
    <w:rsid w:val="00E204E5"/>
    <w:rsid w:val="00E20F61"/>
    <w:rsid w:val="00E23216"/>
    <w:rsid w:val="00E262CE"/>
    <w:rsid w:val="00E31411"/>
    <w:rsid w:val="00E32AE9"/>
    <w:rsid w:val="00E33CA3"/>
    <w:rsid w:val="00E37344"/>
    <w:rsid w:val="00E4697C"/>
    <w:rsid w:val="00E46B06"/>
    <w:rsid w:val="00E47060"/>
    <w:rsid w:val="00E50488"/>
    <w:rsid w:val="00E50866"/>
    <w:rsid w:val="00E5235A"/>
    <w:rsid w:val="00E52A6E"/>
    <w:rsid w:val="00E52CD5"/>
    <w:rsid w:val="00E56D14"/>
    <w:rsid w:val="00E612FE"/>
    <w:rsid w:val="00E6298F"/>
    <w:rsid w:val="00E671F5"/>
    <w:rsid w:val="00E67B39"/>
    <w:rsid w:val="00E70FA5"/>
    <w:rsid w:val="00E71707"/>
    <w:rsid w:val="00E76C57"/>
    <w:rsid w:val="00E81E70"/>
    <w:rsid w:val="00E92995"/>
    <w:rsid w:val="00E95767"/>
    <w:rsid w:val="00E96332"/>
    <w:rsid w:val="00EA3AFE"/>
    <w:rsid w:val="00EA44F6"/>
    <w:rsid w:val="00EA5104"/>
    <w:rsid w:val="00EA5144"/>
    <w:rsid w:val="00EA7B86"/>
    <w:rsid w:val="00EB19DC"/>
    <w:rsid w:val="00EB4797"/>
    <w:rsid w:val="00EB4C30"/>
    <w:rsid w:val="00EC028C"/>
    <w:rsid w:val="00EC373C"/>
    <w:rsid w:val="00EC4A3D"/>
    <w:rsid w:val="00EC5C27"/>
    <w:rsid w:val="00EC7066"/>
    <w:rsid w:val="00EC77E2"/>
    <w:rsid w:val="00EC7DC4"/>
    <w:rsid w:val="00ED245C"/>
    <w:rsid w:val="00ED38F6"/>
    <w:rsid w:val="00ED39C4"/>
    <w:rsid w:val="00ED47A5"/>
    <w:rsid w:val="00EE099F"/>
    <w:rsid w:val="00EE3FD7"/>
    <w:rsid w:val="00EF08F2"/>
    <w:rsid w:val="00EF19B0"/>
    <w:rsid w:val="00EF2BE0"/>
    <w:rsid w:val="00EF3C5B"/>
    <w:rsid w:val="00EF5138"/>
    <w:rsid w:val="00EF6117"/>
    <w:rsid w:val="00F0153A"/>
    <w:rsid w:val="00F015A9"/>
    <w:rsid w:val="00F03981"/>
    <w:rsid w:val="00F05DDD"/>
    <w:rsid w:val="00F071F1"/>
    <w:rsid w:val="00F0720D"/>
    <w:rsid w:val="00F11B0D"/>
    <w:rsid w:val="00F12BAB"/>
    <w:rsid w:val="00F1379B"/>
    <w:rsid w:val="00F1520B"/>
    <w:rsid w:val="00F16BA2"/>
    <w:rsid w:val="00F20D1C"/>
    <w:rsid w:val="00F20F46"/>
    <w:rsid w:val="00F245B2"/>
    <w:rsid w:val="00F2551C"/>
    <w:rsid w:val="00F25B4A"/>
    <w:rsid w:val="00F27346"/>
    <w:rsid w:val="00F30BD2"/>
    <w:rsid w:val="00F32A86"/>
    <w:rsid w:val="00F33A72"/>
    <w:rsid w:val="00F343F0"/>
    <w:rsid w:val="00F367A4"/>
    <w:rsid w:val="00F43A67"/>
    <w:rsid w:val="00F46EF3"/>
    <w:rsid w:val="00F47AE7"/>
    <w:rsid w:val="00F47B42"/>
    <w:rsid w:val="00F504A7"/>
    <w:rsid w:val="00F50A22"/>
    <w:rsid w:val="00F50EFA"/>
    <w:rsid w:val="00F54BAC"/>
    <w:rsid w:val="00F63AD1"/>
    <w:rsid w:val="00F64E3A"/>
    <w:rsid w:val="00F6546C"/>
    <w:rsid w:val="00F675F5"/>
    <w:rsid w:val="00F7148E"/>
    <w:rsid w:val="00F7228D"/>
    <w:rsid w:val="00F729B8"/>
    <w:rsid w:val="00F74ACE"/>
    <w:rsid w:val="00F760F5"/>
    <w:rsid w:val="00F80AE0"/>
    <w:rsid w:val="00F85C66"/>
    <w:rsid w:val="00F94A07"/>
    <w:rsid w:val="00F96E6A"/>
    <w:rsid w:val="00F971DE"/>
    <w:rsid w:val="00FA1378"/>
    <w:rsid w:val="00FA37AA"/>
    <w:rsid w:val="00FA39D7"/>
    <w:rsid w:val="00FA5D1A"/>
    <w:rsid w:val="00FA7E4C"/>
    <w:rsid w:val="00FB02BD"/>
    <w:rsid w:val="00FB28FC"/>
    <w:rsid w:val="00FB2E31"/>
    <w:rsid w:val="00FB5132"/>
    <w:rsid w:val="00FB5C2A"/>
    <w:rsid w:val="00FB5E2A"/>
    <w:rsid w:val="00FB61BD"/>
    <w:rsid w:val="00FB67EA"/>
    <w:rsid w:val="00FC11D1"/>
    <w:rsid w:val="00FC18BA"/>
    <w:rsid w:val="00FD038C"/>
    <w:rsid w:val="00FD3FC6"/>
    <w:rsid w:val="00FD559E"/>
    <w:rsid w:val="00FD7AEF"/>
    <w:rsid w:val="00FE0758"/>
    <w:rsid w:val="00FE202D"/>
    <w:rsid w:val="00FE6B61"/>
    <w:rsid w:val="00FF4336"/>
    <w:rsid w:val="00FF57B6"/>
    <w:rsid w:val="00FF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80669"/>
  <w15:chartTrackingRefBased/>
  <w15:docId w15:val="{389ACF69-8317-4055-8280-ED36DEBB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uiPriority="1" w:qFormat="1"/>
    <w:lsdException w:name="Body Text First Indent 2" w:uiPriority="1" w:qFormat="1"/>
    <w:lsdException w:name="Note Heading" w:semiHidden="1" w:unhideWhenUsed="1"/>
    <w:lsdException w:name="Body Text 2" w:uiPriority="1" w:qFormat="1"/>
    <w:lsdException w:name="Body Text 3" w:semiHidden="1" w:unhideWhenUsed="1"/>
    <w:lsdException w:name="Body Text Indent 2" w:semiHidden="1" w:unhideWhenUsed="1"/>
    <w:lsdException w:name="Body Text Indent 3" w:semiHidden="1" w:unhideWhenUsed="1"/>
    <w:lsdException w:name="Block Text" w:uiPriority="2" w:qFormat="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2F7CAF"/>
    <w:pPr>
      <w:spacing w:after="240" w:line="240" w:lineRule="auto"/>
    </w:pPr>
    <w:rPr>
      <w:rFonts w:ascii="Times New Roman" w:hAnsi="Times New Roman"/>
      <w:sz w:val="24"/>
    </w:rPr>
  </w:style>
  <w:style w:type="paragraph" w:styleId="Heading1">
    <w:name w:val="heading 1"/>
    <w:basedOn w:val="Normal"/>
    <w:next w:val="Normal"/>
    <w:link w:val="Heading1Char"/>
    <w:uiPriority w:val="9"/>
    <w:unhideWhenUsed/>
    <w:qFormat/>
    <w:rsid w:val="00626976"/>
    <w:pPr>
      <w:keepNext/>
      <w:keepLines/>
      <w:outlineLvl w:val="0"/>
    </w:pPr>
    <w:rPr>
      <w:rFonts w:eastAsiaTheme="majorEastAsia" w:cstheme="majorBidi"/>
      <w:szCs w:val="32"/>
    </w:rPr>
  </w:style>
  <w:style w:type="paragraph" w:styleId="Heading2">
    <w:name w:val="heading 2"/>
    <w:basedOn w:val="Normal"/>
    <w:next w:val="Normal"/>
    <w:link w:val="Heading2Char"/>
    <w:uiPriority w:val="9"/>
    <w:semiHidden/>
    <w:unhideWhenUsed/>
    <w:qFormat/>
    <w:rsid w:val="000B3289"/>
    <w:pPr>
      <w:keepNext/>
      <w:keepLines/>
      <w:spacing w:before="40" w:after="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26976"/>
  </w:style>
  <w:style w:type="character" w:customStyle="1" w:styleId="BodyTextChar">
    <w:name w:val="Body Text Char"/>
    <w:basedOn w:val="DefaultParagraphFont"/>
    <w:link w:val="BodyText"/>
    <w:uiPriority w:val="1"/>
    <w:rsid w:val="00626976"/>
    <w:rPr>
      <w:rFonts w:ascii="Times New Roman" w:hAnsi="Times New Roman"/>
      <w:sz w:val="24"/>
    </w:rPr>
  </w:style>
  <w:style w:type="paragraph" w:styleId="BodyText2">
    <w:name w:val="Body Text 2"/>
    <w:basedOn w:val="Normal"/>
    <w:link w:val="BodyText2Char"/>
    <w:uiPriority w:val="1"/>
    <w:qFormat/>
    <w:rsid w:val="00626976"/>
    <w:pPr>
      <w:spacing w:after="0" w:line="480" w:lineRule="auto"/>
    </w:pPr>
  </w:style>
  <w:style w:type="character" w:customStyle="1" w:styleId="BodyText2Char">
    <w:name w:val="Body Text 2 Char"/>
    <w:basedOn w:val="DefaultParagraphFont"/>
    <w:link w:val="BodyText2"/>
    <w:uiPriority w:val="1"/>
    <w:rsid w:val="00626976"/>
    <w:rPr>
      <w:rFonts w:ascii="Times New Roman" w:hAnsi="Times New Roman"/>
      <w:sz w:val="24"/>
    </w:rPr>
  </w:style>
  <w:style w:type="paragraph" w:styleId="BodyTextFirstIndent">
    <w:name w:val="Body Text First Indent"/>
    <w:basedOn w:val="BodyText"/>
    <w:link w:val="BodyTextFirstIndentChar"/>
    <w:uiPriority w:val="1"/>
    <w:qFormat/>
    <w:rsid w:val="000B3289"/>
    <w:pPr>
      <w:ind w:firstLine="720"/>
    </w:pPr>
  </w:style>
  <w:style w:type="character" w:customStyle="1" w:styleId="BodyTextFirstIndentChar">
    <w:name w:val="Body Text First Indent Char"/>
    <w:basedOn w:val="BodyTextChar"/>
    <w:link w:val="BodyTextFirstIndent"/>
    <w:uiPriority w:val="1"/>
    <w:rsid w:val="000B3289"/>
    <w:rPr>
      <w:rFonts w:ascii="Times New Roman" w:hAnsi="Times New Roman"/>
      <w:sz w:val="24"/>
    </w:rPr>
  </w:style>
  <w:style w:type="paragraph" w:styleId="BodyTextIndent">
    <w:name w:val="Body Text Indent"/>
    <w:basedOn w:val="Normal"/>
    <w:link w:val="BodyTextIndentChar"/>
    <w:uiPriority w:val="99"/>
    <w:semiHidden/>
    <w:unhideWhenUsed/>
    <w:rsid w:val="00626976"/>
    <w:pPr>
      <w:spacing w:after="120"/>
      <w:ind w:left="360"/>
    </w:pPr>
  </w:style>
  <w:style w:type="character" w:customStyle="1" w:styleId="BodyTextIndentChar">
    <w:name w:val="Body Text Indent Char"/>
    <w:basedOn w:val="DefaultParagraphFont"/>
    <w:link w:val="BodyTextIndent"/>
    <w:uiPriority w:val="99"/>
    <w:semiHidden/>
    <w:rsid w:val="00626976"/>
    <w:rPr>
      <w:rFonts w:ascii="Times New Roman" w:hAnsi="Times New Roman"/>
      <w:sz w:val="24"/>
    </w:rPr>
  </w:style>
  <w:style w:type="paragraph" w:styleId="BodyTextFirstIndent2">
    <w:name w:val="Body Text First Indent 2"/>
    <w:basedOn w:val="BodyTextIndent"/>
    <w:link w:val="BodyTextFirstIndent2Char"/>
    <w:uiPriority w:val="1"/>
    <w:qFormat/>
    <w:rsid w:val="00626976"/>
    <w:pPr>
      <w:spacing w:after="0" w:line="480" w:lineRule="auto"/>
      <w:ind w:left="0" w:firstLine="720"/>
    </w:pPr>
  </w:style>
  <w:style w:type="character" w:customStyle="1" w:styleId="BodyTextFirstIndent2Char">
    <w:name w:val="Body Text First Indent 2 Char"/>
    <w:basedOn w:val="BodyTextIndentChar"/>
    <w:link w:val="BodyTextFirstIndent2"/>
    <w:uiPriority w:val="1"/>
    <w:rsid w:val="00626976"/>
    <w:rPr>
      <w:rFonts w:ascii="Times New Roman" w:hAnsi="Times New Roman"/>
      <w:sz w:val="24"/>
    </w:rPr>
  </w:style>
  <w:style w:type="paragraph" w:styleId="BlockText">
    <w:name w:val="Block Text"/>
    <w:basedOn w:val="Normal"/>
    <w:uiPriority w:val="2"/>
    <w:qFormat/>
    <w:rsid w:val="00626976"/>
    <w:pPr>
      <w:ind w:left="1440" w:right="1440"/>
    </w:pPr>
    <w:rPr>
      <w:rFonts w:eastAsiaTheme="minorEastAsia"/>
      <w:iCs/>
    </w:rPr>
  </w:style>
  <w:style w:type="paragraph" w:styleId="Quote">
    <w:name w:val="Quote"/>
    <w:basedOn w:val="Normal"/>
    <w:next w:val="Normal"/>
    <w:link w:val="QuoteChar"/>
    <w:uiPriority w:val="3"/>
    <w:qFormat/>
    <w:rsid w:val="00626976"/>
    <w:pPr>
      <w:ind w:left="720" w:right="720"/>
      <w:jc w:val="center"/>
    </w:pPr>
    <w:rPr>
      <w:i/>
      <w:iCs/>
    </w:rPr>
  </w:style>
  <w:style w:type="character" w:customStyle="1" w:styleId="QuoteChar">
    <w:name w:val="Quote Char"/>
    <w:basedOn w:val="DefaultParagraphFont"/>
    <w:link w:val="Quote"/>
    <w:uiPriority w:val="3"/>
    <w:rsid w:val="000B3289"/>
    <w:rPr>
      <w:rFonts w:ascii="Times New Roman" w:hAnsi="Times New Roman"/>
      <w:i/>
      <w:iCs/>
      <w:sz w:val="24"/>
    </w:rPr>
  </w:style>
  <w:style w:type="paragraph" w:styleId="Subtitle">
    <w:name w:val="Subtitle"/>
    <w:basedOn w:val="Normal"/>
    <w:next w:val="Normal"/>
    <w:link w:val="SubtitleChar"/>
    <w:uiPriority w:val="3"/>
    <w:qFormat/>
    <w:rsid w:val="00626976"/>
    <w:pPr>
      <w:numPr>
        <w:ilvl w:val="1"/>
      </w:numPr>
    </w:pPr>
    <w:rPr>
      <w:rFonts w:eastAsiaTheme="minorEastAsia"/>
    </w:rPr>
  </w:style>
  <w:style w:type="character" w:customStyle="1" w:styleId="SubtitleChar">
    <w:name w:val="Subtitle Char"/>
    <w:basedOn w:val="DefaultParagraphFont"/>
    <w:link w:val="Subtitle"/>
    <w:uiPriority w:val="3"/>
    <w:rsid w:val="00626976"/>
    <w:rPr>
      <w:rFonts w:ascii="Times New Roman" w:eastAsiaTheme="minorEastAsia" w:hAnsi="Times New Roman"/>
      <w:sz w:val="24"/>
    </w:rPr>
  </w:style>
  <w:style w:type="character" w:styleId="SubtleEmphasis">
    <w:name w:val="Subtle Emphasis"/>
    <w:basedOn w:val="DefaultParagraphFont"/>
    <w:uiPriority w:val="3"/>
    <w:rsid w:val="00626976"/>
    <w:rPr>
      <w:i/>
      <w:iCs/>
      <w:color w:val="404040" w:themeColor="text1" w:themeTint="BF"/>
    </w:rPr>
  </w:style>
  <w:style w:type="paragraph" w:styleId="Title">
    <w:name w:val="Title"/>
    <w:basedOn w:val="Normal"/>
    <w:next w:val="Normal"/>
    <w:link w:val="TitleChar"/>
    <w:uiPriority w:val="2"/>
    <w:qFormat/>
    <w:rsid w:val="00626976"/>
    <w:pPr>
      <w:contextualSpacing/>
      <w:jc w:val="center"/>
    </w:pPr>
    <w:rPr>
      <w:rFonts w:eastAsiaTheme="majorEastAsia" w:cstheme="majorBidi"/>
      <w:b/>
      <w:caps/>
      <w:szCs w:val="56"/>
      <w:u w:val="single"/>
    </w:rPr>
  </w:style>
  <w:style w:type="character" w:customStyle="1" w:styleId="TitleChar">
    <w:name w:val="Title Char"/>
    <w:basedOn w:val="DefaultParagraphFont"/>
    <w:link w:val="Title"/>
    <w:uiPriority w:val="2"/>
    <w:rsid w:val="000B3289"/>
    <w:rPr>
      <w:rFonts w:ascii="Times New Roman" w:eastAsiaTheme="majorEastAsia" w:hAnsi="Times New Roman" w:cstheme="majorBidi"/>
      <w:b/>
      <w:caps/>
      <w:sz w:val="24"/>
      <w:szCs w:val="56"/>
      <w:u w:val="single"/>
    </w:rPr>
  </w:style>
  <w:style w:type="character" w:customStyle="1" w:styleId="Heading1Char">
    <w:name w:val="Heading 1 Char"/>
    <w:basedOn w:val="DefaultParagraphFont"/>
    <w:link w:val="Heading1"/>
    <w:uiPriority w:val="9"/>
    <w:rsid w:val="00626976"/>
    <w:rPr>
      <w:rFonts w:ascii="Times New Roman" w:eastAsiaTheme="majorEastAsia" w:hAnsi="Times New Roman" w:cstheme="majorBidi"/>
      <w:sz w:val="24"/>
      <w:szCs w:val="32"/>
    </w:rPr>
  </w:style>
  <w:style w:type="paragraph" w:styleId="ListParagraph">
    <w:name w:val="List Paragraph"/>
    <w:basedOn w:val="Normal"/>
    <w:uiPriority w:val="34"/>
    <w:qFormat/>
    <w:rsid w:val="00626976"/>
    <w:pPr>
      <w:ind w:left="720"/>
      <w:contextualSpacing/>
    </w:pPr>
  </w:style>
  <w:style w:type="character" w:customStyle="1" w:styleId="Heading2Char">
    <w:name w:val="Heading 2 Char"/>
    <w:basedOn w:val="DefaultParagraphFont"/>
    <w:link w:val="Heading2"/>
    <w:uiPriority w:val="9"/>
    <w:semiHidden/>
    <w:rsid w:val="000B3289"/>
    <w:rPr>
      <w:rFonts w:ascii="Times New Roman" w:eastAsiaTheme="majorEastAsia" w:hAnsi="Times New Roman" w:cstheme="majorBidi"/>
      <w:sz w:val="26"/>
      <w:szCs w:val="26"/>
    </w:rPr>
  </w:style>
  <w:style w:type="paragraph" w:customStyle="1" w:styleId="DocID">
    <w:name w:val="DocID"/>
    <w:basedOn w:val="Footer"/>
    <w:link w:val="DocIDChar"/>
    <w:rsid w:val="007E7DEF"/>
    <w:pPr>
      <w:jc w:val="right"/>
    </w:pPr>
    <w:rPr>
      <w:sz w:val="18"/>
      <w:szCs w:val="18"/>
    </w:rPr>
  </w:style>
  <w:style w:type="character" w:customStyle="1" w:styleId="DocIDChar">
    <w:name w:val="DocID Char"/>
    <w:basedOn w:val="FooterChar"/>
    <w:link w:val="DocID"/>
    <w:rsid w:val="007E7DEF"/>
    <w:rPr>
      <w:rFonts w:ascii="Times New Roman" w:hAnsi="Times New Roman"/>
      <w:sz w:val="18"/>
      <w:szCs w:val="18"/>
    </w:rPr>
  </w:style>
  <w:style w:type="paragraph" w:styleId="Footer">
    <w:name w:val="footer"/>
    <w:basedOn w:val="Normal"/>
    <w:link w:val="FooterChar"/>
    <w:uiPriority w:val="99"/>
    <w:unhideWhenUsed/>
    <w:rsid w:val="007E7DEF"/>
    <w:pPr>
      <w:tabs>
        <w:tab w:val="center" w:pos="4680"/>
        <w:tab w:val="right" w:pos="9360"/>
      </w:tabs>
      <w:spacing w:after="0"/>
    </w:pPr>
  </w:style>
  <w:style w:type="character" w:customStyle="1" w:styleId="FooterChar">
    <w:name w:val="Footer Char"/>
    <w:basedOn w:val="DefaultParagraphFont"/>
    <w:link w:val="Footer"/>
    <w:uiPriority w:val="99"/>
    <w:rsid w:val="007E7DEF"/>
    <w:rPr>
      <w:rFonts w:ascii="Times New Roman" w:hAnsi="Times New Roman"/>
      <w:sz w:val="24"/>
    </w:rPr>
  </w:style>
  <w:style w:type="paragraph" w:customStyle="1" w:styleId="DOCXID">
    <w:name w:val="DOCXID"/>
    <w:basedOn w:val="Normal"/>
    <w:link w:val="DOCXIDChar"/>
    <w:rsid w:val="007E7DEF"/>
    <w:pPr>
      <w:jc w:val="right"/>
    </w:pPr>
    <w:rPr>
      <w:sz w:val="18"/>
    </w:rPr>
  </w:style>
  <w:style w:type="character" w:customStyle="1" w:styleId="DOCXIDChar">
    <w:name w:val="DOCXID Char"/>
    <w:basedOn w:val="FooterChar"/>
    <w:link w:val="DOCXID"/>
    <w:rsid w:val="007E7DEF"/>
    <w:rPr>
      <w:rFonts w:ascii="Times New Roman" w:hAnsi="Times New Roman"/>
      <w:sz w:val="18"/>
    </w:rPr>
  </w:style>
  <w:style w:type="character" w:styleId="Hyperlink">
    <w:name w:val="Hyperlink"/>
    <w:basedOn w:val="DefaultParagraphFont"/>
    <w:uiPriority w:val="99"/>
    <w:unhideWhenUsed/>
    <w:rsid w:val="00091E3D"/>
    <w:rPr>
      <w:color w:val="0563C1" w:themeColor="hyperlink"/>
      <w:u w:val="single"/>
    </w:rPr>
  </w:style>
  <w:style w:type="character" w:styleId="FollowedHyperlink">
    <w:name w:val="FollowedHyperlink"/>
    <w:basedOn w:val="DefaultParagraphFont"/>
    <w:uiPriority w:val="99"/>
    <w:semiHidden/>
    <w:unhideWhenUsed/>
    <w:rsid w:val="00C811F1"/>
    <w:rPr>
      <w:color w:val="954F72" w:themeColor="followedHyperlink"/>
      <w:u w:val="single"/>
    </w:rPr>
  </w:style>
  <w:style w:type="paragraph" w:styleId="Header">
    <w:name w:val="header"/>
    <w:basedOn w:val="Normal"/>
    <w:link w:val="HeaderChar"/>
    <w:unhideWhenUsed/>
    <w:rsid w:val="003C194A"/>
    <w:pPr>
      <w:tabs>
        <w:tab w:val="center" w:pos="4680"/>
        <w:tab w:val="right" w:pos="9360"/>
      </w:tabs>
      <w:spacing w:after="0"/>
    </w:pPr>
  </w:style>
  <w:style w:type="character" w:customStyle="1" w:styleId="HeaderChar">
    <w:name w:val="Header Char"/>
    <w:basedOn w:val="DefaultParagraphFont"/>
    <w:link w:val="Header"/>
    <w:rsid w:val="003C194A"/>
    <w:rPr>
      <w:rFonts w:ascii="Times New Roman" w:hAnsi="Times New Roman"/>
      <w:sz w:val="24"/>
    </w:rPr>
  </w:style>
  <w:style w:type="paragraph" w:customStyle="1" w:styleId="MemoHeading">
    <w:name w:val="Memo Heading"/>
    <w:basedOn w:val="Normal"/>
    <w:rsid w:val="003C194A"/>
    <w:pPr>
      <w:spacing w:before="120" w:after="120"/>
      <w:jc w:val="center"/>
    </w:pPr>
    <w:rPr>
      <w:rFonts w:eastAsia="Times New Roman" w:cs="Times New Roman"/>
      <w:b/>
      <w:sz w:val="32"/>
      <w:szCs w:val="20"/>
    </w:rPr>
  </w:style>
  <w:style w:type="table" w:styleId="TableGrid">
    <w:name w:val="Table Grid"/>
    <w:basedOn w:val="TableNormal"/>
    <w:uiPriority w:val="39"/>
    <w:rsid w:val="003C19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er">
    <w:name w:val="Memo Header"/>
    <w:basedOn w:val="Normal"/>
    <w:rsid w:val="003C194A"/>
    <w:pPr>
      <w:spacing w:before="240" w:after="0"/>
      <w:jc w:val="both"/>
    </w:pPr>
    <w:rPr>
      <w:rFonts w:eastAsia="Times New Roman" w:cs="Times New Roman"/>
      <w:caps/>
      <w:szCs w:val="20"/>
    </w:rPr>
  </w:style>
  <w:style w:type="paragraph" w:customStyle="1" w:styleId="MemoText">
    <w:name w:val="Memo Text"/>
    <w:basedOn w:val="Normal"/>
    <w:rsid w:val="003C194A"/>
    <w:pPr>
      <w:spacing w:before="240" w:after="0"/>
      <w:jc w:val="both"/>
    </w:pPr>
    <w:rPr>
      <w:rFonts w:eastAsia="Times New Roman" w:cs="Times New Roman"/>
      <w:szCs w:val="24"/>
    </w:rPr>
  </w:style>
  <w:style w:type="paragraph" w:styleId="FootnoteText">
    <w:name w:val="footnote text"/>
    <w:basedOn w:val="Normal"/>
    <w:link w:val="FootnoteTextChar"/>
    <w:uiPriority w:val="99"/>
    <w:semiHidden/>
    <w:unhideWhenUsed/>
    <w:rsid w:val="00A751DE"/>
    <w:pPr>
      <w:spacing w:after="0"/>
    </w:pPr>
    <w:rPr>
      <w:sz w:val="20"/>
      <w:szCs w:val="20"/>
    </w:rPr>
  </w:style>
  <w:style w:type="character" w:customStyle="1" w:styleId="FootnoteTextChar">
    <w:name w:val="Footnote Text Char"/>
    <w:basedOn w:val="DefaultParagraphFont"/>
    <w:link w:val="FootnoteText"/>
    <w:uiPriority w:val="99"/>
    <w:semiHidden/>
    <w:rsid w:val="00A751DE"/>
    <w:rPr>
      <w:rFonts w:ascii="Times New Roman" w:hAnsi="Times New Roman"/>
      <w:sz w:val="20"/>
      <w:szCs w:val="20"/>
    </w:rPr>
  </w:style>
  <w:style w:type="character" w:styleId="FootnoteReference">
    <w:name w:val="footnote reference"/>
    <w:basedOn w:val="DefaultParagraphFont"/>
    <w:uiPriority w:val="99"/>
    <w:semiHidden/>
    <w:unhideWhenUsed/>
    <w:rsid w:val="00A751DE"/>
    <w:rPr>
      <w:vertAlign w:val="superscript"/>
    </w:rPr>
  </w:style>
  <w:style w:type="paragraph" w:styleId="BalloonText">
    <w:name w:val="Balloon Text"/>
    <w:basedOn w:val="Normal"/>
    <w:link w:val="BalloonTextChar"/>
    <w:uiPriority w:val="99"/>
    <w:semiHidden/>
    <w:unhideWhenUsed/>
    <w:rsid w:val="00FD3FC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FC6"/>
    <w:rPr>
      <w:rFonts w:ascii="Segoe UI" w:hAnsi="Segoe UI" w:cs="Segoe UI"/>
      <w:sz w:val="18"/>
      <w:szCs w:val="18"/>
    </w:rPr>
  </w:style>
  <w:style w:type="character" w:styleId="CommentReference">
    <w:name w:val="annotation reference"/>
    <w:basedOn w:val="DefaultParagraphFont"/>
    <w:uiPriority w:val="99"/>
    <w:semiHidden/>
    <w:unhideWhenUsed/>
    <w:rsid w:val="00FD3FC6"/>
    <w:rPr>
      <w:sz w:val="16"/>
      <w:szCs w:val="16"/>
    </w:rPr>
  </w:style>
  <w:style w:type="paragraph" w:styleId="CommentText">
    <w:name w:val="annotation text"/>
    <w:basedOn w:val="Normal"/>
    <w:link w:val="CommentTextChar"/>
    <w:uiPriority w:val="99"/>
    <w:unhideWhenUsed/>
    <w:rsid w:val="00FD3FC6"/>
    <w:rPr>
      <w:sz w:val="20"/>
      <w:szCs w:val="20"/>
    </w:rPr>
  </w:style>
  <w:style w:type="character" w:customStyle="1" w:styleId="CommentTextChar">
    <w:name w:val="Comment Text Char"/>
    <w:basedOn w:val="DefaultParagraphFont"/>
    <w:link w:val="CommentText"/>
    <w:uiPriority w:val="99"/>
    <w:rsid w:val="00FD3FC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3FC6"/>
    <w:rPr>
      <w:b/>
      <w:bCs/>
    </w:rPr>
  </w:style>
  <w:style w:type="character" w:customStyle="1" w:styleId="CommentSubjectChar">
    <w:name w:val="Comment Subject Char"/>
    <w:basedOn w:val="CommentTextChar"/>
    <w:link w:val="CommentSubject"/>
    <w:uiPriority w:val="99"/>
    <w:semiHidden/>
    <w:rsid w:val="00FD3FC6"/>
    <w:rPr>
      <w:rFonts w:ascii="Times New Roman" w:hAnsi="Times New Roman"/>
      <w:b/>
      <w:bCs/>
      <w:sz w:val="20"/>
      <w:szCs w:val="20"/>
    </w:rPr>
  </w:style>
  <w:style w:type="paragraph" w:styleId="Revision">
    <w:name w:val="Revision"/>
    <w:hidden/>
    <w:uiPriority w:val="99"/>
    <w:semiHidden/>
    <w:rsid w:val="00FD038C"/>
    <w:pPr>
      <w:spacing w:after="0" w:line="240" w:lineRule="auto"/>
    </w:pPr>
    <w:rPr>
      <w:rFonts w:ascii="Times New Roman" w:hAnsi="Times New Roman"/>
      <w:sz w:val="24"/>
    </w:rPr>
  </w:style>
  <w:style w:type="paragraph" w:styleId="HTMLPreformatted">
    <w:name w:val="HTML Preformatted"/>
    <w:basedOn w:val="Normal"/>
    <w:link w:val="HTMLPreformattedChar"/>
    <w:uiPriority w:val="99"/>
    <w:unhideWhenUsed/>
    <w:rsid w:val="00481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b/>
      <w:bCs/>
      <w:sz w:val="20"/>
      <w:szCs w:val="20"/>
    </w:rPr>
  </w:style>
  <w:style w:type="character" w:customStyle="1" w:styleId="HTMLPreformattedChar">
    <w:name w:val="HTML Preformatted Char"/>
    <w:basedOn w:val="DefaultParagraphFont"/>
    <w:link w:val="HTMLPreformatted"/>
    <w:uiPriority w:val="99"/>
    <w:rsid w:val="00481423"/>
    <w:rPr>
      <w:rFonts w:ascii="Courier New" w:hAnsi="Courier New" w:cs="Courier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3370">
      <w:bodyDiv w:val="1"/>
      <w:marLeft w:val="0"/>
      <w:marRight w:val="0"/>
      <w:marTop w:val="0"/>
      <w:marBottom w:val="0"/>
      <w:divBdr>
        <w:top w:val="none" w:sz="0" w:space="0" w:color="auto"/>
        <w:left w:val="none" w:sz="0" w:space="0" w:color="auto"/>
        <w:bottom w:val="none" w:sz="0" w:space="0" w:color="auto"/>
        <w:right w:val="none" w:sz="0" w:space="0" w:color="auto"/>
      </w:divBdr>
    </w:div>
    <w:div w:id="80408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rldefense.proofpoint.com/v2/url?u=https-3A__dec.ny.gov_environmental-2Dprotection_site-2Dcleanup_brownfield-2Dand-2Dstate-2Dsuperfund-2Dprograms_finalizing-2Dremedial-2Dprojects_change-2Dof-2Duse-2Dnotifications&amp;d=DwMFAw&amp;c=euGZstcaTDllvimEN8b7jXrwqOf-v5A_CdpgnVfiiMM&amp;r=NAuEGNeihZw7jQC4oHEBb1qDmqEklKHrBHfYLOo1WbU&amp;m=HNmgWHxSVgj5oFaQo2Z0w9KqxLwCfeNhKcM78QnX8-ybWAf-FfhrdVI6NSGgE22s&amp;s=3MGY-tkBrqftAIzVUhddoVYvhDOlmGM7junMgm4OR6g&amp;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95a06d4-e771-432c-9ba1-c7e57f2f038c}" enabled="1" method="Standard" siteId="{a5793efa-a60a-462c-b844-89a36a3b8f6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8826</Words>
  <Characters>50309</Characters>
  <Application>Microsoft Office Word</Application>
  <DocSecurity>0</DocSecurity>
  <Lines>419</Lines>
  <Paragraphs>118</Paragraphs>
  <ScaleCrop>false</ScaleCrop>
  <Company/>
  <LinksUpToDate>false</LinksUpToDate>
  <CharactersWithSpaces>59017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L. Reichhart</dc:creator>
  <cp:keywords/>
  <cp:lastModifiedBy>Amy L. Reichhart</cp:lastModifiedBy>
  <cp:revision>2</cp:revision>
  <dcterms:created xsi:type="dcterms:W3CDTF">2024-05-06T15:55:00Z</dcterms:created>
  <dcterms:modified xsi:type="dcterms:W3CDTF">2024-05-06T15:55:00Z</dcterms:modified>
</cp:coreProperties>
</file>