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EB9DA" w14:textId="0D2B5F50" w:rsidR="00963446" w:rsidRPr="00D47511" w:rsidRDefault="002515FB" w:rsidP="00963446">
      <w:pPr>
        <w:pStyle w:val="Heading2"/>
        <w:numPr>
          <w:ilvl w:val="0"/>
          <w:numId w:val="0"/>
        </w:numPr>
        <w:rPr>
          <w:rFonts w:ascii="Stencil" w:hAnsi="Stencil" w:cs="Times New Roman"/>
          <w:b/>
        </w:rPr>
      </w:pPr>
      <w:r>
        <w:rPr>
          <w:rFonts w:ascii="Stencil" w:hAnsi="Stencil" w:cs="Times New Roman"/>
          <w:b/>
          <w:u w:val="single"/>
        </w:rPr>
        <w:t>NYSBA FAMILY LAW SECTION UPDATE</w:t>
      </w:r>
      <w:r w:rsidR="002F23FB" w:rsidRPr="00D47511">
        <w:rPr>
          <w:rFonts w:ascii="Stencil" w:hAnsi="Stencil" w:cs="Times New Roman"/>
          <w:b/>
        </w:rPr>
        <w:t xml:space="preserve">, </w:t>
      </w:r>
      <w:r w:rsidR="001D5634">
        <w:rPr>
          <w:rFonts w:ascii="Stencil" w:hAnsi="Stencil" w:cs="Times New Roman"/>
          <w:b/>
        </w:rPr>
        <w:t xml:space="preserve">APRIL </w:t>
      </w:r>
      <w:r w:rsidR="00654971" w:rsidRPr="00D47511">
        <w:rPr>
          <w:rFonts w:ascii="Stencil" w:hAnsi="Stencil" w:cs="Times New Roman"/>
          <w:b/>
        </w:rPr>
        <w:t>2</w:t>
      </w:r>
      <w:r w:rsidR="00963446" w:rsidRPr="00D47511">
        <w:rPr>
          <w:rFonts w:ascii="Stencil" w:hAnsi="Stencil" w:cs="Times New Roman"/>
          <w:b/>
        </w:rPr>
        <w:t>02</w:t>
      </w:r>
      <w:r w:rsidR="00553AD2">
        <w:rPr>
          <w:rFonts w:ascii="Stencil" w:hAnsi="Stencil" w:cs="Times New Roman"/>
          <w:b/>
        </w:rPr>
        <w:t>6</w:t>
      </w:r>
    </w:p>
    <w:p w14:paraId="09CCB385" w14:textId="77777777" w:rsidR="00963446" w:rsidRPr="00F77769" w:rsidRDefault="00963446" w:rsidP="00963446">
      <w:pPr>
        <w:pStyle w:val="Heading2"/>
        <w:numPr>
          <w:ilvl w:val="0"/>
          <w:numId w:val="0"/>
        </w:numPr>
        <w:spacing w:line="240" w:lineRule="auto"/>
        <w:rPr>
          <w:rFonts w:ascii="Verdana" w:hAnsi="Verdana" w:cs="Times New Roman"/>
          <w:b/>
          <w:bCs/>
        </w:rPr>
      </w:pPr>
      <w:r w:rsidRPr="00F77769">
        <w:rPr>
          <w:rFonts w:ascii="Verdana" w:hAnsi="Verdana" w:cs="Times New Roman"/>
          <w:b/>
          <w:bCs/>
        </w:rPr>
        <w:t>By Bruce J. Wagner</w:t>
      </w:r>
    </w:p>
    <w:p w14:paraId="0F6DA547" w14:textId="40432599" w:rsidR="00AE6954" w:rsidRDefault="00963446" w:rsidP="00963446">
      <w:pPr>
        <w:pStyle w:val="Heading2"/>
        <w:numPr>
          <w:ilvl w:val="0"/>
          <w:numId w:val="0"/>
        </w:numPr>
        <w:jc w:val="both"/>
        <w:rPr>
          <w:rFonts w:ascii="Verdana" w:hAnsi="Verdana" w:cs="Times New Roman"/>
          <w:b/>
          <w:bCs/>
        </w:rPr>
      </w:pPr>
      <w:r w:rsidRPr="00F77769">
        <w:rPr>
          <w:rFonts w:ascii="Verdana" w:hAnsi="Verdana" w:cs="Times New Roman"/>
          <w:b/>
          <w:bCs/>
        </w:rPr>
        <w:t>Support Magistrate, Schenectady County Family Court</w:t>
      </w:r>
    </w:p>
    <w:p w14:paraId="775E04B7" w14:textId="4DEB99EF" w:rsidR="00445087" w:rsidRDefault="00445087" w:rsidP="00445087">
      <w:pPr>
        <w:pStyle w:val="Heading2"/>
        <w:numPr>
          <w:ilvl w:val="0"/>
          <w:numId w:val="0"/>
        </w:numPr>
        <w:spacing w:line="240" w:lineRule="auto"/>
        <w:contextualSpacing/>
        <w:jc w:val="both"/>
        <w:rPr>
          <w:rFonts w:ascii="Times New Roman" w:hAnsi="Times New Roman" w:cs="Times New Roman"/>
          <w:b/>
          <w:bCs/>
        </w:rPr>
      </w:pPr>
      <w:r w:rsidRPr="00445087">
        <w:rPr>
          <w:rFonts w:ascii="Times New Roman" w:hAnsi="Times New Roman" w:cs="Times New Roman"/>
          <w:b/>
          <w:bCs/>
        </w:rPr>
        <w:t>Agreements - Postnuptial – Foreign – Unenforceable; Custody - Joint Legal – Upheld – Domestic Violence Not Proved, International Travel Prohibited, Order of Protection Upheld; Equitable Distribution - Separate Property – Commingling – Marital Property Presumption Rebutted</w:t>
      </w:r>
    </w:p>
    <w:p w14:paraId="05B5AB98" w14:textId="77777777" w:rsidR="00445087" w:rsidRDefault="00445087" w:rsidP="00445087">
      <w:pPr>
        <w:pStyle w:val="Heading2"/>
        <w:numPr>
          <w:ilvl w:val="0"/>
          <w:numId w:val="0"/>
        </w:numPr>
        <w:spacing w:line="240" w:lineRule="auto"/>
        <w:contextualSpacing/>
        <w:jc w:val="both"/>
        <w:rPr>
          <w:rFonts w:ascii="Times New Roman" w:hAnsi="Times New Roman" w:cs="Times New Roman"/>
          <w:b/>
          <w:bCs/>
        </w:rPr>
      </w:pPr>
    </w:p>
    <w:p w14:paraId="6CA700B6" w14:textId="13064E29" w:rsidR="00445087" w:rsidRDefault="00445087" w:rsidP="00445087">
      <w:pPr>
        <w:pStyle w:val="Heading2"/>
        <w:numPr>
          <w:ilvl w:val="0"/>
          <w:numId w:val="0"/>
        </w:numPr>
        <w:spacing w:line="240" w:lineRule="auto"/>
        <w:contextualSpacing/>
        <w:jc w:val="both"/>
        <w:rPr>
          <w:rFonts w:ascii="Times New Roman" w:hAnsi="Times New Roman" w:cs="Times New Roman"/>
        </w:rPr>
      </w:pPr>
      <w:r>
        <w:rPr>
          <w:rFonts w:ascii="Times New Roman" w:hAnsi="Times New Roman" w:cs="Times New Roman"/>
        </w:rPr>
        <w:tab/>
        <w:t xml:space="preserve">In </w:t>
      </w:r>
      <w:r w:rsidRPr="00445087">
        <w:rPr>
          <w:rFonts w:ascii="Times New Roman" w:hAnsi="Times New Roman" w:cs="Times New Roman"/>
          <w:b/>
          <w:bCs/>
          <w:i/>
          <w:iCs/>
        </w:rPr>
        <w:t>Michael T. v. Rida S.</w:t>
      </w:r>
      <w:r>
        <w:rPr>
          <w:rFonts w:ascii="Times New Roman" w:hAnsi="Times New Roman" w:cs="Times New Roman"/>
        </w:rPr>
        <w:t>, 2026 Westlaw</w:t>
      </w:r>
      <w:r w:rsidR="00724D2F">
        <w:rPr>
          <w:rFonts w:ascii="Times New Roman" w:hAnsi="Times New Roman" w:cs="Times New Roman"/>
        </w:rPr>
        <w:t xml:space="preserve"> 616294</w:t>
      </w:r>
      <w:r>
        <w:rPr>
          <w:rFonts w:ascii="Times New Roman" w:hAnsi="Times New Roman" w:cs="Times New Roman"/>
        </w:rPr>
        <w:t xml:space="preserve"> (3d Dept. Mar. 5, 2026), the parties were married in 2017 and have one child born in 2021. The wife appealed from a May 2024 judgment of divorce which, following trial of the husband’s divorce action: (1) granted joint legal custody; (2) prohibited the wife from international travel with the child; (3) granted the husband a 3-year stay away order of protection against her; (4) denied specific performance of a requirement that the husband pay her $25,000 according to a marriage contract executed during the parties’ wedding ceremony in Pakistan (after their marriage in the US); and (5) granted the husband a separate property credit for the closing costs on the marital residence. The Third Department affirmed, holding: (1) “</w:t>
      </w:r>
      <w:r w:rsidRPr="005447CE">
        <w:rPr>
          <w:rFonts w:ascii="Times New Roman" w:hAnsi="Times New Roman" w:cs="Times New Roman"/>
        </w:rPr>
        <w:t>Each party testified to encouraging the child's relationship with the other party, the parties had shared decision-making authority during the six months the temporary order of custody was in effect, and they had been effectively communicating about the child through a coparenting app. The wife's allegations that the husband committed certain acts of domestic violence against her were not supported by a preponderance of the evidence, and certain other acts, even if proved, were not shown to have had an effect on the child</w:t>
      </w:r>
      <w:r>
        <w:rPr>
          <w:rFonts w:ascii="Times New Roman" w:hAnsi="Times New Roman" w:cs="Times New Roman"/>
        </w:rPr>
        <w:t>”; (2) “S</w:t>
      </w:r>
      <w:r w:rsidRPr="005447CE">
        <w:rPr>
          <w:rFonts w:ascii="Times New Roman" w:hAnsi="Times New Roman" w:cs="Times New Roman"/>
        </w:rPr>
        <w:t xml:space="preserve">upreme Court's prohibition on the child's international travel is also supported by a sound and substantial basis in the record </w:t>
      </w:r>
      <w:r>
        <w:rPr>
          <w:rFonts w:ascii="Times New Roman" w:hAnsi="Times New Roman" w:cs="Times New Roman"/>
        </w:rPr>
        <w:t>(citation omitted). *** [T]</w:t>
      </w:r>
      <w:proofErr w:type="gramStart"/>
      <w:r w:rsidRPr="005447CE">
        <w:rPr>
          <w:rFonts w:ascii="Times New Roman" w:hAnsi="Times New Roman" w:cs="Times New Roman"/>
        </w:rPr>
        <w:t>he wife</w:t>
      </w:r>
      <w:proofErr w:type="gramEnd"/>
      <w:r w:rsidRPr="005447CE">
        <w:rPr>
          <w:rFonts w:ascii="Times New Roman" w:hAnsi="Times New Roman" w:cs="Times New Roman"/>
        </w:rPr>
        <w:t xml:space="preserve"> took the child to Chicago</w:t>
      </w:r>
      <w:r>
        <w:rPr>
          <w:rFonts w:ascii="Times New Roman" w:hAnsi="Times New Roman" w:cs="Times New Roman"/>
        </w:rPr>
        <w:t xml:space="preserve"> [in August 2023] </w:t>
      </w:r>
      <w:r w:rsidRPr="005447CE">
        <w:rPr>
          <w:rFonts w:ascii="Times New Roman" w:hAnsi="Times New Roman" w:cs="Times New Roman"/>
        </w:rPr>
        <w:t>without notifying the husband, which, along with evidence of her ability to work remotely and limited local ties, provided a sufficient basis to conclude that the wife was a possible flight risk</w:t>
      </w:r>
      <w:r>
        <w:rPr>
          <w:rFonts w:ascii="Times New Roman" w:hAnsi="Times New Roman" w:cs="Times New Roman"/>
        </w:rPr>
        <w:t xml:space="preserve"> (citations omitted).</w:t>
      </w:r>
      <w:r w:rsidRPr="005447CE">
        <w:rPr>
          <w:rFonts w:ascii="Times New Roman" w:hAnsi="Times New Roman" w:cs="Times New Roman"/>
        </w:rPr>
        <w:t xml:space="preserve"> Although there is no dispute that fostering the child's connection with her Pakistani heritage and the mother's family was in the child's best interests, there was also evidence that the wife's parents, who live in Pakistan, were able to visit the child in the United States, and the wife's siblings lived in the United States as well</w:t>
      </w:r>
      <w:r>
        <w:rPr>
          <w:rFonts w:ascii="Times New Roman" w:hAnsi="Times New Roman" w:cs="Times New Roman"/>
        </w:rPr>
        <w:t xml:space="preserve">”; (3) “*** </w:t>
      </w:r>
      <w:r w:rsidRPr="005447CE">
        <w:rPr>
          <w:rFonts w:ascii="Times New Roman" w:hAnsi="Times New Roman" w:cs="Times New Roman"/>
        </w:rPr>
        <w:t xml:space="preserve">the husband testified that the wife verbally abused him and caused him physical harm on at least one occasion </w:t>
      </w:r>
      <w:r>
        <w:rPr>
          <w:rFonts w:ascii="Times New Roman" w:hAnsi="Times New Roman" w:cs="Times New Roman"/>
        </w:rPr>
        <w:t>(citation omitted), such that “</w:t>
      </w:r>
      <w:r w:rsidRPr="005447CE">
        <w:rPr>
          <w:rFonts w:ascii="Times New Roman" w:hAnsi="Times New Roman" w:cs="Times New Roman"/>
        </w:rPr>
        <w:t>the order protecting the husband against the wife was not an abuse of discretion</w:t>
      </w:r>
      <w:r>
        <w:rPr>
          <w:rFonts w:ascii="Times New Roman" w:hAnsi="Times New Roman" w:cs="Times New Roman"/>
        </w:rPr>
        <w:t>,” citing DRL</w:t>
      </w:r>
      <w:r w:rsidRPr="005447CE">
        <w:rPr>
          <w:rFonts w:ascii="Times New Roman" w:hAnsi="Times New Roman" w:cs="Times New Roman"/>
        </w:rPr>
        <w:t xml:space="preserve"> §240[3][a]</w:t>
      </w:r>
      <w:r>
        <w:rPr>
          <w:rFonts w:ascii="Times New Roman" w:hAnsi="Times New Roman" w:cs="Times New Roman"/>
        </w:rPr>
        <w:t xml:space="preserve">; (4) As to the alleged postnuptial agreement, the DRL 236(B)(3) </w:t>
      </w:r>
      <w:r w:rsidRPr="005447CE">
        <w:rPr>
          <w:rFonts w:ascii="Times New Roman" w:hAnsi="Times New Roman" w:cs="Times New Roman"/>
        </w:rPr>
        <w:t>acknowledgment or proof</w:t>
      </w:r>
      <w:r>
        <w:rPr>
          <w:rFonts w:ascii="Times New Roman" w:hAnsi="Times New Roman" w:cs="Times New Roman"/>
        </w:rPr>
        <w:t xml:space="preserve">, </w:t>
      </w:r>
      <w:r w:rsidRPr="005447CE">
        <w:rPr>
          <w:rFonts w:ascii="Times New Roman" w:hAnsi="Times New Roman" w:cs="Times New Roman"/>
        </w:rPr>
        <w:t>Real Property Law §301</w:t>
      </w:r>
      <w:r>
        <w:rPr>
          <w:rFonts w:ascii="Times New Roman" w:hAnsi="Times New Roman" w:cs="Times New Roman"/>
        </w:rPr>
        <w:t>,</w:t>
      </w:r>
      <w:r w:rsidRPr="005447CE">
        <w:rPr>
          <w:rFonts w:ascii="Times New Roman" w:hAnsi="Times New Roman" w:cs="Times New Roman"/>
        </w:rPr>
        <w:t xml:space="preserve"> </w:t>
      </w:r>
      <w:r>
        <w:rPr>
          <w:rFonts w:ascii="Times New Roman" w:hAnsi="Times New Roman" w:cs="Times New Roman"/>
        </w:rPr>
        <w:t>“</w:t>
      </w:r>
      <w:r w:rsidRPr="005447CE">
        <w:rPr>
          <w:rFonts w:ascii="Times New Roman" w:hAnsi="Times New Roman" w:cs="Times New Roman"/>
        </w:rPr>
        <w:t>may be taken in the manner prescribed either by the laws of the state of New York or by the laws of the country where the acknowledgment or proof is taken. The acknowledgment or proof, if taken in the manner prescribed by the laws of such foreign country, must be accompanied by a certificate to the effect that it conforms with such laws</w:t>
      </w:r>
      <w:r>
        <w:rPr>
          <w:rFonts w:ascii="Times New Roman" w:hAnsi="Times New Roman" w:cs="Times New Roman"/>
        </w:rPr>
        <w:t>.</w:t>
      </w:r>
      <w:r w:rsidRPr="005447CE">
        <w:rPr>
          <w:rFonts w:ascii="Times New Roman" w:hAnsi="Times New Roman" w:cs="Times New Roman"/>
        </w:rPr>
        <w:t xml:space="preserve"> (Real Property Law § 301-a). The wife failed to demonstrate that the</w:t>
      </w:r>
      <w:r>
        <w:rPr>
          <w:rFonts w:ascii="Times New Roman" w:hAnsi="Times New Roman" w:cs="Times New Roman"/>
        </w:rPr>
        <w:t xml:space="preserve"> [agreement] *** </w:t>
      </w:r>
      <w:r w:rsidRPr="005447CE">
        <w:rPr>
          <w:rFonts w:ascii="Times New Roman" w:hAnsi="Times New Roman" w:cs="Times New Roman"/>
        </w:rPr>
        <w:t xml:space="preserve">was acknowledged in accordance with New York law, nor did she submit a certificate indicating that the </w:t>
      </w:r>
      <w:r>
        <w:rPr>
          <w:rFonts w:ascii="Times New Roman" w:hAnsi="Times New Roman" w:cs="Times New Roman"/>
        </w:rPr>
        <w:t xml:space="preserve">[same] *** </w:t>
      </w:r>
      <w:r w:rsidRPr="005447CE">
        <w:rPr>
          <w:rFonts w:ascii="Times New Roman" w:hAnsi="Times New Roman" w:cs="Times New Roman"/>
        </w:rPr>
        <w:t>was acknowledged in conformity with Pakistani law, rendering it unenforceable</w:t>
      </w:r>
      <w:r>
        <w:rPr>
          <w:rFonts w:ascii="Times New Roman" w:hAnsi="Times New Roman" w:cs="Times New Roman"/>
        </w:rPr>
        <w:t xml:space="preserve"> (internal quotation marks and citations omitted)”; and (5) “</w:t>
      </w:r>
      <w:r w:rsidRPr="002C584A">
        <w:rPr>
          <w:rFonts w:ascii="Times New Roman" w:hAnsi="Times New Roman" w:cs="Times New Roman"/>
        </w:rPr>
        <w:t>The closing costs were drawn from an account in only the husband's name containing the husband's personal injury settlement, which settlement was his separate property (</w:t>
      </w:r>
      <w:r w:rsidRPr="002C584A">
        <w:rPr>
          <w:rFonts w:ascii="Times New Roman" w:hAnsi="Times New Roman" w:cs="Times New Roman"/>
          <w:i/>
          <w:iCs/>
        </w:rPr>
        <w:t>see</w:t>
      </w:r>
      <w:r w:rsidRPr="002C584A">
        <w:rPr>
          <w:rFonts w:ascii="Times New Roman" w:hAnsi="Times New Roman" w:cs="Times New Roman"/>
        </w:rPr>
        <w:t xml:space="preserve"> Domestic Relations Law § 236 [B] [1] [d] [2]); that account also contained funds deposited during the marriage. [W]here separate property has been commingled with marital property, for </w:t>
      </w:r>
      <w:r w:rsidRPr="002C584A">
        <w:rPr>
          <w:rFonts w:ascii="Times New Roman" w:hAnsi="Times New Roman" w:cs="Times New Roman"/>
        </w:rPr>
        <w:lastRenderedPageBreak/>
        <w:t>example in a joint bank account, there is a presumption that the commingled funds constitute marital property</w:t>
      </w:r>
      <w:r>
        <w:rPr>
          <w:rFonts w:ascii="Times New Roman" w:hAnsi="Times New Roman" w:cs="Times New Roman"/>
        </w:rPr>
        <w:t xml:space="preserve"> (internal quotation marks and citations omitted). </w:t>
      </w:r>
      <w:r w:rsidRPr="002C584A">
        <w:rPr>
          <w:rFonts w:ascii="Times New Roman" w:hAnsi="Times New Roman" w:cs="Times New Roman"/>
        </w:rPr>
        <w:t xml:space="preserve">The husband rebutted the presumption of marital property, however, by demonstrating that the settlement funds </w:t>
      </w:r>
      <w:proofErr w:type="gramStart"/>
      <w:r w:rsidRPr="002C584A">
        <w:rPr>
          <w:rFonts w:ascii="Times New Roman" w:hAnsi="Times New Roman" w:cs="Times New Roman"/>
        </w:rPr>
        <w:t>remained identifiable at all times</w:t>
      </w:r>
      <w:proofErr w:type="gramEnd"/>
      <w:r w:rsidRPr="002C584A">
        <w:rPr>
          <w:rFonts w:ascii="Times New Roman" w:hAnsi="Times New Roman" w:cs="Times New Roman"/>
        </w:rPr>
        <w:t>, and the closing costs could be traced to the settlement funds</w:t>
      </w:r>
      <w:r>
        <w:rPr>
          <w:rFonts w:ascii="Times New Roman" w:hAnsi="Times New Roman" w:cs="Times New Roman"/>
        </w:rPr>
        <w:t xml:space="preserve"> (citations omitted).”</w:t>
      </w:r>
    </w:p>
    <w:p w14:paraId="44FAD3E0" w14:textId="77777777" w:rsidR="00AC3598" w:rsidRDefault="00AC3598" w:rsidP="00445087">
      <w:pPr>
        <w:pStyle w:val="Heading2"/>
        <w:numPr>
          <w:ilvl w:val="0"/>
          <w:numId w:val="0"/>
        </w:numPr>
        <w:spacing w:line="240" w:lineRule="auto"/>
        <w:contextualSpacing/>
        <w:jc w:val="both"/>
        <w:rPr>
          <w:rFonts w:ascii="Times New Roman" w:hAnsi="Times New Roman" w:cs="Times New Roman"/>
        </w:rPr>
      </w:pPr>
    </w:p>
    <w:p w14:paraId="707ED921" w14:textId="66913538" w:rsidR="00617452" w:rsidRDefault="00617452" w:rsidP="00617452">
      <w:pPr>
        <w:pStyle w:val="Heading2"/>
        <w:numPr>
          <w:ilvl w:val="0"/>
          <w:numId w:val="0"/>
        </w:numPr>
        <w:spacing w:line="240" w:lineRule="auto"/>
        <w:jc w:val="both"/>
        <w:rPr>
          <w:rFonts w:ascii="Times New Roman" w:hAnsi="Times New Roman" w:cs="Times New Roman"/>
          <w:b/>
          <w:bCs/>
        </w:rPr>
      </w:pPr>
      <w:r>
        <w:rPr>
          <w:rFonts w:ascii="Times New Roman" w:hAnsi="Times New Roman" w:cs="Times New Roman"/>
          <w:b/>
          <w:bCs/>
        </w:rPr>
        <w:t xml:space="preserve">Child Support </w:t>
      </w:r>
      <w:r w:rsidRPr="00617452">
        <w:rPr>
          <w:rFonts w:ascii="Times New Roman" w:hAnsi="Times New Roman" w:cs="Times New Roman"/>
          <w:b/>
          <w:bCs/>
        </w:rPr>
        <w:t>- CSSA – Cap Set at $500,000, Imputed Income; Counsel Fees – After Trial; Custody - Sole –Domestic Violence, Inability to Coparent, Prolonged Separation, Stability; Evidence - Witness Testimony – Preclusion, Law of the Case; Maintenance - Durational – Affirmed, Standard of Living, Wasteful Dissipation; Procedure - Pro Se – Acquires no Greater Rights</w:t>
      </w:r>
    </w:p>
    <w:p w14:paraId="438FFB80" w14:textId="77777777" w:rsidR="00617452" w:rsidRDefault="00617452" w:rsidP="00617452">
      <w:pPr>
        <w:pStyle w:val="Heading2"/>
        <w:numPr>
          <w:ilvl w:val="0"/>
          <w:numId w:val="0"/>
        </w:numPr>
        <w:spacing w:line="240" w:lineRule="auto"/>
        <w:jc w:val="both"/>
        <w:rPr>
          <w:rFonts w:ascii="Times New Roman" w:hAnsi="Times New Roman" w:cs="Times New Roman"/>
        </w:rPr>
      </w:pPr>
    </w:p>
    <w:p w14:paraId="398B11A2" w14:textId="6290C443" w:rsidR="00617452" w:rsidRDefault="00617452" w:rsidP="00617452">
      <w:pPr>
        <w:pStyle w:val="Heading2"/>
        <w:numPr>
          <w:ilvl w:val="0"/>
          <w:numId w:val="0"/>
        </w:numPr>
        <w:spacing w:line="240" w:lineRule="auto"/>
        <w:contextualSpacing/>
        <w:jc w:val="both"/>
        <w:rPr>
          <w:rFonts w:ascii="Times New Roman" w:hAnsi="Times New Roman" w:cs="Times New Roman"/>
        </w:rPr>
      </w:pPr>
      <w:r>
        <w:rPr>
          <w:rFonts w:ascii="Times New Roman" w:hAnsi="Times New Roman" w:cs="Times New Roman"/>
        </w:rPr>
        <w:tab/>
      </w:r>
      <w:bookmarkStart w:id="0" w:name="_Hlk224480297"/>
      <w:r>
        <w:rPr>
          <w:rFonts w:ascii="Times New Roman" w:hAnsi="Times New Roman" w:cs="Times New Roman"/>
        </w:rPr>
        <w:t xml:space="preserve">In </w:t>
      </w:r>
      <w:r w:rsidRPr="005664BA">
        <w:rPr>
          <w:rFonts w:ascii="Times New Roman" w:hAnsi="Times New Roman" w:cs="Times New Roman"/>
          <w:b/>
          <w:bCs/>
          <w:i/>
          <w:iCs/>
        </w:rPr>
        <w:t>G.K. v. S.T.</w:t>
      </w:r>
      <w:r>
        <w:rPr>
          <w:rFonts w:ascii="Times New Roman" w:hAnsi="Times New Roman" w:cs="Times New Roman"/>
        </w:rPr>
        <w:t xml:space="preserve">, 2026 Westlaw </w:t>
      </w:r>
      <w:bookmarkStart w:id="1" w:name="_Hlk224509160"/>
      <w:r>
        <w:rPr>
          <w:rFonts w:ascii="Times New Roman" w:hAnsi="Times New Roman" w:cs="Times New Roman"/>
        </w:rPr>
        <w:t>663287</w:t>
      </w:r>
      <w:bookmarkEnd w:id="1"/>
      <w:r>
        <w:rPr>
          <w:rFonts w:ascii="Times New Roman" w:hAnsi="Times New Roman" w:cs="Times New Roman"/>
        </w:rPr>
        <w:t xml:space="preserve"> (1</w:t>
      </w:r>
      <w:r w:rsidRPr="00583D1C">
        <w:rPr>
          <w:rFonts w:ascii="Times New Roman" w:hAnsi="Times New Roman" w:cs="Times New Roman"/>
          <w:vertAlign w:val="superscript"/>
        </w:rPr>
        <w:t>st</w:t>
      </w:r>
      <w:r>
        <w:rPr>
          <w:rFonts w:ascii="Times New Roman" w:hAnsi="Times New Roman" w:cs="Times New Roman"/>
        </w:rPr>
        <w:t xml:space="preserve"> Dept. Mar. 10, 2026), the husband appealed from:</w:t>
      </w:r>
      <w:r w:rsidR="00920A8F">
        <w:rPr>
          <w:rFonts w:ascii="Times New Roman" w:hAnsi="Times New Roman" w:cs="Times New Roman"/>
        </w:rPr>
        <w:t xml:space="preserve"> </w:t>
      </w:r>
      <w:r>
        <w:rPr>
          <w:rFonts w:ascii="Times New Roman" w:hAnsi="Times New Roman" w:cs="Times New Roman"/>
        </w:rPr>
        <w:t>(1)</w:t>
      </w:r>
      <w:r w:rsidR="00920A8F">
        <w:rPr>
          <w:rFonts w:ascii="Times New Roman" w:hAnsi="Times New Roman" w:cs="Times New Roman"/>
        </w:rPr>
        <w:t xml:space="preserve"> </w:t>
      </w:r>
      <w:r>
        <w:rPr>
          <w:rFonts w:ascii="Times New Roman" w:hAnsi="Times New Roman" w:cs="Times New Roman"/>
        </w:rPr>
        <w:t>a November 2023 Supreme Court Order which, following trial of the wife’s 2021 divorce action</w:t>
      </w:r>
      <w:r w:rsidR="00920A8F">
        <w:t xml:space="preserve">, </w:t>
      </w:r>
      <w:r w:rsidRPr="001C0326">
        <w:rPr>
          <w:rFonts w:ascii="Times New Roman" w:hAnsi="Times New Roman" w:cs="Times New Roman"/>
        </w:rPr>
        <w:t xml:space="preserve">awarded her sole legal and residential custody of the subject children, with supervised time to him; and (2) a July 2024 Order of the same Court, which: (a) </w:t>
      </w:r>
      <w:r w:rsidRPr="00B1672B">
        <w:rPr>
          <w:rFonts w:ascii="Times New Roman" w:hAnsi="Times New Roman" w:cs="Times New Roman"/>
        </w:rPr>
        <w:t xml:space="preserve">precluded </w:t>
      </w:r>
      <w:r w:rsidRPr="001C0326">
        <w:rPr>
          <w:rFonts w:ascii="Times New Roman" w:hAnsi="Times New Roman" w:cs="Times New Roman"/>
        </w:rPr>
        <w:t xml:space="preserve">him </w:t>
      </w:r>
      <w:r w:rsidRPr="00B1672B">
        <w:rPr>
          <w:rFonts w:ascii="Times New Roman" w:hAnsi="Times New Roman" w:cs="Times New Roman"/>
        </w:rPr>
        <w:t>from testifying about the financial documents in the trial record</w:t>
      </w:r>
      <w:r w:rsidRPr="001C0326">
        <w:rPr>
          <w:rFonts w:ascii="Times New Roman" w:hAnsi="Times New Roman" w:cs="Times New Roman"/>
        </w:rPr>
        <w:t>; (b) i</w:t>
      </w:r>
      <w:r w:rsidRPr="00B1672B">
        <w:rPr>
          <w:rFonts w:ascii="Times New Roman" w:hAnsi="Times New Roman" w:cs="Times New Roman"/>
        </w:rPr>
        <w:t xml:space="preserve">mputed </w:t>
      </w:r>
      <w:r w:rsidRPr="001C0326">
        <w:rPr>
          <w:rFonts w:ascii="Times New Roman" w:hAnsi="Times New Roman" w:cs="Times New Roman"/>
        </w:rPr>
        <w:t xml:space="preserve">annual </w:t>
      </w:r>
      <w:r w:rsidRPr="00B1672B">
        <w:rPr>
          <w:rFonts w:ascii="Times New Roman" w:hAnsi="Times New Roman" w:cs="Times New Roman"/>
        </w:rPr>
        <w:t xml:space="preserve">income to the husband of $1 million </w:t>
      </w:r>
      <w:r w:rsidRPr="001C0326">
        <w:rPr>
          <w:rFonts w:ascii="Times New Roman" w:hAnsi="Times New Roman" w:cs="Times New Roman"/>
        </w:rPr>
        <w:t xml:space="preserve">and </w:t>
      </w:r>
      <w:r w:rsidRPr="00B1672B">
        <w:rPr>
          <w:rFonts w:ascii="Times New Roman" w:hAnsi="Times New Roman" w:cs="Times New Roman"/>
        </w:rPr>
        <w:t>awarded the wife post-divorce maintenance for a period of 38 months</w:t>
      </w:r>
      <w:r w:rsidRPr="001C0326">
        <w:rPr>
          <w:rFonts w:ascii="Times New Roman" w:hAnsi="Times New Roman" w:cs="Times New Roman"/>
        </w:rPr>
        <w:t xml:space="preserve">; (c) </w:t>
      </w:r>
      <w:r w:rsidRPr="00B1672B">
        <w:rPr>
          <w:rFonts w:ascii="Times New Roman" w:hAnsi="Times New Roman" w:cs="Times New Roman"/>
        </w:rPr>
        <w:t>set an income cap of $500,000 for child support and maintenance</w:t>
      </w:r>
      <w:r w:rsidRPr="001C0326">
        <w:rPr>
          <w:rFonts w:ascii="Times New Roman" w:hAnsi="Times New Roman" w:cs="Times New Roman"/>
        </w:rPr>
        <w:t xml:space="preserve">; (d) </w:t>
      </w:r>
      <w:r w:rsidRPr="00B1672B">
        <w:rPr>
          <w:rFonts w:ascii="Times New Roman" w:hAnsi="Times New Roman" w:cs="Times New Roman"/>
        </w:rPr>
        <w:t>awarded the wife counsel fees in the amount of $906,776.45 and expert fees in the amount of $5,000</w:t>
      </w:r>
      <w:r w:rsidRPr="001C0326">
        <w:rPr>
          <w:rFonts w:ascii="Times New Roman" w:hAnsi="Times New Roman" w:cs="Times New Roman"/>
        </w:rPr>
        <w:t>;</w:t>
      </w:r>
      <w:r w:rsidRPr="00B1672B">
        <w:rPr>
          <w:rFonts w:ascii="Times New Roman" w:hAnsi="Times New Roman" w:cs="Times New Roman"/>
        </w:rPr>
        <w:t xml:space="preserve"> and </w:t>
      </w:r>
      <w:r w:rsidRPr="001C0326">
        <w:rPr>
          <w:rFonts w:ascii="Times New Roman" w:hAnsi="Times New Roman" w:cs="Times New Roman"/>
        </w:rPr>
        <w:t xml:space="preserve">(e) </w:t>
      </w:r>
      <w:r w:rsidRPr="00B1672B">
        <w:rPr>
          <w:rFonts w:ascii="Times New Roman" w:hAnsi="Times New Roman" w:cs="Times New Roman"/>
        </w:rPr>
        <w:t xml:space="preserve">denied </w:t>
      </w:r>
      <w:r w:rsidRPr="001C0326">
        <w:rPr>
          <w:rFonts w:ascii="Times New Roman" w:hAnsi="Times New Roman" w:cs="Times New Roman"/>
        </w:rPr>
        <w:t xml:space="preserve">his </w:t>
      </w:r>
      <w:r w:rsidRPr="00B1672B">
        <w:rPr>
          <w:rFonts w:ascii="Times New Roman" w:hAnsi="Times New Roman" w:cs="Times New Roman"/>
        </w:rPr>
        <w:t>request for the justice's recusal</w:t>
      </w:r>
      <w:r w:rsidRPr="001C0326">
        <w:rPr>
          <w:rFonts w:ascii="Times New Roman" w:hAnsi="Times New Roman" w:cs="Times New Roman"/>
        </w:rPr>
        <w:t xml:space="preserve">. The First Department </w:t>
      </w:r>
      <w:r w:rsidRPr="00B1672B">
        <w:rPr>
          <w:rFonts w:ascii="Times New Roman" w:hAnsi="Times New Roman" w:cs="Times New Roman"/>
        </w:rPr>
        <w:t xml:space="preserve">modified, </w:t>
      </w:r>
      <w:proofErr w:type="gramStart"/>
      <w:r w:rsidRPr="00B1672B">
        <w:rPr>
          <w:rFonts w:ascii="Times New Roman" w:hAnsi="Times New Roman" w:cs="Times New Roman"/>
        </w:rPr>
        <w:t>on</w:t>
      </w:r>
      <w:proofErr w:type="gramEnd"/>
      <w:r w:rsidRPr="00B1672B">
        <w:rPr>
          <w:rFonts w:ascii="Times New Roman" w:hAnsi="Times New Roman" w:cs="Times New Roman"/>
        </w:rPr>
        <w:t xml:space="preserve"> the law, to reduce the counsel fee award by $267,454.84, and otherwise affirmed</w:t>
      </w:r>
      <w:r w:rsidRPr="001C0326">
        <w:rPr>
          <w:rFonts w:ascii="Times New Roman" w:hAnsi="Times New Roman" w:cs="Times New Roman"/>
        </w:rPr>
        <w:t xml:space="preserve"> both orders. The Appellate Division held: (1) that the custody award to the wife was proper, considering that she “</w:t>
      </w:r>
      <w:r w:rsidRPr="00B1672B">
        <w:rPr>
          <w:rFonts w:ascii="Times New Roman" w:hAnsi="Times New Roman" w:cs="Times New Roman"/>
        </w:rPr>
        <w:t xml:space="preserve">demonstrated a greater willingness and ability to cooperate with the husband for the benefit of the children </w:t>
      </w:r>
      <w:r w:rsidRPr="001C0326">
        <w:rPr>
          <w:rFonts w:ascii="Times New Roman" w:hAnsi="Times New Roman" w:cs="Times New Roman"/>
        </w:rPr>
        <w:t xml:space="preserve">(citation omitted) </w:t>
      </w:r>
      <w:r w:rsidRPr="00B1672B">
        <w:rPr>
          <w:rFonts w:ascii="Times New Roman" w:hAnsi="Times New Roman" w:cs="Times New Roman"/>
        </w:rPr>
        <w:t xml:space="preserve">and was able to put the children's needs above her own </w:t>
      </w:r>
      <w:r w:rsidRPr="001C0326">
        <w:rPr>
          <w:rFonts w:ascii="Times New Roman" w:hAnsi="Times New Roman" w:cs="Times New Roman"/>
        </w:rPr>
        <w:t>(citation omitted), ***</w:t>
      </w:r>
      <w:r w:rsidRPr="00B1672B">
        <w:rPr>
          <w:rFonts w:ascii="Times New Roman" w:hAnsi="Times New Roman" w:cs="Times New Roman"/>
        </w:rPr>
        <w:t xml:space="preserve"> the parties</w:t>
      </w:r>
      <w:r w:rsidRPr="001C0326">
        <w:rPr>
          <w:rFonts w:ascii="Times New Roman" w:hAnsi="Times New Roman" w:cs="Times New Roman"/>
        </w:rPr>
        <w:t>’</w:t>
      </w:r>
      <w:r w:rsidRPr="00B1672B">
        <w:rPr>
          <w:rFonts w:ascii="Times New Roman" w:hAnsi="Times New Roman" w:cs="Times New Roman"/>
        </w:rPr>
        <w:t xml:space="preserve"> inability to co-parent</w:t>
      </w:r>
      <w:r w:rsidRPr="001C0326">
        <w:rPr>
          <w:rFonts w:ascii="Times New Roman" w:hAnsi="Times New Roman" w:cs="Times New Roman"/>
        </w:rPr>
        <w:t xml:space="preserve"> (citation omitted)</w:t>
      </w:r>
      <w:r w:rsidRPr="00B1672B">
        <w:rPr>
          <w:rFonts w:ascii="Times New Roman" w:hAnsi="Times New Roman" w:cs="Times New Roman"/>
        </w:rPr>
        <w:t xml:space="preserve"> and the history of domestic violence perpetrated by the husband against the children and the wife</w:t>
      </w:r>
      <w:r w:rsidRPr="001C0326">
        <w:rPr>
          <w:rFonts w:ascii="Times New Roman" w:hAnsi="Times New Roman" w:cs="Times New Roman"/>
        </w:rPr>
        <w:t xml:space="preserve"> (citation omitted)*** and “</w:t>
      </w:r>
      <w:r w:rsidRPr="00B1672B">
        <w:rPr>
          <w:rFonts w:ascii="Times New Roman" w:hAnsi="Times New Roman" w:cs="Times New Roman"/>
        </w:rPr>
        <w:t>the husband failed to avail himself of the supervised visits for several years, despite knowing that the children wished to see him</w:t>
      </w:r>
      <w:r w:rsidRPr="001C0326">
        <w:rPr>
          <w:rFonts w:ascii="Times New Roman" w:hAnsi="Times New Roman" w:cs="Times New Roman"/>
        </w:rPr>
        <w:t xml:space="preserve">”; (2)(a) “*** </w:t>
      </w:r>
      <w:r w:rsidRPr="00B1672B">
        <w:rPr>
          <w:rFonts w:ascii="Times New Roman" w:hAnsi="Times New Roman" w:cs="Times New Roman"/>
        </w:rPr>
        <w:t xml:space="preserve">a pro se litigant acquires no greater right than any other litigant </w:t>
      </w:r>
      <w:r w:rsidRPr="001C0326">
        <w:rPr>
          <w:rFonts w:ascii="Times New Roman" w:hAnsi="Times New Roman" w:cs="Times New Roman"/>
        </w:rPr>
        <w:t>(internal quotation marks and citation omitted)” and Supreme Court “</w:t>
      </w:r>
      <w:r w:rsidRPr="00B1672B">
        <w:rPr>
          <w:rFonts w:ascii="Times New Roman" w:hAnsi="Times New Roman" w:cs="Times New Roman"/>
        </w:rPr>
        <w:t>providently exercised its discretion in barring the husband from calling certain witnesses at trial</w:t>
      </w:r>
      <w:r w:rsidRPr="001C0326">
        <w:rPr>
          <w:rFonts w:ascii="Times New Roman" w:hAnsi="Times New Roman" w:cs="Times New Roman"/>
        </w:rPr>
        <w:t>,” noting that the husband “c</w:t>
      </w:r>
      <w:r w:rsidRPr="00B1672B">
        <w:rPr>
          <w:rFonts w:ascii="Times New Roman" w:hAnsi="Times New Roman" w:cs="Times New Roman"/>
        </w:rPr>
        <w:t xml:space="preserve">ould have asked the court-appointed forensic evaluator about </w:t>
      </w:r>
      <w:r w:rsidRPr="001C0326">
        <w:rPr>
          <w:rFonts w:ascii="Times New Roman" w:hAnsi="Times New Roman" w:cs="Times New Roman"/>
        </w:rPr>
        <w:t xml:space="preserve">[a certain report] *** </w:t>
      </w:r>
      <w:r w:rsidRPr="00B1672B">
        <w:rPr>
          <w:rFonts w:ascii="Times New Roman" w:hAnsi="Times New Roman" w:cs="Times New Roman"/>
        </w:rPr>
        <w:t>but he chose not to.</w:t>
      </w:r>
      <w:r w:rsidRPr="001C0326">
        <w:rPr>
          <w:rFonts w:ascii="Times New Roman" w:hAnsi="Times New Roman" w:cs="Times New Roman"/>
        </w:rPr>
        <w:t>” Regarding 3 fact witnesses, the First Department noted: “</w:t>
      </w:r>
      <w:r w:rsidRPr="00B1672B">
        <w:rPr>
          <w:rFonts w:ascii="Times New Roman" w:hAnsi="Times New Roman" w:cs="Times New Roman"/>
        </w:rPr>
        <w:t>one witness's location could not be ascertained, the other would have provided cumulative testimony, and the husband never made an offer of proof as to what facts the third witness would have testified to.</w:t>
      </w:r>
      <w:r w:rsidRPr="001C0326">
        <w:rPr>
          <w:rFonts w:ascii="Times New Roman" w:hAnsi="Times New Roman" w:cs="Times New Roman"/>
        </w:rPr>
        <w:t>” The Appellate Division further determined: “</w:t>
      </w:r>
      <w:r w:rsidRPr="00B1672B">
        <w:rPr>
          <w:rFonts w:ascii="Times New Roman" w:hAnsi="Times New Roman" w:cs="Times New Roman"/>
        </w:rPr>
        <w:t>Any contention that the court erred by precluding the husband from testifying about his 2023 income, declining to admit his statement of net worth into evidence, and refusing to allow him to state his income for tax years 2017-2020 fails in light of this Court's affirmance of the January 10, 2023 preclusion order (216 AD3d 512 [1st Dept 2023]), which constitutes the law of the case</w:t>
      </w:r>
      <w:r w:rsidRPr="001C0326">
        <w:rPr>
          <w:rFonts w:ascii="Times New Roman" w:hAnsi="Times New Roman" w:cs="Times New Roman"/>
        </w:rPr>
        <w:t xml:space="preserve"> (citation omitted)”; (2)(b) “** </w:t>
      </w:r>
      <w:r w:rsidRPr="00B1672B">
        <w:rPr>
          <w:rFonts w:ascii="Times New Roman" w:hAnsi="Times New Roman" w:cs="Times New Roman"/>
        </w:rPr>
        <w:t>given the parties 10-year, 7-month marriage,</w:t>
      </w:r>
      <w:r w:rsidRPr="001C0326">
        <w:rPr>
          <w:rFonts w:ascii="Times New Roman" w:hAnsi="Times New Roman" w:cs="Times New Roman"/>
        </w:rPr>
        <w:t>” and the advisory duration guidelines, there was no abuse of discretion in the 38-month duration of the award,” giving due consideration to “</w:t>
      </w:r>
      <w:r w:rsidRPr="00B1672B">
        <w:rPr>
          <w:rFonts w:ascii="Times New Roman" w:hAnsi="Times New Roman" w:cs="Times New Roman"/>
        </w:rPr>
        <w:t>the ages of the parties, the length of the marriage, information about the children, the equitable distribution of the marital assets, the wife</w:t>
      </w:r>
      <w:r w:rsidRPr="001C0326">
        <w:rPr>
          <w:rFonts w:ascii="Times New Roman" w:hAnsi="Times New Roman" w:cs="Times New Roman"/>
        </w:rPr>
        <w:t>’</w:t>
      </w:r>
      <w:r w:rsidRPr="00B1672B">
        <w:rPr>
          <w:rFonts w:ascii="Times New Roman" w:hAnsi="Times New Roman" w:cs="Times New Roman"/>
        </w:rPr>
        <w:t>s contributions to the household during the marriage, as well as the parties</w:t>
      </w:r>
      <w:r w:rsidRPr="001C0326">
        <w:rPr>
          <w:rFonts w:ascii="Times New Roman" w:hAnsi="Times New Roman" w:cs="Times New Roman"/>
        </w:rPr>
        <w:t>’</w:t>
      </w:r>
      <w:r w:rsidRPr="00B1672B">
        <w:rPr>
          <w:rFonts w:ascii="Times New Roman" w:hAnsi="Times New Roman" w:cs="Times New Roman"/>
        </w:rPr>
        <w:t xml:space="preserve"> education levels, and past and current careers and incomes</w:t>
      </w:r>
      <w:r w:rsidRPr="001C0326">
        <w:rPr>
          <w:rFonts w:ascii="Times New Roman" w:hAnsi="Times New Roman" w:cs="Times New Roman"/>
        </w:rPr>
        <w:t>” and “</w:t>
      </w:r>
      <w:r w:rsidRPr="00B1672B">
        <w:rPr>
          <w:rFonts w:ascii="Times New Roman" w:hAnsi="Times New Roman" w:cs="Times New Roman"/>
        </w:rPr>
        <w:t xml:space="preserve">the wife's testimony regarding domestic violence by the husband against her and the children, the husband's wasteful dissipation of marital assets, his decision to cut off all </w:t>
      </w:r>
      <w:r w:rsidRPr="00B1672B">
        <w:rPr>
          <w:rFonts w:ascii="Times New Roman" w:hAnsi="Times New Roman" w:cs="Times New Roman"/>
        </w:rPr>
        <w:lastRenderedPageBreak/>
        <w:t>financial support to the children during the matrimonial proceedings, and his dilatory litigation tactics. Although the wife is arguably self-supporting, the court properly considered the standard of living that the parties established during the marriage in determining the maintenance award</w:t>
      </w:r>
      <w:r w:rsidRPr="001C0326">
        <w:rPr>
          <w:rFonts w:ascii="Times New Roman" w:hAnsi="Times New Roman" w:cs="Times New Roman"/>
        </w:rPr>
        <w:t>.” Further</w:t>
      </w:r>
      <w:proofErr w:type="gramStart"/>
      <w:r w:rsidRPr="001C0326">
        <w:rPr>
          <w:rFonts w:ascii="Times New Roman" w:hAnsi="Times New Roman" w:cs="Times New Roman"/>
        </w:rPr>
        <w:t>, “[t]</w:t>
      </w:r>
      <w:proofErr w:type="gramEnd"/>
      <w:r w:rsidRPr="00B1672B">
        <w:rPr>
          <w:rFonts w:ascii="Times New Roman" w:hAnsi="Times New Roman" w:cs="Times New Roman"/>
        </w:rPr>
        <w:t>he court reasonably determined that it need not unquestioningly accept the husband's assertions about his earnings based on his income tax returns and appropriately looked beyond the tax records to consider his earning history and spending during the marriage to impute to him $1 million in annual income</w:t>
      </w:r>
      <w:r w:rsidRPr="001C0326">
        <w:rPr>
          <w:rFonts w:ascii="Times New Roman" w:hAnsi="Times New Roman" w:cs="Times New Roman"/>
        </w:rPr>
        <w:t xml:space="preserve"> (citation omitted)</w:t>
      </w:r>
      <w:r w:rsidRPr="00B1672B">
        <w:rPr>
          <w:rFonts w:ascii="Times New Roman" w:hAnsi="Times New Roman" w:cs="Times New Roman"/>
        </w:rPr>
        <w:t>. The husband was the sole equity holder in his businesses and admitted to channeling certain personal expenses, such as the Tesla, through the business, further confusing boundaries between the husband's and his businesses</w:t>
      </w:r>
      <w:r w:rsidRPr="001C0326">
        <w:rPr>
          <w:rFonts w:ascii="Times New Roman" w:hAnsi="Times New Roman" w:cs="Times New Roman"/>
        </w:rPr>
        <w:t>’</w:t>
      </w:r>
      <w:r w:rsidRPr="00B1672B">
        <w:rPr>
          <w:rFonts w:ascii="Times New Roman" w:hAnsi="Times New Roman" w:cs="Times New Roman"/>
        </w:rPr>
        <w:t xml:space="preserve"> assets and liabilities. Thus, the court appropriately considered that the husband, whose income declined after the wife commenced the divorce action, had control over how much he was paid</w:t>
      </w:r>
      <w:r w:rsidR="00920A8F">
        <w:rPr>
          <w:rFonts w:ascii="Times New Roman" w:hAnsi="Times New Roman" w:cs="Times New Roman"/>
        </w:rPr>
        <w:t>”</w:t>
      </w:r>
      <w:r w:rsidRPr="001C0326">
        <w:rPr>
          <w:rFonts w:ascii="Times New Roman" w:hAnsi="Times New Roman" w:cs="Times New Roman"/>
        </w:rPr>
        <w:t>; (2)(c) “</w:t>
      </w:r>
      <w:r w:rsidRPr="00B1672B">
        <w:rPr>
          <w:rFonts w:ascii="Times New Roman" w:hAnsi="Times New Roman" w:cs="Times New Roman"/>
        </w:rPr>
        <w:t>In deciding to utilize the parties</w:t>
      </w:r>
      <w:r w:rsidRPr="001C0326">
        <w:rPr>
          <w:rFonts w:ascii="Times New Roman" w:hAnsi="Times New Roman" w:cs="Times New Roman"/>
        </w:rPr>
        <w:t>’</w:t>
      </w:r>
      <w:r w:rsidRPr="00B1672B">
        <w:rPr>
          <w:rFonts w:ascii="Times New Roman" w:hAnsi="Times New Roman" w:cs="Times New Roman"/>
        </w:rPr>
        <w:t xml:space="preserve"> combined income up to $500,000 in setting support, the court examined whether the capped support adequately reflects a support level that meets the needs and continuation of the children's lifestyle</w:t>
      </w:r>
      <w:r w:rsidRPr="001C0326">
        <w:rPr>
          <w:rFonts w:ascii="Times New Roman" w:hAnsi="Times New Roman" w:cs="Times New Roman"/>
        </w:rPr>
        <w:t xml:space="preserve"> </w:t>
      </w:r>
      <w:r w:rsidRPr="00B1672B">
        <w:rPr>
          <w:rFonts w:ascii="Times New Roman" w:hAnsi="Times New Roman" w:cs="Times New Roman"/>
        </w:rPr>
        <w:t>and concluded that it did not</w:t>
      </w:r>
      <w:r w:rsidRPr="001C0326">
        <w:rPr>
          <w:rFonts w:ascii="Times New Roman" w:hAnsi="Times New Roman" w:cs="Times New Roman"/>
        </w:rPr>
        <w:t xml:space="preserve"> (internal quotation marks and citation omitted</w:t>
      </w:r>
      <w:r w:rsidR="00920A8F">
        <w:rPr>
          <w:rFonts w:ascii="Times New Roman" w:hAnsi="Times New Roman" w:cs="Times New Roman"/>
        </w:rPr>
        <w:t>)</w:t>
      </w:r>
      <w:r w:rsidRPr="001C0326">
        <w:rPr>
          <w:rFonts w:ascii="Times New Roman" w:hAnsi="Times New Roman" w:cs="Times New Roman"/>
        </w:rPr>
        <w:t>”; (2)(d) “</w:t>
      </w:r>
      <w:r w:rsidRPr="00B1672B">
        <w:rPr>
          <w:rFonts w:ascii="Times New Roman" w:hAnsi="Times New Roman" w:cs="Times New Roman"/>
        </w:rPr>
        <w:t>In light of the parties' financial circumstances, the court properly awarded the wife counsel fees in connection with the matrimonial proceeding and the 2023 appellate case</w:t>
      </w:r>
      <w:r w:rsidRPr="001C0326">
        <w:rPr>
          <w:rFonts w:ascii="Times New Roman" w:hAnsi="Times New Roman" w:cs="Times New Roman"/>
        </w:rPr>
        <w:t xml:space="preserve"> (citations omitted),*** [and]</w:t>
      </w:r>
      <w:r w:rsidRPr="00B1672B">
        <w:rPr>
          <w:rFonts w:ascii="Times New Roman" w:hAnsi="Times New Roman" w:cs="Times New Roman"/>
        </w:rPr>
        <w:t xml:space="preserve"> we decline to reduce the fee award, given the court's finding that the husband employed harassing litigation tactics, prolonged the proceedings, and exhibited overall obstreperous behavior</w:t>
      </w:r>
      <w:r w:rsidRPr="001C0326">
        <w:rPr>
          <w:rFonts w:ascii="Times New Roman" w:hAnsi="Times New Roman" w:cs="Times New Roman"/>
        </w:rPr>
        <w:t xml:space="preserve"> (citation omitted).</w:t>
      </w:r>
      <w:r w:rsidR="00920A8F">
        <w:rPr>
          <w:rFonts w:ascii="Times New Roman" w:hAnsi="Times New Roman" w:cs="Times New Roman"/>
        </w:rPr>
        <w:t>”</w:t>
      </w:r>
      <w:r w:rsidRPr="001C0326">
        <w:rPr>
          <w:rFonts w:ascii="Times New Roman" w:hAnsi="Times New Roman" w:cs="Times New Roman"/>
        </w:rPr>
        <w:t xml:space="preserve"> The Appellate Division concluded that Supr</w:t>
      </w:r>
      <w:r>
        <w:rPr>
          <w:rFonts w:ascii="Times New Roman" w:hAnsi="Times New Roman" w:cs="Times New Roman"/>
        </w:rPr>
        <w:t>eme</w:t>
      </w:r>
      <w:r w:rsidRPr="001C0326">
        <w:rPr>
          <w:rFonts w:ascii="Times New Roman" w:hAnsi="Times New Roman" w:cs="Times New Roman"/>
        </w:rPr>
        <w:t xml:space="preserve"> Court “</w:t>
      </w:r>
      <w:r w:rsidRPr="00B1672B">
        <w:rPr>
          <w:rFonts w:ascii="Times New Roman" w:hAnsi="Times New Roman" w:cs="Times New Roman"/>
        </w:rPr>
        <w:t xml:space="preserve">erred by including charges for services rendered by the wife's attorney in a related bankruptcy action in the final counsel fee award </w:t>
      </w:r>
      <w:r w:rsidRPr="001C0326">
        <w:rPr>
          <w:rFonts w:ascii="Times New Roman" w:hAnsi="Times New Roman" w:cs="Times New Roman"/>
        </w:rPr>
        <w:t>(citations omitted)” and</w:t>
      </w:r>
      <w:r w:rsidRPr="00B1672B">
        <w:rPr>
          <w:rFonts w:ascii="Times New Roman" w:hAnsi="Times New Roman" w:cs="Times New Roman"/>
        </w:rPr>
        <w:t xml:space="preserve"> reduce</w:t>
      </w:r>
      <w:r w:rsidRPr="001C0326">
        <w:rPr>
          <w:rFonts w:ascii="Times New Roman" w:hAnsi="Times New Roman" w:cs="Times New Roman"/>
        </w:rPr>
        <w:t>d</w:t>
      </w:r>
      <w:r w:rsidRPr="00B1672B">
        <w:rPr>
          <w:rFonts w:ascii="Times New Roman" w:hAnsi="Times New Roman" w:cs="Times New Roman"/>
        </w:rPr>
        <w:t xml:space="preserve"> the fee award by $267,454.84.</w:t>
      </w:r>
      <w:bookmarkEnd w:id="0"/>
    </w:p>
    <w:p w14:paraId="28468DD6" w14:textId="77777777" w:rsidR="005664BA" w:rsidRDefault="005664BA" w:rsidP="00617452">
      <w:pPr>
        <w:pStyle w:val="Heading2"/>
        <w:numPr>
          <w:ilvl w:val="0"/>
          <w:numId w:val="0"/>
        </w:numPr>
        <w:spacing w:line="240" w:lineRule="auto"/>
        <w:contextualSpacing/>
        <w:jc w:val="both"/>
        <w:rPr>
          <w:rFonts w:ascii="Times New Roman" w:hAnsi="Times New Roman" w:cs="Times New Roman"/>
        </w:rPr>
      </w:pPr>
    </w:p>
    <w:p w14:paraId="71546A28" w14:textId="77777777" w:rsidR="002527B6" w:rsidRDefault="002527B6" w:rsidP="002527B6">
      <w:pPr>
        <w:pStyle w:val="Heading2"/>
        <w:numPr>
          <w:ilvl w:val="0"/>
          <w:numId w:val="0"/>
        </w:numPr>
        <w:spacing w:line="240" w:lineRule="auto"/>
        <w:contextualSpacing/>
        <w:jc w:val="both"/>
        <w:rPr>
          <w:rFonts w:ascii="Times New Roman" w:hAnsi="Times New Roman" w:cs="Times New Roman"/>
        </w:rPr>
      </w:pPr>
      <w:r>
        <w:rPr>
          <w:rFonts w:ascii="Times New Roman" w:hAnsi="Times New Roman" w:cs="Times New Roman"/>
          <w:b/>
          <w:bCs/>
        </w:rPr>
        <w:t xml:space="preserve">Child </w:t>
      </w:r>
      <w:r w:rsidRPr="002527B6">
        <w:rPr>
          <w:rFonts w:ascii="Times New Roman" w:hAnsi="Times New Roman" w:cs="Times New Roman"/>
          <w:b/>
          <w:bCs/>
        </w:rPr>
        <w:t>Support - CSSA – Imputed Income; Inability to Work Not Established; Unjust or Inappropriate Deviation Properly Denied</w:t>
      </w:r>
    </w:p>
    <w:p w14:paraId="737DE4BD" w14:textId="77777777" w:rsidR="002527B6" w:rsidRDefault="002527B6" w:rsidP="002527B6">
      <w:pPr>
        <w:pStyle w:val="Heading2"/>
        <w:numPr>
          <w:ilvl w:val="0"/>
          <w:numId w:val="0"/>
        </w:numPr>
        <w:spacing w:line="240" w:lineRule="auto"/>
        <w:contextualSpacing/>
        <w:jc w:val="both"/>
        <w:rPr>
          <w:rFonts w:ascii="Times New Roman" w:hAnsi="Times New Roman" w:cs="Times New Roman"/>
        </w:rPr>
      </w:pPr>
    </w:p>
    <w:p w14:paraId="46E68B82" w14:textId="1DC67E2F" w:rsidR="002527B6" w:rsidRDefault="002527B6" w:rsidP="002527B6">
      <w:pPr>
        <w:pStyle w:val="Heading2"/>
        <w:numPr>
          <w:ilvl w:val="0"/>
          <w:numId w:val="0"/>
        </w:numPr>
        <w:spacing w:line="240" w:lineRule="auto"/>
        <w:contextualSpacing/>
        <w:jc w:val="both"/>
        <w:rPr>
          <w:rFonts w:ascii="Times New Roman" w:hAnsi="Times New Roman" w:cs="Times New Roman"/>
        </w:rPr>
      </w:pPr>
      <w:r>
        <w:rPr>
          <w:rFonts w:ascii="Times New Roman" w:hAnsi="Times New Roman" w:cs="Times New Roman"/>
        </w:rPr>
        <w:tab/>
        <w:t xml:space="preserve">In </w:t>
      </w:r>
      <w:r w:rsidRPr="002527B6">
        <w:rPr>
          <w:rFonts w:ascii="Times New Roman" w:hAnsi="Times New Roman" w:cs="Times New Roman"/>
          <w:b/>
          <w:bCs/>
          <w:i/>
          <w:iCs/>
        </w:rPr>
        <w:t>Matter of Nesterenko v. Reshetilov</w:t>
      </w:r>
      <w:r>
        <w:rPr>
          <w:rFonts w:ascii="Times New Roman" w:hAnsi="Times New Roman" w:cs="Times New Roman"/>
        </w:rPr>
        <w:t xml:space="preserve">, 2026 Westlaw 758887 (2d Dept. Mar. 18, 2026), the father appealed from a February 2025 Family Court order, denying his objections to a January 2025 Support Magistrate Order which, after a hearing, directed him to pay the mother $1,781 monthly toward the support of the </w:t>
      </w:r>
      <w:proofErr w:type="gramStart"/>
      <w:r>
        <w:rPr>
          <w:rFonts w:ascii="Times New Roman" w:hAnsi="Times New Roman" w:cs="Times New Roman"/>
        </w:rPr>
        <w:t>parties</w:t>
      </w:r>
      <w:proofErr w:type="gramEnd"/>
      <w:r w:rsidR="003463D5">
        <w:rPr>
          <w:rFonts w:ascii="Times New Roman" w:hAnsi="Times New Roman" w:cs="Times New Roman"/>
        </w:rPr>
        <w:t xml:space="preserve">’ </w:t>
      </w:r>
      <w:r>
        <w:rPr>
          <w:rFonts w:ascii="Times New Roman" w:hAnsi="Times New Roman" w:cs="Times New Roman"/>
        </w:rPr>
        <w:t>child born in 2018. The Second Department affirmed, holding that the Support Magistrate properly “</w:t>
      </w:r>
      <w:proofErr w:type="spellStart"/>
      <w:r>
        <w:rPr>
          <w:rFonts w:ascii="Times New Roman" w:hAnsi="Times New Roman" w:cs="Times New Roman"/>
        </w:rPr>
        <w:t>imput</w:t>
      </w:r>
      <w:proofErr w:type="spellEnd"/>
      <w:r>
        <w:rPr>
          <w:rFonts w:ascii="Times New Roman" w:hAnsi="Times New Roman" w:cs="Times New Roman"/>
        </w:rPr>
        <w:t>[ed] certain income to the father based upon his average annual income and ability to earn” and “the father offered no evidence to support his contentions that he was unable to work as a result of his health issues and responsibility to care for his other children.” The Court concluded that “the Support Magistrate did not improvidently exercise her discretion in denying his request for a deviation from the [CSSA] ***.”</w:t>
      </w:r>
    </w:p>
    <w:p w14:paraId="72674A4B" w14:textId="77777777" w:rsidR="00164362" w:rsidRDefault="00164362" w:rsidP="002527B6">
      <w:pPr>
        <w:pStyle w:val="Heading2"/>
        <w:numPr>
          <w:ilvl w:val="0"/>
          <w:numId w:val="0"/>
        </w:numPr>
        <w:spacing w:line="240" w:lineRule="auto"/>
        <w:contextualSpacing/>
        <w:jc w:val="both"/>
        <w:rPr>
          <w:rFonts w:ascii="Times New Roman" w:hAnsi="Times New Roman" w:cs="Times New Roman"/>
        </w:rPr>
      </w:pPr>
    </w:p>
    <w:p w14:paraId="1D0C22B8" w14:textId="4A1A41E5" w:rsidR="00164362" w:rsidRPr="00164362" w:rsidRDefault="00164362" w:rsidP="00164362">
      <w:pPr>
        <w:pStyle w:val="Heading2"/>
        <w:numPr>
          <w:ilvl w:val="0"/>
          <w:numId w:val="0"/>
        </w:numPr>
        <w:jc w:val="both"/>
        <w:rPr>
          <w:rFonts w:ascii="Times New Roman" w:hAnsi="Times New Roman" w:cs="Times New Roman"/>
          <w:b/>
          <w:bCs/>
        </w:rPr>
      </w:pPr>
      <w:r w:rsidRPr="00164362">
        <w:rPr>
          <w:rFonts w:ascii="Times New Roman" w:hAnsi="Times New Roman" w:cs="Times New Roman"/>
          <w:b/>
          <w:bCs/>
        </w:rPr>
        <w:t>Child Support – CSSA – Insufficient Medical Proof; Most Recent Income Tax Return</w:t>
      </w:r>
    </w:p>
    <w:p w14:paraId="533FF85B" w14:textId="0D9E2966" w:rsidR="00164362" w:rsidRDefault="00164362" w:rsidP="002527B6">
      <w:pPr>
        <w:pStyle w:val="Heading2"/>
        <w:numPr>
          <w:ilvl w:val="0"/>
          <w:numId w:val="0"/>
        </w:numPr>
        <w:spacing w:line="240" w:lineRule="auto"/>
        <w:contextualSpacing/>
        <w:jc w:val="both"/>
        <w:rPr>
          <w:rFonts w:ascii="Times New Roman" w:hAnsi="Times New Roman" w:cs="Times New Roman"/>
        </w:rPr>
      </w:pPr>
      <w:r>
        <w:rPr>
          <w:rFonts w:ascii="Times New Roman" w:hAnsi="Times New Roman" w:cs="Times New Roman"/>
        </w:rPr>
        <w:tab/>
        <w:t xml:space="preserve">In </w:t>
      </w:r>
      <w:r w:rsidRPr="00164362">
        <w:rPr>
          <w:rFonts w:ascii="Times New Roman" w:hAnsi="Times New Roman" w:cs="Times New Roman"/>
          <w:b/>
          <w:bCs/>
          <w:i/>
          <w:iCs/>
        </w:rPr>
        <w:t>Matter of Adeshina v. Adeshina</w:t>
      </w:r>
      <w:r>
        <w:rPr>
          <w:rFonts w:ascii="Times New Roman" w:hAnsi="Times New Roman" w:cs="Times New Roman"/>
        </w:rPr>
        <w:t>, 2026 Westlaw</w:t>
      </w:r>
      <w:r w:rsidR="009F2E33">
        <w:rPr>
          <w:rFonts w:ascii="Times New Roman" w:hAnsi="Times New Roman" w:cs="Times New Roman"/>
        </w:rPr>
        <w:t xml:space="preserve"> 848930</w:t>
      </w:r>
      <w:r>
        <w:rPr>
          <w:rFonts w:ascii="Times New Roman" w:hAnsi="Times New Roman" w:cs="Times New Roman"/>
        </w:rPr>
        <w:t xml:space="preserve"> (2d Dept. Mar. 25, 2026), the father appealed from a March 2025 Family Court order, denying his objections to a January 2025 Support Magistrate Order which, after a hearing upon the mother’s August 2023 petition, directed him to pay $205 weekly toward the support of the parties’ 4 children. The Second Department affirmed, holding that the Support Magistrate “properly calculated the father’s income *** based on his gross income as reported on his 2024 tax return (citations omitted).” The Appellate Division concluded “the court providently exercised its discretion in declining to reduce the father’s child support obligation due to his medical condition, as the father failed to provide competent medical </w:t>
      </w:r>
      <w:r>
        <w:rPr>
          <w:rFonts w:ascii="Times New Roman" w:hAnsi="Times New Roman" w:cs="Times New Roman"/>
        </w:rPr>
        <w:lastRenderedPageBreak/>
        <w:t xml:space="preserve">evidence at the hearing to show that his alleged medical condition </w:t>
      </w:r>
      <w:r w:rsidR="0062357A">
        <w:rPr>
          <w:rFonts w:ascii="Times New Roman" w:hAnsi="Times New Roman" w:cs="Times New Roman"/>
        </w:rPr>
        <w:t>prevent</w:t>
      </w:r>
      <w:r>
        <w:rPr>
          <w:rFonts w:ascii="Times New Roman" w:hAnsi="Times New Roman" w:cs="Times New Roman"/>
        </w:rPr>
        <w:t xml:space="preserve"> him from working or reduced his earning capacity (citations omitted).”</w:t>
      </w:r>
    </w:p>
    <w:p w14:paraId="20972FEE" w14:textId="77777777" w:rsidR="002527B6" w:rsidRDefault="002527B6" w:rsidP="002527B6">
      <w:pPr>
        <w:pStyle w:val="Heading2"/>
        <w:numPr>
          <w:ilvl w:val="0"/>
          <w:numId w:val="0"/>
        </w:numPr>
        <w:spacing w:line="240" w:lineRule="auto"/>
        <w:contextualSpacing/>
        <w:jc w:val="both"/>
        <w:rPr>
          <w:rFonts w:ascii="Times New Roman" w:hAnsi="Times New Roman" w:cs="Times New Roman"/>
        </w:rPr>
      </w:pPr>
    </w:p>
    <w:p w14:paraId="218181EF" w14:textId="15B11E5D" w:rsidR="005664BA" w:rsidRPr="005664BA" w:rsidRDefault="005664BA" w:rsidP="002527B6">
      <w:pPr>
        <w:pStyle w:val="Heading2"/>
        <w:numPr>
          <w:ilvl w:val="0"/>
          <w:numId w:val="0"/>
        </w:numPr>
        <w:jc w:val="both"/>
        <w:rPr>
          <w:rFonts w:ascii="Times New Roman" w:hAnsi="Times New Roman" w:cs="Times New Roman"/>
          <w:b/>
          <w:bCs/>
        </w:rPr>
      </w:pPr>
      <w:r w:rsidRPr="005664BA">
        <w:rPr>
          <w:rFonts w:ascii="Times New Roman" w:hAnsi="Times New Roman" w:cs="Times New Roman"/>
          <w:b/>
          <w:bCs/>
        </w:rPr>
        <w:t>Child Support - Modification – Downward – Reversed on Appeal</w:t>
      </w:r>
    </w:p>
    <w:p w14:paraId="09CF281A" w14:textId="0BE97C75" w:rsidR="005664BA" w:rsidRDefault="005664BA" w:rsidP="005664BA">
      <w:pPr>
        <w:pStyle w:val="Heading2"/>
        <w:numPr>
          <w:ilvl w:val="0"/>
          <w:numId w:val="0"/>
        </w:numPr>
        <w:spacing w:line="240" w:lineRule="auto"/>
        <w:contextualSpacing/>
        <w:jc w:val="both"/>
        <w:rPr>
          <w:rFonts w:ascii="Times New Roman" w:hAnsi="Times New Roman" w:cs="Times New Roman"/>
        </w:rPr>
      </w:pPr>
      <w:r>
        <w:rPr>
          <w:rFonts w:ascii="Times New Roman" w:hAnsi="Times New Roman" w:cs="Times New Roman"/>
        </w:rPr>
        <w:tab/>
        <w:t xml:space="preserve">In </w:t>
      </w:r>
      <w:r w:rsidRPr="005664BA">
        <w:rPr>
          <w:rFonts w:ascii="Times New Roman" w:hAnsi="Times New Roman" w:cs="Times New Roman"/>
          <w:b/>
          <w:bCs/>
          <w:i/>
          <w:iCs/>
        </w:rPr>
        <w:t>Whelan v. Whelan</w:t>
      </w:r>
      <w:r>
        <w:rPr>
          <w:rFonts w:ascii="Times New Roman" w:hAnsi="Times New Roman" w:cs="Times New Roman"/>
        </w:rPr>
        <w:t xml:space="preserve">, 2026 Westlaw 681684 (2d Dept. Mar. 11, 2026), the parties entered into a December 2015 agreement which was incorporated into a July 2016 judgment of divorce, waived the 15% change in gross income ground for child support modification, and provided that the father would pay the mother $6,250 monthly toward the support of the subject 2 children. The mother appealed from a September 2020 Supreme Court order which, without </w:t>
      </w:r>
      <w:proofErr w:type="gramStart"/>
      <w:r>
        <w:rPr>
          <w:rFonts w:ascii="Times New Roman" w:hAnsi="Times New Roman" w:cs="Times New Roman"/>
        </w:rPr>
        <w:t>a hearing</w:t>
      </w:r>
      <w:proofErr w:type="gramEnd"/>
      <w:r>
        <w:rPr>
          <w:rFonts w:ascii="Times New Roman" w:hAnsi="Times New Roman" w:cs="Times New Roman"/>
        </w:rPr>
        <w:t>, granted the father’s July 2020 motion for downward modification to the extent of reducing his obligation to $3,500 per month. The Second Department reversed, on the law, and denied the father’s motion, holding that the father failed to establish a substantial change in circumstances warranting a downward modification, while noting that his “statement of net worth indicated that, despite his loss of income related to the COVID-19 pandemic, he had sufficient means to provide child support at the level set forth by the parties in the stipulation (citations omitted).”</w:t>
      </w:r>
    </w:p>
    <w:p w14:paraId="29101A80" w14:textId="77777777" w:rsidR="002527B6" w:rsidRDefault="002527B6" w:rsidP="005664BA">
      <w:pPr>
        <w:pStyle w:val="Heading2"/>
        <w:numPr>
          <w:ilvl w:val="0"/>
          <w:numId w:val="0"/>
        </w:numPr>
        <w:spacing w:line="240" w:lineRule="auto"/>
        <w:contextualSpacing/>
        <w:jc w:val="both"/>
        <w:rPr>
          <w:rFonts w:ascii="Times New Roman" w:hAnsi="Times New Roman" w:cs="Times New Roman"/>
        </w:rPr>
      </w:pPr>
    </w:p>
    <w:p w14:paraId="1C01CB8F" w14:textId="77777777" w:rsidR="002527B6" w:rsidRPr="002527B6" w:rsidRDefault="002527B6" w:rsidP="002527B6">
      <w:pPr>
        <w:pStyle w:val="Heading2"/>
        <w:numPr>
          <w:ilvl w:val="0"/>
          <w:numId w:val="0"/>
        </w:numPr>
        <w:tabs>
          <w:tab w:val="clear" w:pos="720"/>
        </w:tabs>
        <w:jc w:val="both"/>
        <w:rPr>
          <w:rFonts w:ascii="Times New Roman" w:hAnsi="Times New Roman" w:cs="Times New Roman"/>
          <w:b/>
          <w:bCs/>
        </w:rPr>
      </w:pPr>
      <w:r w:rsidRPr="002527B6">
        <w:rPr>
          <w:rFonts w:ascii="Times New Roman" w:hAnsi="Times New Roman" w:cs="Times New Roman"/>
          <w:b/>
          <w:bCs/>
        </w:rPr>
        <w:t>Child Support - Modification – 15% Waived; Reduced Income, Substantial Assets – Denied</w:t>
      </w:r>
    </w:p>
    <w:p w14:paraId="38DDE5AA" w14:textId="0BEAE6F2" w:rsidR="002527B6" w:rsidRDefault="002527B6" w:rsidP="002527B6">
      <w:pPr>
        <w:pStyle w:val="Heading2"/>
        <w:numPr>
          <w:ilvl w:val="0"/>
          <w:numId w:val="0"/>
        </w:numPr>
        <w:spacing w:line="240" w:lineRule="auto"/>
        <w:contextualSpacing/>
        <w:jc w:val="both"/>
        <w:rPr>
          <w:rFonts w:ascii="Times New Roman" w:hAnsi="Times New Roman" w:cs="Times New Roman"/>
        </w:rPr>
      </w:pPr>
      <w:r>
        <w:rPr>
          <w:rFonts w:ascii="Times New Roman" w:hAnsi="Times New Roman" w:cs="Times New Roman"/>
        </w:rPr>
        <w:tab/>
        <w:t xml:space="preserve">In </w:t>
      </w:r>
      <w:r w:rsidRPr="002527B6">
        <w:rPr>
          <w:rFonts w:ascii="Times New Roman" w:hAnsi="Times New Roman" w:cs="Times New Roman"/>
          <w:b/>
          <w:bCs/>
          <w:i/>
          <w:iCs/>
        </w:rPr>
        <w:t>Light-Sanicola v. Sanicola</w:t>
      </w:r>
      <w:r>
        <w:rPr>
          <w:rFonts w:ascii="Times New Roman" w:hAnsi="Times New Roman" w:cs="Times New Roman"/>
        </w:rPr>
        <w:t xml:space="preserve">, 2026 Westlaw 758865 (2d Dept. Mar. 18, 2026), the parties were divorced by a January 2023 judgment incorporating a December 2022 stipulation, which waived the 15% gross income change ground and required the father to pay the mother child support of $5,200 monthly, plus 75% of add-on expenses for the parties’ 2 children.  The mother appealed from an October 2024 Supreme Court order, which granted the father’s June 2024 motion seeking a downward modification to $546 monthly, to the extent of reducing his obligation to $4,200 per month and directing the mother to pay 100% of add-on expenses. During </w:t>
      </w:r>
      <w:proofErr w:type="gramStart"/>
      <w:r>
        <w:rPr>
          <w:rFonts w:ascii="Times New Roman" w:hAnsi="Times New Roman" w:cs="Times New Roman"/>
        </w:rPr>
        <w:t>the pendency of the</w:t>
      </w:r>
      <w:proofErr w:type="gramEnd"/>
      <w:r>
        <w:rPr>
          <w:rFonts w:ascii="Times New Roman" w:hAnsi="Times New Roman" w:cs="Times New Roman"/>
        </w:rPr>
        <w:t xml:space="preserve"> motion, the father secured temporary employment and amended his request for downward modification by requesting a reduction to $2,891.42 per month. The Second Department reversed, on the law, and denied the father’s motion for downward modification, holding that he “failed to establish a substantial change in circumstances to warrant a downward modification of child support” and finding that his “statement of net worth indicated that despite the reduction in his income, he had sufficient means to provide child support at the level set forth the parties in the stipulation (citations omitted).”</w:t>
      </w:r>
    </w:p>
    <w:p w14:paraId="5D79C521" w14:textId="77777777" w:rsidR="002527B6" w:rsidRDefault="002527B6" w:rsidP="002527B6">
      <w:pPr>
        <w:pStyle w:val="Heading2"/>
        <w:numPr>
          <w:ilvl w:val="0"/>
          <w:numId w:val="0"/>
        </w:numPr>
        <w:spacing w:line="240" w:lineRule="auto"/>
        <w:contextualSpacing/>
        <w:jc w:val="both"/>
        <w:rPr>
          <w:rFonts w:ascii="Times New Roman" w:hAnsi="Times New Roman" w:cs="Times New Roman"/>
        </w:rPr>
      </w:pPr>
    </w:p>
    <w:p w14:paraId="3D138E4B" w14:textId="77777777" w:rsidR="002527B6" w:rsidRPr="002527B6" w:rsidRDefault="002527B6" w:rsidP="002527B6">
      <w:pPr>
        <w:pStyle w:val="Heading2"/>
        <w:numPr>
          <w:ilvl w:val="0"/>
          <w:numId w:val="0"/>
        </w:numPr>
        <w:spacing w:line="240" w:lineRule="auto"/>
        <w:contextualSpacing/>
        <w:jc w:val="both"/>
        <w:rPr>
          <w:rFonts w:ascii="Times New Roman" w:hAnsi="Times New Roman" w:cs="Times New Roman"/>
          <w:b/>
          <w:bCs/>
        </w:rPr>
      </w:pPr>
      <w:r w:rsidRPr="002527B6">
        <w:rPr>
          <w:rFonts w:ascii="Times New Roman" w:hAnsi="Times New Roman" w:cs="Times New Roman"/>
          <w:b/>
          <w:bCs/>
        </w:rPr>
        <w:t>Child Support – Modification - Significant Assets, Voluntary Termination of Employment – Denied</w:t>
      </w:r>
    </w:p>
    <w:p w14:paraId="64100868" w14:textId="77777777" w:rsidR="002527B6" w:rsidRDefault="002527B6" w:rsidP="002527B6">
      <w:pPr>
        <w:pStyle w:val="Heading2"/>
        <w:numPr>
          <w:ilvl w:val="0"/>
          <w:numId w:val="0"/>
        </w:numPr>
        <w:spacing w:line="240" w:lineRule="auto"/>
        <w:contextualSpacing/>
        <w:jc w:val="both"/>
        <w:rPr>
          <w:rFonts w:ascii="Times New Roman" w:hAnsi="Times New Roman" w:cs="Times New Roman"/>
        </w:rPr>
      </w:pPr>
    </w:p>
    <w:p w14:paraId="5E6139B1" w14:textId="561F7C09" w:rsidR="002527B6" w:rsidRDefault="002527B6" w:rsidP="002527B6">
      <w:pPr>
        <w:pStyle w:val="Heading2"/>
        <w:numPr>
          <w:ilvl w:val="0"/>
          <w:numId w:val="0"/>
        </w:numPr>
        <w:spacing w:line="240" w:lineRule="auto"/>
        <w:contextualSpacing/>
        <w:jc w:val="both"/>
        <w:rPr>
          <w:rFonts w:ascii="Times New Roman" w:hAnsi="Times New Roman" w:cs="Times New Roman"/>
        </w:rPr>
      </w:pPr>
      <w:r>
        <w:rPr>
          <w:rFonts w:ascii="Times New Roman" w:hAnsi="Times New Roman" w:cs="Times New Roman"/>
        </w:rPr>
        <w:tab/>
        <w:t xml:space="preserve">In </w:t>
      </w:r>
      <w:r w:rsidRPr="002527B6">
        <w:rPr>
          <w:rFonts w:ascii="Times New Roman" w:hAnsi="Times New Roman" w:cs="Times New Roman"/>
          <w:b/>
          <w:bCs/>
          <w:i/>
          <w:iCs/>
        </w:rPr>
        <w:t>Matter of Meier v. Chevalier</w:t>
      </w:r>
      <w:r>
        <w:rPr>
          <w:rFonts w:ascii="Times New Roman" w:hAnsi="Times New Roman" w:cs="Times New Roman"/>
        </w:rPr>
        <w:t xml:space="preserve">, 2026 Westlaw 758912 (2d Dept. Mar. 18, 2026), the father appealed from a March 2025 Family Court order, denying his objections to a February 2025 Support Magistrate order which, following a hearing, dismissed his May 2024 petition to modify his obligation to pay the mother $2,270 monthly pursuant to a March 2024 judgment of divorce, in which petition he alleged an April 2024 termination of employment and a more than 20% decrease in income. The Second Department affirmed, holding that the father failed to meet his burden of proof on the issue of substantial change in circumstances, noting: the father’s testimony “that after 12 years in an advertising and sales role at a prominent technology company, he chose to work without pay at his family’s restaurant business instead of attempting to secure employment </w:t>
      </w:r>
      <w:r>
        <w:rPr>
          <w:rFonts w:ascii="Times New Roman" w:hAnsi="Times New Roman" w:cs="Times New Roman"/>
        </w:rPr>
        <w:lastRenderedPageBreak/>
        <w:t>commensurate with his education, abilities and experience”; and “the father’s testimony demonstrated that he continued to own considerable real estate assets.”</w:t>
      </w:r>
    </w:p>
    <w:p w14:paraId="65FF06EF" w14:textId="77777777" w:rsidR="00617452" w:rsidRDefault="00617452" w:rsidP="00617452">
      <w:pPr>
        <w:pStyle w:val="Heading2"/>
        <w:numPr>
          <w:ilvl w:val="0"/>
          <w:numId w:val="0"/>
        </w:numPr>
        <w:spacing w:line="240" w:lineRule="auto"/>
        <w:contextualSpacing/>
        <w:jc w:val="both"/>
        <w:rPr>
          <w:rFonts w:ascii="Times New Roman" w:hAnsi="Times New Roman" w:cs="Times New Roman"/>
        </w:rPr>
      </w:pPr>
    </w:p>
    <w:p w14:paraId="4106E0C2" w14:textId="7CFEC5A8" w:rsidR="002527B6" w:rsidRDefault="002527B6" w:rsidP="00617452">
      <w:pPr>
        <w:pStyle w:val="Heading2"/>
        <w:numPr>
          <w:ilvl w:val="0"/>
          <w:numId w:val="0"/>
        </w:numPr>
        <w:spacing w:line="240" w:lineRule="auto"/>
        <w:contextualSpacing/>
        <w:jc w:val="both"/>
        <w:rPr>
          <w:rFonts w:ascii="Times New Roman" w:hAnsi="Times New Roman" w:cs="Times New Roman"/>
          <w:b/>
          <w:bCs/>
        </w:rPr>
      </w:pPr>
      <w:r>
        <w:rPr>
          <w:rFonts w:ascii="Times New Roman" w:hAnsi="Times New Roman" w:cs="Times New Roman"/>
          <w:b/>
          <w:bCs/>
        </w:rPr>
        <w:t>Counsel Fees – Enforcement – Add-Ons – Granted Without Hearing; Enforcement – Contempt Granted Without Hearing</w:t>
      </w:r>
    </w:p>
    <w:p w14:paraId="587ADCC9" w14:textId="77777777" w:rsidR="002527B6" w:rsidRDefault="002527B6" w:rsidP="00617452">
      <w:pPr>
        <w:pStyle w:val="Heading2"/>
        <w:numPr>
          <w:ilvl w:val="0"/>
          <w:numId w:val="0"/>
        </w:numPr>
        <w:spacing w:line="240" w:lineRule="auto"/>
        <w:contextualSpacing/>
        <w:jc w:val="both"/>
        <w:rPr>
          <w:rFonts w:ascii="Times New Roman" w:hAnsi="Times New Roman" w:cs="Times New Roman"/>
          <w:b/>
          <w:bCs/>
        </w:rPr>
      </w:pPr>
    </w:p>
    <w:p w14:paraId="2C8DB14F" w14:textId="514E0040" w:rsidR="002527B6" w:rsidRDefault="002527B6" w:rsidP="00617452">
      <w:pPr>
        <w:pStyle w:val="Heading2"/>
        <w:numPr>
          <w:ilvl w:val="0"/>
          <w:numId w:val="0"/>
        </w:numPr>
        <w:spacing w:line="240" w:lineRule="auto"/>
        <w:contextualSpacing/>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rPr>
        <w:t xml:space="preserve">In </w:t>
      </w:r>
      <w:r w:rsidRPr="002527B6">
        <w:rPr>
          <w:rFonts w:ascii="Times New Roman" w:hAnsi="Times New Roman" w:cs="Times New Roman"/>
          <w:b/>
          <w:bCs/>
          <w:i/>
          <w:iCs/>
        </w:rPr>
        <w:t xml:space="preserve">Goldsmith v. </w:t>
      </w:r>
      <w:proofErr w:type="spellStart"/>
      <w:r w:rsidRPr="002527B6">
        <w:rPr>
          <w:rFonts w:ascii="Times New Roman" w:hAnsi="Times New Roman" w:cs="Times New Roman"/>
          <w:b/>
          <w:bCs/>
          <w:i/>
          <w:iCs/>
        </w:rPr>
        <w:t>Cavuoti</w:t>
      </w:r>
      <w:proofErr w:type="spellEnd"/>
      <w:r>
        <w:rPr>
          <w:rFonts w:ascii="Times New Roman" w:hAnsi="Times New Roman" w:cs="Times New Roman"/>
        </w:rPr>
        <w:t xml:space="preserve">, 2026 Westlaw 758869 (2d Dept. Mar. 18, 2026), the parties were divorced by a March 2023 judgment, which incorporated a stipulation requiring the father to pay child support and 60% of agreed upon add-on expenses, including summer camps. The father appealed from a September 2024 Supreme Court order, which, without </w:t>
      </w:r>
      <w:proofErr w:type="gramStart"/>
      <w:r>
        <w:rPr>
          <w:rFonts w:ascii="Times New Roman" w:hAnsi="Times New Roman" w:cs="Times New Roman"/>
        </w:rPr>
        <w:t>a hearing</w:t>
      </w:r>
      <w:proofErr w:type="gramEnd"/>
      <w:r>
        <w:rPr>
          <w:rFonts w:ascii="Times New Roman" w:hAnsi="Times New Roman" w:cs="Times New Roman"/>
        </w:rPr>
        <w:t>, granted the mother’s motion to hold him in contempt of the add-on provision of the judgment and awarded her $6,000 in counsel fees. The Second Department affirmed, holding that Supreme properly held the father in contempt without a hearing, given that his “papers submitted in opposition failed to raise a factual dispute warranting a hearing.” The Appellate Division concluded that the counsel fee award was proper, noting that the father “failed to either request a hearing or challenge the amount demanded” and again observing that the father “did not raise an issue of fact that would warrant a hearing.”</w:t>
      </w:r>
    </w:p>
    <w:p w14:paraId="0E29E193" w14:textId="77777777" w:rsidR="002527B6" w:rsidRDefault="002527B6" w:rsidP="00617452">
      <w:pPr>
        <w:pStyle w:val="Heading2"/>
        <w:numPr>
          <w:ilvl w:val="0"/>
          <w:numId w:val="0"/>
        </w:numPr>
        <w:spacing w:line="240" w:lineRule="auto"/>
        <w:contextualSpacing/>
        <w:jc w:val="both"/>
        <w:rPr>
          <w:rFonts w:ascii="Times New Roman" w:hAnsi="Times New Roman" w:cs="Times New Roman"/>
          <w:b/>
          <w:bCs/>
        </w:rPr>
      </w:pPr>
    </w:p>
    <w:p w14:paraId="45FBF7F7" w14:textId="1B9A6BE5" w:rsidR="00617452" w:rsidRDefault="00617452" w:rsidP="00617452">
      <w:pPr>
        <w:pStyle w:val="Heading2"/>
        <w:numPr>
          <w:ilvl w:val="0"/>
          <w:numId w:val="0"/>
        </w:numPr>
        <w:spacing w:line="240" w:lineRule="auto"/>
        <w:contextualSpacing/>
        <w:jc w:val="both"/>
        <w:rPr>
          <w:rFonts w:ascii="Times New Roman" w:hAnsi="Times New Roman" w:cs="Times New Roman"/>
          <w:b/>
          <w:bCs/>
        </w:rPr>
      </w:pPr>
      <w:r w:rsidRPr="00617452">
        <w:rPr>
          <w:rFonts w:ascii="Times New Roman" w:hAnsi="Times New Roman" w:cs="Times New Roman"/>
          <w:b/>
          <w:bCs/>
        </w:rPr>
        <w:t>Counsel Fees – Enforcement – Agreement Terms; Enforcement – Agreement – Educational Expenses</w:t>
      </w:r>
    </w:p>
    <w:p w14:paraId="6E4D71FD" w14:textId="77777777" w:rsidR="00617452" w:rsidRPr="00617452" w:rsidRDefault="00617452" w:rsidP="00617452">
      <w:pPr>
        <w:pStyle w:val="Heading2"/>
        <w:numPr>
          <w:ilvl w:val="0"/>
          <w:numId w:val="0"/>
        </w:numPr>
        <w:spacing w:line="240" w:lineRule="auto"/>
        <w:contextualSpacing/>
        <w:jc w:val="both"/>
        <w:rPr>
          <w:rFonts w:ascii="Times New Roman" w:hAnsi="Times New Roman" w:cs="Times New Roman"/>
          <w:b/>
          <w:bCs/>
        </w:rPr>
      </w:pPr>
    </w:p>
    <w:p w14:paraId="71F87457" w14:textId="6E64920C" w:rsidR="00617452" w:rsidRPr="00617452" w:rsidRDefault="00617452" w:rsidP="00617452">
      <w:pPr>
        <w:pStyle w:val="Heading2"/>
        <w:numPr>
          <w:ilvl w:val="0"/>
          <w:numId w:val="0"/>
        </w:numPr>
        <w:spacing w:line="240" w:lineRule="auto"/>
        <w:contextualSpacing/>
        <w:jc w:val="both"/>
        <w:rPr>
          <w:rFonts w:ascii="Times New Roman" w:hAnsi="Times New Roman" w:cs="Times New Roman"/>
          <w:b/>
          <w:bCs/>
        </w:rPr>
      </w:pPr>
      <w:r>
        <w:rPr>
          <w:rFonts w:ascii="Times New Roman" w:hAnsi="Times New Roman" w:cs="Times New Roman"/>
        </w:rPr>
        <w:tab/>
        <w:t xml:space="preserve">In </w:t>
      </w:r>
      <w:r w:rsidRPr="005664BA">
        <w:rPr>
          <w:rFonts w:ascii="Times New Roman" w:hAnsi="Times New Roman" w:cs="Times New Roman"/>
          <w:b/>
          <w:bCs/>
          <w:i/>
          <w:iCs/>
        </w:rPr>
        <w:t>Anonymous v. Anonymous</w:t>
      </w:r>
      <w:r>
        <w:rPr>
          <w:rFonts w:ascii="Times New Roman" w:hAnsi="Times New Roman" w:cs="Times New Roman"/>
        </w:rPr>
        <w:t>, 2026 Westlaw 691838 (1</w:t>
      </w:r>
      <w:r w:rsidRPr="006F52CB">
        <w:rPr>
          <w:rFonts w:ascii="Times New Roman" w:hAnsi="Times New Roman" w:cs="Times New Roman"/>
          <w:vertAlign w:val="superscript"/>
        </w:rPr>
        <w:t>st</w:t>
      </w:r>
      <w:r>
        <w:rPr>
          <w:rFonts w:ascii="Times New Roman" w:hAnsi="Times New Roman" w:cs="Times New Roman"/>
        </w:rPr>
        <w:t xml:space="preserve"> Dept. Mar. 12, 2026), the father appealed from: (1) a June 2023 Supreme Court order, which directed him to pay the entirety of the children’s educational expenses and awarded the mother $40,000 in counsel fees; and (2) an April 2025 Supreme Court Order which found him in contempt for failure to comply with the June 2023 order and awarded the mother expenses and counsel fees. The First Department affirmed, holding that Supreme Court’s June 2023 order “correctly enforced the parties’ settlement agreement,” rejecting the father’s “challenge to his obligation to pay 100% of the children’s tuition at their current school,” and noting that the mother “is entitled to reimbursement of all tuition expenses she paid, regardless of whether they were incurred before or after execution of the settlement agreement.” The Appellate Division observed that the father’s “arguments concerning the school’s accreditation and [the mother’s] involvement with the school are unavailing” while noting: “Courts may not rewrite unambiguous contracts to add conditions the parties themselves did not include (citation omitted).” The First Department determined that Supreme Court properly found the father to be in contempt of the June 2023 Order in that he “was required to pay 100% of the tuition,” and was not required because the father failed “to raise a factual dispute as to the elements of civil contempt, or the existence of a defense.” The Court concluded that the counsel fees awards made by </w:t>
      </w:r>
      <w:proofErr w:type="gramStart"/>
      <w:r>
        <w:rPr>
          <w:rFonts w:ascii="Times New Roman" w:hAnsi="Times New Roman" w:cs="Times New Roman"/>
        </w:rPr>
        <w:t>the June</w:t>
      </w:r>
      <w:proofErr w:type="gramEnd"/>
      <w:r>
        <w:rPr>
          <w:rFonts w:ascii="Times New Roman" w:hAnsi="Times New Roman" w:cs="Times New Roman"/>
        </w:rPr>
        <w:t xml:space="preserve"> 2023 and April 2025 orders were proper, based upon the terms of the agreement, which stated that the nonperforming party’s failure to cure a default within 15 days after service of a notice thereof would trigger remedies including counsel fees.</w:t>
      </w:r>
    </w:p>
    <w:p w14:paraId="02E4F3B1" w14:textId="77777777" w:rsidR="00617452" w:rsidRDefault="00617452" w:rsidP="00445087">
      <w:pPr>
        <w:pStyle w:val="Heading2"/>
        <w:numPr>
          <w:ilvl w:val="0"/>
          <w:numId w:val="0"/>
        </w:numPr>
        <w:spacing w:line="240" w:lineRule="auto"/>
        <w:contextualSpacing/>
        <w:jc w:val="both"/>
        <w:rPr>
          <w:rFonts w:ascii="Times New Roman" w:hAnsi="Times New Roman" w:cs="Times New Roman"/>
          <w:b/>
          <w:bCs/>
        </w:rPr>
      </w:pPr>
    </w:p>
    <w:p w14:paraId="242E46C6" w14:textId="27304C1E" w:rsidR="00AC3598" w:rsidRDefault="00AC3598" w:rsidP="00445087">
      <w:pPr>
        <w:pStyle w:val="Heading2"/>
        <w:numPr>
          <w:ilvl w:val="0"/>
          <w:numId w:val="0"/>
        </w:numPr>
        <w:spacing w:line="240" w:lineRule="auto"/>
        <w:contextualSpacing/>
        <w:jc w:val="both"/>
        <w:rPr>
          <w:rFonts w:ascii="Times New Roman" w:hAnsi="Times New Roman" w:cs="Times New Roman"/>
          <w:b/>
          <w:bCs/>
        </w:rPr>
      </w:pPr>
      <w:r w:rsidRPr="005A1C85">
        <w:rPr>
          <w:rFonts w:ascii="Times New Roman" w:hAnsi="Times New Roman" w:cs="Times New Roman"/>
          <w:b/>
          <w:bCs/>
        </w:rPr>
        <w:t>Custody – Modification - Child’s Wishes (15</w:t>
      </w:r>
      <w:r w:rsidR="005A1C85" w:rsidRPr="005A1C85">
        <w:rPr>
          <w:rFonts w:ascii="Times New Roman" w:hAnsi="Times New Roman" w:cs="Times New Roman"/>
          <w:b/>
          <w:bCs/>
        </w:rPr>
        <w:t xml:space="preserve"> </w:t>
      </w:r>
      <w:r w:rsidRPr="005A1C85">
        <w:rPr>
          <w:rFonts w:ascii="Times New Roman" w:hAnsi="Times New Roman" w:cs="Times New Roman"/>
          <w:b/>
          <w:bCs/>
        </w:rPr>
        <w:t>y</w:t>
      </w:r>
      <w:r w:rsidR="005A1C85" w:rsidRPr="005A1C85">
        <w:rPr>
          <w:rFonts w:ascii="Times New Roman" w:hAnsi="Times New Roman" w:cs="Times New Roman"/>
          <w:b/>
          <w:bCs/>
        </w:rPr>
        <w:t>/</w:t>
      </w:r>
      <w:r w:rsidRPr="005A1C85">
        <w:rPr>
          <w:rFonts w:ascii="Times New Roman" w:hAnsi="Times New Roman" w:cs="Times New Roman"/>
          <w:b/>
          <w:bCs/>
        </w:rPr>
        <w:t>o)</w:t>
      </w:r>
    </w:p>
    <w:p w14:paraId="6737923E" w14:textId="77777777" w:rsidR="005A1C85" w:rsidRDefault="005A1C85" w:rsidP="00445087">
      <w:pPr>
        <w:pStyle w:val="Heading2"/>
        <w:numPr>
          <w:ilvl w:val="0"/>
          <w:numId w:val="0"/>
        </w:numPr>
        <w:spacing w:line="240" w:lineRule="auto"/>
        <w:contextualSpacing/>
        <w:jc w:val="both"/>
        <w:rPr>
          <w:rFonts w:ascii="Times New Roman" w:hAnsi="Times New Roman" w:cs="Times New Roman"/>
          <w:b/>
          <w:bCs/>
        </w:rPr>
      </w:pPr>
    </w:p>
    <w:p w14:paraId="4C3B1A83" w14:textId="6B54C3A6" w:rsidR="005A1C85" w:rsidRDefault="005A1C85" w:rsidP="00445087">
      <w:pPr>
        <w:pStyle w:val="Heading2"/>
        <w:numPr>
          <w:ilvl w:val="0"/>
          <w:numId w:val="0"/>
        </w:numPr>
        <w:spacing w:line="240" w:lineRule="auto"/>
        <w:contextualSpacing/>
        <w:jc w:val="both"/>
        <w:rPr>
          <w:rFonts w:ascii="Times New Roman" w:hAnsi="Times New Roman" w:cs="Times New Roman"/>
        </w:rPr>
      </w:pPr>
      <w:r>
        <w:rPr>
          <w:rFonts w:ascii="Times New Roman" w:hAnsi="Times New Roman" w:cs="Times New Roman"/>
        </w:rPr>
        <w:tab/>
        <w:t xml:space="preserve">In </w:t>
      </w:r>
      <w:r w:rsidRPr="005A1C85">
        <w:rPr>
          <w:rFonts w:ascii="Times New Roman" w:hAnsi="Times New Roman" w:cs="Times New Roman"/>
          <w:b/>
          <w:bCs/>
          <w:i/>
          <w:iCs/>
        </w:rPr>
        <w:t>Matter of Drivas v. Gaetano</w:t>
      </w:r>
      <w:r>
        <w:rPr>
          <w:rFonts w:ascii="Times New Roman" w:hAnsi="Times New Roman" w:cs="Times New Roman"/>
        </w:rPr>
        <w:t>, 2026 Westlaw</w:t>
      </w:r>
      <w:r w:rsidR="00724D2F">
        <w:rPr>
          <w:rFonts w:ascii="Times New Roman" w:hAnsi="Times New Roman" w:cs="Times New Roman"/>
        </w:rPr>
        <w:t xml:space="preserve"> 602469</w:t>
      </w:r>
      <w:r>
        <w:rPr>
          <w:rFonts w:ascii="Times New Roman" w:hAnsi="Times New Roman" w:cs="Times New Roman"/>
        </w:rPr>
        <w:t xml:space="preserve"> (2d Dept. Mar. 4, 2026), the parties were divorced in 2013 and had two children. The mother appealed from a November 2024 Family Court order which, after a hearing, granted the father’s January 2024 petition seeking to modify a </w:t>
      </w:r>
      <w:r>
        <w:rPr>
          <w:rFonts w:ascii="Times New Roman" w:hAnsi="Times New Roman" w:cs="Times New Roman"/>
        </w:rPr>
        <w:lastRenderedPageBreak/>
        <w:t>January 2020 custody order (joint legal, primary to mother, mother permitted to relocate to FL) to the extent of awarding him residential custody of the children. The Second Department dismissed the mother’s appeal pertaining to the older child as academic, since that child reached age 18 during the pendency of the appeal, and affirmed Family Court’s award as to the younger child. The Appellate Division held that the father demonstrated the requisite change in circumstances to warrant modification, and that Family Court’s determination “ensure[d] the best interests of the younger child [and] has a sound and substantial basis in the record.” The Court noted “the clearly stated preference of the younger child, who was 15 years old at the time of the hearing and who communicated a clear desire that his father have residential custody of him” and “the younger child’s relationship with the mother as compared to *** [his] relationship with the father.”</w:t>
      </w:r>
    </w:p>
    <w:p w14:paraId="679F77FB" w14:textId="77777777" w:rsidR="002527B6" w:rsidRDefault="002527B6" w:rsidP="00445087">
      <w:pPr>
        <w:pStyle w:val="Heading2"/>
        <w:numPr>
          <w:ilvl w:val="0"/>
          <w:numId w:val="0"/>
        </w:numPr>
        <w:spacing w:line="240" w:lineRule="auto"/>
        <w:contextualSpacing/>
        <w:jc w:val="both"/>
        <w:rPr>
          <w:rFonts w:ascii="Times New Roman" w:hAnsi="Times New Roman" w:cs="Times New Roman"/>
        </w:rPr>
      </w:pPr>
    </w:p>
    <w:p w14:paraId="598C9E37" w14:textId="750D4ACC" w:rsidR="00164362" w:rsidRDefault="00164362" w:rsidP="00445087">
      <w:pPr>
        <w:pStyle w:val="Heading2"/>
        <w:numPr>
          <w:ilvl w:val="0"/>
          <w:numId w:val="0"/>
        </w:numPr>
        <w:spacing w:line="240" w:lineRule="auto"/>
        <w:contextualSpacing/>
        <w:jc w:val="both"/>
        <w:rPr>
          <w:rFonts w:ascii="Times New Roman" w:hAnsi="Times New Roman" w:cs="Times New Roman"/>
          <w:b/>
          <w:bCs/>
        </w:rPr>
      </w:pPr>
      <w:r w:rsidRPr="002527B6">
        <w:rPr>
          <w:rFonts w:ascii="Times New Roman" w:hAnsi="Times New Roman" w:cs="Times New Roman"/>
          <w:b/>
          <w:bCs/>
        </w:rPr>
        <w:t>Custody – Modification – Relocation (</w:t>
      </w:r>
      <w:r>
        <w:rPr>
          <w:rFonts w:ascii="Times New Roman" w:hAnsi="Times New Roman" w:cs="Times New Roman"/>
          <w:b/>
          <w:bCs/>
        </w:rPr>
        <w:t>Madagascar</w:t>
      </w:r>
      <w:r w:rsidRPr="002527B6">
        <w:rPr>
          <w:rFonts w:ascii="Times New Roman" w:hAnsi="Times New Roman" w:cs="Times New Roman"/>
          <w:b/>
          <w:bCs/>
        </w:rPr>
        <w:t xml:space="preserve">) </w:t>
      </w:r>
      <w:r>
        <w:rPr>
          <w:rFonts w:ascii="Times New Roman" w:hAnsi="Times New Roman" w:cs="Times New Roman"/>
          <w:b/>
          <w:bCs/>
        </w:rPr>
        <w:t>–</w:t>
      </w:r>
      <w:r w:rsidRPr="002527B6">
        <w:rPr>
          <w:rFonts w:ascii="Times New Roman" w:hAnsi="Times New Roman" w:cs="Times New Roman"/>
          <w:b/>
          <w:bCs/>
        </w:rPr>
        <w:t xml:space="preserve"> </w:t>
      </w:r>
      <w:proofErr w:type="gramStart"/>
      <w:r w:rsidRPr="002527B6">
        <w:rPr>
          <w:rFonts w:ascii="Times New Roman" w:hAnsi="Times New Roman" w:cs="Times New Roman"/>
          <w:b/>
          <w:bCs/>
        </w:rPr>
        <w:t>Granted</w:t>
      </w:r>
      <w:r>
        <w:rPr>
          <w:rFonts w:ascii="Times New Roman" w:hAnsi="Times New Roman" w:cs="Times New Roman"/>
          <w:b/>
          <w:bCs/>
        </w:rPr>
        <w:t>;</w:t>
      </w:r>
      <w:proofErr w:type="gramEnd"/>
      <w:r>
        <w:rPr>
          <w:rFonts w:ascii="Times New Roman" w:hAnsi="Times New Roman" w:cs="Times New Roman"/>
          <w:b/>
          <w:bCs/>
        </w:rPr>
        <w:t xml:space="preserve"> Supervised Visitation</w:t>
      </w:r>
    </w:p>
    <w:p w14:paraId="3BB3B247" w14:textId="77777777" w:rsidR="00164362" w:rsidRDefault="00164362" w:rsidP="00445087">
      <w:pPr>
        <w:pStyle w:val="Heading2"/>
        <w:numPr>
          <w:ilvl w:val="0"/>
          <w:numId w:val="0"/>
        </w:numPr>
        <w:spacing w:line="240" w:lineRule="auto"/>
        <w:contextualSpacing/>
        <w:jc w:val="both"/>
        <w:rPr>
          <w:rFonts w:ascii="Times New Roman" w:hAnsi="Times New Roman" w:cs="Times New Roman"/>
          <w:b/>
          <w:bCs/>
        </w:rPr>
      </w:pPr>
    </w:p>
    <w:p w14:paraId="49B90CA2" w14:textId="122084AE" w:rsidR="00164362" w:rsidRDefault="00164362" w:rsidP="00445087">
      <w:pPr>
        <w:pStyle w:val="Heading2"/>
        <w:numPr>
          <w:ilvl w:val="0"/>
          <w:numId w:val="0"/>
        </w:numPr>
        <w:spacing w:line="240" w:lineRule="auto"/>
        <w:contextualSpacing/>
        <w:jc w:val="both"/>
        <w:rPr>
          <w:rFonts w:ascii="Times New Roman" w:hAnsi="Times New Roman" w:cs="Times New Roman"/>
          <w:b/>
          <w:bCs/>
        </w:rPr>
      </w:pPr>
      <w:r>
        <w:rPr>
          <w:rFonts w:ascii="Times New Roman" w:hAnsi="Times New Roman" w:cs="Times New Roman"/>
        </w:rPr>
        <w:tab/>
        <w:t xml:space="preserve">In </w:t>
      </w:r>
      <w:r w:rsidRPr="00686C98">
        <w:rPr>
          <w:rFonts w:ascii="Times New Roman" w:hAnsi="Times New Roman" w:cs="Times New Roman"/>
          <w:b/>
          <w:bCs/>
          <w:i/>
          <w:iCs/>
        </w:rPr>
        <w:t>Matter of Marie D. v. Frantz T</w:t>
      </w:r>
      <w:r>
        <w:rPr>
          <w:rFonts w:ascii="Times New Roman" w:hAnsi="Times New Roman" w:cs="Times New Roman"/>
        </w:rPr>
        <w:t>., 2026 Westlaw</w:t>
      </w:r>
      <w:r w:rsidR="00E334DD">
        <w:rPr>
          <w:rFonts w:ascii="Times New Roman" w:hAnsi="Times New Roman" w:cs="Times New Roman"/>
        </w:rPr>
        <w:t xml:space="preserve"> 847234</w:t>
      </w:r>
      <w:r>
        <w:rPr>
          <w:rFonts w:ascii="Times New Roman" w:hAnsi="Times New Roman" w:cs="Times New Roman"/>
        </w:rPr>
        <w:t xml:space="preserve"> (1</w:t>
      </w:r>
      <w:r w:rsidRPr="00D02B34">
        <w:rPr>
          <w:rFonts w:ascii="Times New Roman" w:hAnsi="Times New Roman" w:cs="Times New Roman"/>
          <w:vertAlign w:val="superscript"/>
        </w:rPr>
        <w:t>st</w:t>
      </w:r>
      <w:r>
        <w:rPr>
          <w:rFonts w:ascii="Times New Roman" w:hAnsi="Times New Roman" w:cs="Times New Roman"/>
        </w:rPr>
        <w:t xml:space="preserve"> Dept. Mar. 26, 2026), the father appealed from a January 2026 Family Court order which, after a hearing, granted the mother’s petition to modify a 2018 Order (supervised or therapeutic visitation to father) to permit her to relocate with the parties’ children to Madagascar, and to limit the father’s visitation to supervised or therapeutic visits. The First Department affirmed, noting the mother’s testimony that: “her relocation to Madagascar was a requirement of her employment with the United Nations”; and “the father had stopped paying child support in *** December 2021, was not contributing to the children’s education, and that she was entirely supporting the children.” The Appellate Division noted that the father “has not sought to visit the children since November 2021 *** and has refused to participate in visitation *** because the court required it to be supervised or therapeutic” and  “the mother’s move to Madagascar would not weaken the father’s relationship with the children, as it is already strained (citations omitted).”</w:t>
      </w:r>
      <w:r w:rsidR="00920A8F">
        <w:rPr>
          <w:rFonts w:ascii="Times New Roman" w:hAnsi="Times New Roman" w:cs="Times New Roman"/>
        </w:rPr>
        <w:t xml:space="preserve"> </w:t>
      </w:r>
      <w:r>
        <w:rPr>
          <w:rFonts w:ascii="Times New Roman" w:hAnsi="Times New Roman" w:cs="Times New Roman"/>
        </w:rPr>
        <w:t xml:space="preserve">The Court concluded that supervised or therapeutic visitation was in the children’s best interests, citing its prior holding that “the father committed the family offense of menacing in the third degree as against the children,” </w:t>
      </w:r>
      <w:r w:rsidRPr="002B7979">
        <w:rPr>
          <w:rFonts w:ascii="Times New Roman" w:hAnsi="Times New Roman" w:cs="Times New Roman"/>
          <w:u w:val="single"/>
        </w:rPr>
        <w:t>Matter of M.D. v. F.T.</w:t>
      </w:r>
      <w:r>
        <w:rPr>
          <w:rFonts w:ascii="Times New Roman" w:hAnsi="Times New Roman" w:cs="Times New Roman"/>
        </w:rPr>
        <w:t>, 236 AD3d 429 (1</w:t>
      </w:r>
      <w:r w:rsidRPr="002B7979">
        <w:rPr>
          <w:rFonts w:ascii="Times New Roman" w:hAnsi="Times New Roman" w:cs="Times New Roman"/>
          <w:vertAlign w:val="superscript"/>
        </w:rPr>
        <w:t>st</w:t>
      </w:r>
      <w:r>
        <w:rPr>
          <w:rFonts w:ascii="Times New Roman" w:hAnsi="Times New Roman" w:cs="Times New Roman"/>
        </w:rPr>
        <w:t xml:space="preserve"> Dept. 2025).</w:t>
      </w:r>
    </w:p>
    <w:p w14:paraId="155EF230" w14:textId="77777777" w:rsidR="00164362" w:rsidRDefault="00164362" w:rsidP="00445087">
      <w:pPr>
        <w:pStyle w:val="Heading2"/>
        <w:numPr>
          <w:ilvl w:val="0"/>
          <w:numId w:val="0"/>
        </w:numPr>
        <w:spacing w:line="240" w:lineRule="auto"/>
        <w:contextualSpacing/>
        <w:jc w:val="both"/>
        <w:rPr>
          <w:rFonts w:ascii="Times New Roman" w:hAnsi="Times New Roman" w:cs="Times New Roman"/>
          <w:b/>
          <w:bCs/>
        </w:rPr>
      </w:pPr>
    </w:p>
    <w:p w14:paraId="5DA2F93E" w14:textId="029E7E46" w:rsidR="002527B6" w:rsidRDefault="002527B6" w:rsidP="00445087">
      <w:pPr>
        <w:pStyle w:val="Heading2"/>
        <w:numPr>
          <w:ilvl w:val="0"/>
          <w:numId w:val="0"/>
        </w:numPr>
        <w:spacing w:line="240" w:lineRule="auto"/>
        <w:contextualSpacing/>
        <w:jc w:val="both"/>
        <w:rPr>
          <w:rFonts w:ascii="Times New Roman" w:hAnsi="Times New Roman" w:cs="Times New Roman"/>
          <w:b/>
          <w:bCs/>
        </w:rPr>
      </w:pPr>
      <w:r w:rsidRPr="002527B6">
        <w:rPr>
          <w:rFonts w:ascii="Times New Roman" w:hAnsi="Times New Roman" w:cs="Times New Roman"/>
          <w:b/>
          <w:bCs/>
        </w:rPr>
        <w:t xml:space="preserve">Custody – Modification – Relocation (TX) </w:t>
      </w:r>
      <w:r w:rsidR="00070E30">
        <w:rPr>
          <w:rFonts w:ascii="Times New Roman" w:hAnsi="Times New Roman" w:cs="Times New Roman"/>
          <w:b/>
          <w:bCs/>
        </w:rPr>
        <w:t>–</w:t>
      </w:r>
      <w:r w:rsidRPr="002527B6">
        <w:rPr>
          <w:rFonts w:ascii="Times New Roman" w:hAnsi="Times New Roman" w:cs="Times New Roman"/>
          <w:b/>
          <w:bCs/>
        </w:rPr>
        <w:t xml:space="preserve"> Granted</w:t>
      </w:r>
    </w:p>
    <w:p w14:paraId="1DDA7310" w14:textId="77777777" w:rsidR="00070E30" w:rsidRDefault="00070E30" w:rsidP="00445087">
      <w:pPr>
        <w:pStyle w:val="Heading2"/>
        <w:numPr>
          <w:ilvl w:val="0"/>
          <w:numId w:val="0"/>
        </w:numPr>
        <w:spacing w:line="240" w:lineRule="auto"/>
        <w:contextualSpacing/>
        <w:jc w:val="both"/>
        <w:rPr>
          <w:rFonts w:ascii="Times New Roman" w:hAnsi="Times New Roman" w:cs="Times New Roman"/>
          <w:b/>
          <w:bCs/>
        </w:rPr>
      </w:pPr>
    </w:p>
    <w:p w14:paraId="5BF46024" w14:textId="16B99F3B" w:rsidR="00070E30" w:rsidRDefault="00070E30" w:rsidP="00445087">
      <w:pPr>
        <w:pStyle w:val="Heading2"/>
        <w:numPr>
          <w:ilvl w:val="0"/>
          <w:numId w:val="0"/>
        </w:numPr>
        <w:spacing w:line="240" w:lineRule="auto"/>
        <w:contextualSpacing/>
        <w:jc w:val="both"/>
        <w:rPr>
          <w:rFonts w:ascii="Times New Roman" w:hAnsi="Times New Roman" w:cs="Times New Roman"/>
        </w:rPr>
      </w:pPr>
      <w:r>
        <w:rPr>
          <w:rFonts w:ascii="Times New Roman" w:hAnsi="Times New Roman" w:cs="Times New Roman"/>
        </w:rPr>
        <w:tab/>
        <w:t xml:space="preserve">In </w:t>
      </w:r>
      <w:r w:rsidRPr="00164362">
        <w:rPr>
          <w:rFonts w:ascii="Times New Roman" w:hAnsi="Times New Roman" w:cs="Times New Roman"/>
          <w:b/>
          <w:bCs/>
          <w:i/>
          <w:iCs/>
        </w:rPr>
        <w:t>Osuagwu v. Osuagwu</w:t>
      </w:r>
      <w:r>
        <w:rPr>
          <w:rFonts w:ascii="Times New Roman" w:hAnsi="Times New Roman" w:cs="Times New Roman"/>
        </w:rPr>
        <w:t>, 2026 Westlaw 758909 (2d Dept. Mar. 18, 2026), the parties have 2 children, and their February 2022 judgment of divorce awarded sole legal and physical custody to the mother, with weekly time to the father. The father appealed from a May 2024 Supreme Court order which, after a hearing, granted the mother’s 2023 motion to modify the judgment to permit her to relocate to Texas where her family lived. The Second Department affirmed, holding that the relocation “would serve the children’s best interests,” while noting that the evidence established that: the mother “was the children’s primary caregiver and was responsible for their educational and extracurricular activities”; and “moving to Texas would enable her to have family support, *** appropriate living space, and to be in a better financial position to help support the children.”</w:t>
      </w:r>
    </w:p>
    <w:p w14:paraId="51F6FDC5" w14:textId="77777777" w:rsidR="00A37F0F" w:rsidRDefault="00A37F0F" w:rsidP="00445087">
      <w:pPr>
        <w:pStyle w:val="Heading2"/>
        <w:numPr>
          <w:ilvl w:val="0"/>
          <w:numId w:val="0"/>
        </w:numPr>
        <w:spacing w:line="240" w:lineRule="auto"/>
        <w:contextualSpacing/>
        <w:jc w:val="both"/>
        <w:rPr>
          <w:rFonts w:ascii="Times New Roman" w:hAnsi="Times New Roman" w:cs="Times New Roman"/>
        </w:rPr>
      </w:pPr>
    </w:p>
    <w:p w14:paraId="1FF6CA71" w14:textId="1B7F9978" w:rsidR="00A37F0F" w:rsidRDefault="00A37F0F" w:rsidP="00A37F0F">
      <w:pPr>
        <w:pStyle w:val="Heading2"/>
        <w:numPr>
          <w:ilvl w:val="0"/>
          <w:numId w:val="0"/>
        </w:numPr>
        <w:spacing w:line="240" w:lineRule="auto"/>
        <w:contextualSpacing/>
        <w:jc w:val="both"/>
        <w:rPr>
          <w:rFonts w:ascii="Times New Roman" w:hAnsi="Times New Roman" w:cs="Times New Roman"/>
          <w:b/>
          <w:bCs/>
        </w:rPr>
      </w:pPr>
      <w:r w:rsidRPr="00A37F0F">
        <w:rPr>
          <w:rFonts w:ascii="Times New Roman" w:hAnsi="Times New Roman" w:cs="Times New Roman"/>
          <w:b/>
          <w:bCs/>
        </w:rPr>
        <w:t>Custody - Modification – Sole – Alienation, Corporal Punishment, Untreated Mental Health Issues, Wishes of Children (Teenagers)</w:t>
      </w:r>
    </w:p>
    <w:p w14:paraId="131973DE" w14:textId="77777777" w:rsidR="00A37F0F" w:rsidRPr="00A37F0F" w:rsidRDefault="00A37F0F" w:rsidP="00A37F0F">
      <w:pPr>
        <w:pStyle w:val="Heading2"/>
        <w:numPr>
          <w:ilvl w:val="0"/>
          <w:numId w:val="0"/>
        </w:numPr>
        <w:spacing w:line="240" w:lineRule="auto"/>
        <w:contextualSpacing/>
        <w:jc w:val="both"/>
        <w:rPr>
          <w:rFonts w:ascii="Times New Roman" w:hAnsi="Times New Roman" w:cs="Times New Roman"/>
          <w:b/>
          <w:bCs/>
        </w:rPr>
      </w:pPr>
    </w:p>
    <w:p w14:paraId="3B2545E2" w14:textId="3CB24A3B" w:rsidR="00A37F0F" w:rsidRDefault="00A37F0F" w:rsidP="00445087">
      <w:pPr>
        <w:pStyle w:val="Heading2"/>
        <w:numPr>
          <w:ilvl w:val="0"/>
          <w:numId w:val="0"/>
        </w:numPr>
        <w:spacing w:line="240" w:lineRule="auto"/>
        <w:contextualSpacing/>
        <w:jc w:val="both"/>
        <w:rPr>
          <w:rFonts w:ascii="Times New Roman" w:hAnsi="Times New Roman" w:cs="Times New Roman"/>
        </w:rPr>
      </w:pPr>
      <w:r>
        <w:rPr>
          <w:rFonts w:ascii="Times New Roman" w:hAnsi="Times New Roman" w:cs="Times New Roman"/>
        </w:rPr>
        <w:tab/>
        <w:t xml:space="preserve">In </w:t>
      </w:r>
      <w:r w:rsidRPr="00A37F0F">
        <w:rPr>
          <w:rFonts w:ascii="Times New Roman" w:hAnsi="Times New Roman" w:cs="Times New Roman"/>
          <w:b/>
          <w:bCs/>
          <w:i/>
          <w:iCs/>
        </w:rPr>
        <w:t>Matter of T.W. v. D.B.</w:t>
      </w:r>
      <w:r>
        <w:rPr>
          <w:rFonts w:ascii="Times New Roman" w:hAnsi="Times New Roman" w:cs="Times New Roman"/>
        </w:rPr>
        <w:t>, 2026 Westlaw</w:t>
      </w:r>
      <w:r w:rsidR="00E334DD">
        <w:rPr>
          <w:rFonts w:ascii="Times New Roman" w:hAnsi="Times New Roman" w:cs="Times New Roman"/>
        </w:rPr>
        <w:t xml:space="preserve"> 847569</w:t>
      </w:r>
      <w:r>
        <w:rPr>
          <w:rFonts w:ascii="Times New Roman" w:hAnsi="Times New Roman" w:cs="Times New Roman"/>
        </w:rPr>
        <w:t xml:space="preserve"> (1</w:t>
      </w:r>
      <w:r w:rsidRPr="005011D2">
        <w:rPr>
          <w:rFonts w:ascii="Times New Roman" w:hAnsi="Times New Roman" w:cs="Times New Roman"/>
          <w:vertAlign w:val="superscript"/>
        </w:rPr>
        <w:t>st</w:t>
      </w:r>
      <w:r>
        <w:rPr>
          <w:rFonts w:ascii="Times New Roman" w:hAnsi="Times New Roman" w:cs="Times New Roman"/>
        </w:rPr>
        <w:t xml:space="preserve"> Dept. Mar. 26, 2026), the father appealed from an October 2023 Supreme Court order which, after a hearing, granted the mother’s </w:t>
      </w:r>
      <w:r>
        <w:rPr>
          <w:rFonts w:ascii="Times New Roman" w:hAnsi="Times New Roman" w:cs="Times New Roman"/>
        </w:rPr>
        <w:lastRenderedPageBreak/>
        <w:t xml:space="preserve">petition to modify a prior order (sole to father), </w:t>
      </w:r>
      <w:r w:rsidR="0062357A">
        <w:rPr>
          <w:rFonts w:ascii="Times New Roman" w:hAnsi="Times New Roman" w:cs="Times New Roman"/>
        </w:rPr>
        <w:t>to</w:t>
      </w:r>
      <w:r>
        <w:rPr>
          <w:rFonts w:ascii="Times New Roman" w:hAnsi="Times New Roman" w:cs="Times New Roman"/>
        </w:rPr>
        <w:t xml:space="preserve"> award her sole legal and physical custody of the subject children. The First Department affirmed, finding: “the uncontroverted documentary evidence in the record makes clear that respondent father suffered from serious, untreated mental health issues that caused him to behave in an erratic manner, rendering him an unsuitable caretaker for the children”; “[t]he father subjected the children to both physical and emotional abuse when they were in his care and, by his own admission, disciplined the children using a belt”; “the father alienated the children from the mother, relocating them without cause several times and making it difficult for her to communicate with them”; and “the children’s change in position *** was entitled to great weight *** particularly because two of the children were teenagers at the time.”</w:t>
      </w:r>
    </w:p>
    <w:p w14:paraId="39304166" w14:textId="77777777" w:rsidR="004C1402" w:rsidRDefault="004C1402" w:rsidP="00445087">
      <w:pPr>
        <w:pStyle w:val="Heading2"/>
        <w:numPr>
          <w:ilvl w:val="0"/>
          <w:numId w:val="0"/>
        </w:numPr>
        <w:spacing w:line="240" w:lineRule="auto"/>
        <w:contextualSpacing/>
        <w:jc w:val="both"/>
        <w:rPr>
          <w:rFonts w:ascii="Times New Roman" w:hAnsi="Times New Roman" w:cs="Times New Roman"/>
        </w:rPr>
      </w:pPr>
    </w:p>
    <w:p w14:paraId="27C96090" w14:textId="2EDBBCCB" w:rsidR="004C1402" w:rsidRDefault="004C1402" w:rsidP="00445087">
      <w:pPr>
        <w:pStyle w:val="Heading2"/>
        <w:numPr>
          <w:ilvl w:val="0"/>
          <w:numId w:val="0"/>
        </w:numPr>
        <w:spacing w:line="240" w:lineRule="auto"/>
        <w:contextualSpacing/>
        <w:jc w:val="both"/>
        <w:rPr>
          <w:rFonts w:ascii="Times New Roman" w:hAnsi="Times New Roman" w:cs="Times New Roman"/>
          <w:b/>
          <w:bCs/>
        </w:rPr>
      </w:pPr>
      <w:r w:rsidRPr="004C1402">
        <w:rPr>
          <w:rFonts w:ascii="Times New Roman" w:hAnsi="Times New Roman" w:cs="Times New Roman"/>
          <w:b/>
          <w:bCs/>
        </w:rPr>
        <w:t>Custody – Modification – Sole to Father – Deteriorated Relationship, Interference with Telephone Access, Violation of Prior Order (Address, Education and Medical Information)</w:t>
      </w:r>
    </w:p>
    <w:p w14:paraId="2CD6AB67" w14:textId="77777777" w:rsidR="004C1402" w:rsidRDefault="004C1402" w:rsidP="00445087">
      <w:pPr>
        <w:pStyle w:val="Heading2"/>
        <w:numPr>
          <w:ilvl w:val="0"/>
          <w:numId w:val="0"/>
        </w:numPr>
        <w:spacing w:line="240" w:lineRule="auto"/>
        <w:contextualSpacing/>
        <w:jc w:val="both"/>
        <w:rPr>
          <w:rFonts w:ascii="Times New Roman" w:hAnsi="Times New Roman" w:cs="Times New Roman"/>
          <w:b/>
          <w:bCs/>
        </w:rPr>
      </w:pPr>
    </w:p>
    <w:p w14:paraId="680516F0" w14:textId="73E0C1DB" w:rsidR="004C1402" w:rsidRDefault="004C1402" w:rsidP="00445087">
      <w:pPr>
        <w:pStyle w:val="Heading2"/>
        <w:numPr>
          <w:ilvl w:val="0"/>
          <w:numId w:val="0"/>
        </w:numPr>
        <w:spacing w:line="240" w:lineRule="auto"/>
        <w:contextualSpacing/>
        <w:jc w:val="both"/>
        <w:rPr>
          <w:rFonts w:ascii="Times New Roman" w:hAnsi="Times New Roman" w:cs="Times New Roman"/>
        </w:rPr>
      </w:pPr>
      <w:r>
        <w:rPr>
          <w:rFonts w:ascii="Times New Roman" w:hAnsi="Times New Roman" w:cs="Times New Roman"/>
        </w:rPr>
        <w:tab/>
        <w:t xml:space="preserve">In </w:t>
      </w:r>
      <w:r w:rsidRPr="004C1402">
        <w:rPr>
          <w:rFonts w:ascii="Times New Roman" w:hAnsi="Times New Roman" w:cs="Times New Roman"/>
          <w:b/>
          <w:bCs/>
          <w:i/>
          <w:iCs/>
        </w:rPr>
        <w:t>Matter of Cheung v Tran</w:t>
      </w:r>
      <w:r>
        <w:rPr>
          <w:rFonts w:ascii="Times New Roman" w:hAnsi="Times New Roman" w:cs="Times New Roman"/>
        </w:rPr>
        <w:t>, 2026 Westlaw</w:t>
      </w:r>
      <w:r w:rsidR="00A87A92">
        <w:rPr>
          <w:rFonts w:ascii="Times New Roman" w:hAnsi="Times New Roman" w:cs="Times New Roman"/>
        </w:rPr>
        <w:t xml:space="preserve"> 850248</w:t>
      </w:r>
      <w:r>
        <w:rPr>
          <w:rFonts w:ascii="Times New Roman" w:hAnsi="Times New Roman" w:cs="Times New Roman"/>
        </w:rPr>
        <w:t xml:space="preserve"> (4</w:t>
      </w:r>
      <w:r w:rsidRPr="00A003DB">
        <w:rPr>
          <w:rFonts w:ascii="Times New Roman" w:hAnsi="Times New Roman" w:cs="Times New Roman"/>
          <w:vertAlign w:val="superscript"/>
        </w:rPr>
        <w:t>th</w:t>
      </w:r>
      <w:r>
        <w:rPr>
          <w:rFonts w:ascii="Times New Roman" w:hAnsi="Times New Roman" w:cs="Times New Roman"/>
        </w:rPr>
        <w:t xml:space="preserve"> Dept. Mar. 27, 2026), the mother appealed from an April 2024 Family Court which, after a hearing, modified a prior order by granting sole legal and primary physical custody to the father. The Fourth Department affirmed, finding that the father established changed circumstances by evidence that “the parties’ relationship had become acrimonious and had deteriorated since entry of the prior order (internal quotation marks and citations omitted).” The Appellate Division held that Family Court properly modified the prior order in the best interests of the child, considering that “the mother, in violation of the existing order, failed to provide the father with the current address of the child or any educational or medical information for the child (internal quotation marks, brackets and citations omitted) and also interfered with his telephone access with the child (citation omitted).”</w:t>
      </w:r>
    </w:p>
    <w:p w14:paraId="52A334D1" w14:textId="77777777" w:rsidR="003463D5" w:rsidRDefault="003463D5" w:rsidP="00445087">
      <w:pPr>
        <w:pStyle w:val="Heading2"/>
        <w:numPr>
          <w:ilvl w:val="0"/>
          <w:numId w:val="0"/>
        </w:numPr>
        <w:spacing w:line="240" w:lineRule="auto"/>
        <w:contextualSpacing/>
        <w:jc w:val="both"/>
        <w:rPr>
          <w:rFonts w:ascii="Times New Roman" w:hAnsi="Times New Roman" w:cs="Times New Roman"/>
        </w:rPr>
      </w:pPr>
    </w:p>
    <w:p w14:paraId="36336BF3" w14:textId="2F60CC9F" w:rsidR="003463D5" w:rsidRDefault="003463D5" w:rsidP="00445087">
      <w:pPr>
        <w:pStyle w:val="Heading2"/>
        <w:numPr>
          <w:ilvl w:val="0"/>
          <w:numId w:val="0"/>
        </w:numPr>
        <w:spacing w:line="240" w:lineRule="auto"/>
        <w:contextualSpacing/>
        <w:jc w:val="both"/>
        <w:rPr>
          <w:rFonts w:ascii="Times New Roman" w:hAnsi="Times New Roman" w:cs="Times New Roman"/>
          <w:b/>
          <w:bCs/>
        </w:rPr>
      </w:pPr>
      <w:r w:rsidRPr="003463D5">
        <w:rPr>
          <w:rFonts w:ascii="Times New Roman" w:hAnsi="Times New Roman" w:cs="Times New Roman"/>
          <w:b/>
          <w:bCs/>
        </w:rPr>
        <w:t>Custody – Modification – Sole to Mother - Mental Health Issues, Physical Contact; Limited to Supervised Telephone and Emails; Wishes of Children (15 y/o)</w:t>
      </w:r>
    </w:p>
    <w:p w14:paraId="076EB84C" w14:textId="77777777" w:rsidR="003463D5" w:rsidRDefault="003463D5" w:rsidP="00445087">
      <w:pPr>
        <w:pStyle w:val="Heading2"/>
        <w:numPr>
          <w:ilvl w:val="0"/>
          <w:numId w:val="0"/>
        </w:numPr>
        <w:spacing w:line="240" w:lineRule="auto"/>
        <w:contextualSpacing/>
        <w:jc w:val="both"/>
        <w:rPr>
          <w:rFonts w:ascii="Times New Roman" w:hAnsi="Times New Roman" w:cs="Times New Roman"/>
          <w:b/>
          <w:bCs/>
        </w:rPr>
      </w:pPr>
    </w:p>
    <w:p w14:paraId="64345750" w14:textId="46E0271C" w:rsidR="003463D5" w:rsidRPr="003463D5" w:rsidRDefault="003463D5" w:rsidP="00445087">
      <w:pPr>
        <w:pStyle w:val="Heading2"/>
        <w:numPr>
          <w:ilvl w:val="0"/>
          <w:numId w:val="0"/>
        </w:numPr>
        <w:spacing w:line="240" w:lineRule="auto"/>
        <w:contextualSpacing/>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rPr>
        <w:t xml:space="preserve">In </w:t>
      </w:r>
      <w:r w:rsidRPr="003463D5">
        <w:rPr>
          <w:rFonts w:ascii="Times New Roman" w:hAnsi="Times New Roman" w:cs="Times New Roman"/>
          <w:b/>
          <w:bCs/>
          <w:i/>
          <w:iCs/>
        </w:rPr>
        <w:t>Matter of A.S. v. S.S.</w:t>
      </w:r>
      <w:r>
        <w:rPr>
          <w:rFonts w:ascii="Times New Roman" w:hAnsi="Times New Roman" w:cs="Times New Roman"/>
        </w:rPr>
        <w:t xml:space="preserve">, 2026 </w:t>
      </w:r>
      <w:r w:rsidR="00B66DCF">
        <w:rPr>
          <w:rFonts w:ascii="Times New Roman" w:hAnsi="Times New Roman" w:cs="Times New Roman"/>
        </w:rPr>
        <w:t>NY Slip Op. 01928</w:t>
      </w:r>
      <w:r>
        <w:rPr>
          <w:rFonts w:ascii="Times New Roman" w:hAnsi="Times New Roman" w:cs="Times New Roman"/>
        </w:rPr>
        <w:t xml:space="preserve"> (1</w:t>
      </w:r>
      <w:r w:rsidRPr="00CE4D12">
        <w:rPr>
          <w:rFonts w:ascii="Times New Roman" w:hAnsi="Times New Roman" w:cs="Times New Roman"/>
          <w:vertAlign w:val="superscript"/>
        </w:rPr>
        <w:t>st</w:t>
      </w:r>
      <w:r>
        <w:rPr>
          <w:rFonts w:ascii="Times New Roman" w:hAnsi="Times New Roman" w:cs="Times New Roman"/>
        </w:rPr>
        <w:t xml:space="preserve"> Dept. Mar. 31, 2026), the father appealed from a January 2025 Family Court order which, </w:t>
      </w:r>
      <w:r w:rsidRPr="00184817">
        <w:rPr>
          <w:rFonts w:ascii="Times New Roman" w:hAnsi="Times New Roman" w:cs="Times New Roman"/>
        </w:rPr>
        <w:t>following a hearing, modified the parties’ judgment of divorce and 2018 agreement to grant the mother sole legal and physical custody of the 2 children, with weekly supervised telephone calls and email communication to the father. The First Department affirmed, holding that Family Court properly “</w:t>
      </w:r>
      <w:r w:rsidRPr="00CE4D12">
        <w:rPr>
          <w:rFonts w:ascii="Times New Roman" w:hAnsi="Times New Roman" w:cs="Times New Roman"/>
        </w:rPr>
        <w:t>credited the mother's testimony that the father's deteriorating mental health adversely affected his ability to parent in a safe and appropriate manner and hindered the parties</w:t>
      </w:r>
      <w:r w:rsidRPr="00184817">
        <w:rPr>
          <w:rFonts w:ascii="Times New Roman" w:hAnsi="Times New Roman" w:cs="Times New Roman"/>
        </w:rPr>
        <w:t>’</w:t>
      </w:r>
      <w:r w:rsidRPr="00CE4D12">
        <w:rPr>
          <w:rFonts w:ascii="Times New Roman" w:hAnsi="Times New Roman" w:cs="Times New Roman"/>
        </w:rPr>
        <w:t xml:space="preserve"> ability to make joint decisions concerning the children.</w:t>
      </w:r>
      <w:r w:rsidRPr="00184817">
        <w:rPr>
          <w:rFonts w:ascii="Times New Roman" w:hAnsi="Times New Roman" w:cs="Times New Roman"/>
        </w:rPr>
        <w:t xml:space="preserve">” The Appellate Division noted that </w:t>
      </w:r>
      <w:r w:rsidRPr="00CE4D12">
        <w:rPr>
          <w:rFonts w:ascii="Times New Roman" w:hAnsi="Times New Roman" w:cs="Times New Roman"/>
        </w:rPr>
        <w:t xml:space="preserve">the father </w:t>
      </w:r>
      <w:r w:rsidRPr="00184817">
        <w:rPr>
          <w:rFonts w:ascii="Times New Roman" w:hAnsi="Times New Roman" w:cs="Times New Roman"/>
        </w:rPr>
        <w:t>“</w:t>
      </w:r>
      <w:r w:rsidRPr="00CE4D12">
        <w:rPr>
          <w:rFonts w:ascii="Times New Roman" w:hAnsi="Times New Roman" w:cs="Times New Roman"/>
        </w:rPr>
        <w:t>pulled his daughter by the hair around the apartment because he perceived her as being disrespectful, prompting her brother to intervene</w:t>
      </w:r>
      <w:r w:rsidRPr="00184817">
        <w:rPr>
          <w:rFonts w:ascii="Times New Roman" w:hAnsi="Times New Roman" w:cs="Times New Roman"/>
        </w:rPr>
        <w:t>” and</w:t>
      </w:r>
      <w:r w:rsidRPr="00CE4D12">
        <w:rPr>
          <w:rFonts w:ascii="Times New Roman" w:hAnsi="Times New Roman" w:cs="Times New Roman"/>
        </w:rPr>
        <w:t xml:space="preserve"> </w:t>
      </w:r>
      <w:r w:rsidRPr="00184817">
        <w:rPr>
          <w:rFonts w:ascii="Times New Roman" w:hAnsi="Times New Roman" w:cs="Times New Roman"/>
        </w:rPr>
        <w:t>“</w:t>
      </w:r>
      <w:r w:rsidRPr="00CE4D12">
        <w:rPr>
          <w:rFonts w:ascii="Times New Roman" w:hAnsi="Times New Roman" w:cs="Times New Roman"/>
        </w:rPr>
        <w:t>physically blocked the daughter from leaving the apartment, again accusing her of disrespect</w:t>
      </w:r>
      <w:r w:rsidRPr="00184817">
        <w:rPr>
          <w:rFonts w:ascii="Times New Roman" w:hAnsi="Times New Roman" w:cs="Times New Roman"/>
        </w:rPr>
        <w:t>.” The Court further observed that the father:</w:t>
      </w:r>
      <w:r w:rsidRPr="00CE4D12">
        <w:rPr>
          <w:rFonts w:ascii="Times New Roman" w:hAnsi="Times New Roman" w:cs="Times New Roman"/>
        </w:rPr>
        <w:t xml:space="preserve"> </w:t>
      </w:r>
      <w:r w:rsidRPr="00184817">
        <w:rPr>
          <w:rFonts w:ascii="Times New Roman" w:hAnsi="Times New Roman" w:cs="Times New Roman"/>
        </w:rPr>
        <w:t>“</w:t>
      </w:r>
      <w:r w:rsidRPr="00CE4D12">
        <w:rPr>
          <w:rFonts w:ascii="Times New Roman" w:hAnsi="Times New Roman" w:cs="Times New Roman"/>
        </w:rPr>
        <w:t>expressed no insight into how his behavior affected</w:t>
      </w:r>
      <w:r w:rsidRPr="00184817">
        <w:rPr>
          <w:rFonts w:ascii="Times New Roman" w:hAnsi="Times New Roman" w:cs="Times New Roman"/>
        </w:rPr>
        <w:t>” the children;</w:t>
      </w:r>
      <w:r w:rsidRPr="00CE4D12">
        <w:rPr>
          <w:rFonts w:ascii="Times New Roman" w:hAnsi="Times New Roman" w:cs="Times New Roman"/>
        </w:rPr>
        <w:t xml:space="preserve"> </w:t>
      </w:r>
      <w:r w:rsidRPr="00184817">
        <w:rPr>
          <w:rFonts w:ascii="Times New Roman" w:hAnsi="Times New Roman" w:cs="Times New Roman"/>
        </w:rPr>
        <w:t>“</w:t>
      </w:r>
      <w:r w:rsidRPr="00CE4D12">
        <w:rPr>
          <w:rFonts w:ascii="Times New Roman" w:hAnsi="Times New Roman" w:cs="Times New Roman"/>
        </w:rPr>
        <w:t>called the children and engaged in rambling conversations about nonsensical topics</w:t>
      </w:r>
      <w:r w:rsidRPr="00184817">
        <w:rPr>
          <w:rFonts w:ascii="Times New Roman" w:hAnsi="Times New Roman" w:cs="Times New Roman"/>
        </w:rPr>
        <w:t>”; “</w:t>
      </w:r>
      <w:r w:rsidRPr="00CE4D12">
        <w:rPr>
          <w:rFonts w:ascii="Times New Roman" w:hAnsi="Times New Roman" w:cs="Times New Roman"/>
        </w:rPr>
        <w:t>forgot their scheduled activities and blamed them for his lapses</w:t>
      </w:r>
      <w:r w:rsidRPr="00184817">
        <w:rPr>
          <w:rFonts w:ascii="Times New Roman" w:hAnsi="Times New Roman" w:cs="Times New Roman"/>
        </w:rPr>
        <w:t>”;</w:t>
      </w:r>
      <w:r w:rsidRPr="00CE4D12">
        <w:rPr>
          <w:rFonts w:ascii="Times New Roman" w:hAnsi="Times New Roman" w:cs="Times New Roman"/>
        </w:rPr>
        <w:t xml:space="preserve"> </w:t>
      </w:r>
      <w:r w:rsidRPr="00184817">
        <w:rPr>
          <w:rFonts w:ascii="Times New Roman" w:hAnsi="Times New Roman" w:cs="Times New Roman"/>
        </w:rPr>
        <w:t>and “</w:t>
      </w:r>
      <w:r w:rsidRPr="00CE4D12">
        <w:rPr>
          <w:rFonts w:ascii="Times New Roman" w:hAnsi="Times New Roman" w:cs="Times New Roman"/>
        </w:rPr>
        <w:t>admitted to banging his head against the wall, causing the children distress.</w:t>
      </w:r>
      <w:r w:rsidRPr="00184817">
        <w:rPr>
          <w:rFonts w:ascii="Times New Roman" w:hAnsi="Times New Roman" w:cs="Times New Roman"/>
        </w:rPr>
        <w:t>”</w:t>
      </w:r>
      <w:r>
        <w:rPr>
          <w:rFonts w:ascii="Times New Roman" w:hAnsi="Times New Roman" w:cs="Times New Roman"/>
        </w:rPr>
        <w:t xml:space="preserve"> </w:t>
      </w:r>
      <w:r w:rsidRPr="00184817">
        <w:rPr>
          <w:rFonts w:ascii="Times New Roman" w:hAnsi="Times New Roman" w:cs="Times New Roman"/>
        </w:rPr>
        <w:t>The First Department determined that the father’s “</w:t>
      </w:r>
      <w:r w:rsidRPr="00CE4D12">
        <w:rPr>
          <w:rFonts w:ascii="Times New Roman" w:hAnsi="Times New Roman" w:cs="Times New Roman"/>
        </w:rPr>
        <w:t>relationship with the children had deteriorated to a point where they were fearful of him and did not wish to have in-person contact</w:t>
      </w:r>
      <w:r w:rsidRPr="00184817">
        <w:rPr>
          <w:rFonts w:ascii="Times New Roman" w:hAnsi="Times New Roman" w:cs="Times New Roman"/>
        </w:rPr>
        <w:t>” and his behavior “</w:t>
      </w:r>
      <w:r w:rsidRPr="00CE4D12">
        <w:rPr>
          <w:rFonts w:ascii="Times New Roman" w:hAnsi="Times New Roman" w:cs="Times New Roman"/>
        </w:rPr>
        <w:t>demonstrated a profound disregard for their psychological health.</w:t>
      </w:r>
      <w:r w:rsidRPr="00184817">
        <w:rPr>
          <w:rFonts w:ascii="Times New Roman" w:hAnsi="Times New Roman" w:cs="Times New Roman"/>
        </w:rPr>
        <w:t>” The Appellate Division noted that “</w:t>
      </w:r>
      <w:r w:rsidRPr="00CE4D12">
        <w:rPr>
          <w:rFonts w:ascii="Times New Roman" w:hAnsi="Times New Roman" w:cs="Times New Roman"/>
        </w:rPr>
        <w:t>the children were nearly 15 years old and had consistently expressed a strong preference not to have in-person contact with the father.</w:t>
      </w:r>
      <w:r w:rsidRPr="00184817">
        <w:rPr>
          <w:rFonts w:ascii="Times New Roman" w:hAnsi="Times New Roman" w:cs="Times New Roman"/>
        </w:rPr>
        <w:t>”</w:t>
      </w:r>
    </w:p>
    <w:p w14:paraId="27E957B6" w14:textId="77777777" w:rsidR="00A37F0F" w:rsidRDefault="00A37F0F" w:rsidP="00445087">
      <w:pPr>
        <w:pStyle w:val="Heading2"/>
        <w:numPr>
          <w:ilvl w:val="0"/>
          <w:numId w:val="0"/>
        </w:numPr>
        <w:spacing w:line="240" w:lineRule="auto"/>
        <w:contextualSpacing/>
        <w:jc w:val="both"/>
        <w:rPr>
          <w:rFonts w:ascii="Times New Roman" w:hAnsi="Times New Roman" w:cs="Times New Roman"/>
        </w:rPr>
      </w:pPr>
    </w:p>
    <w:p w14:paraId="7087696B" w14:textId="34DFEE20" w:rsidR="00A37F0F" w:rsidRDefault="00A37F0F" w:rsidP="00445087">
      <w:pPr>
        <w:pStyle w:val="Heading2"/>
        <w:numPr>
          <w:ilvl w:val="0"/>
          <w:numId w:val="0"/>
        </w:numPr>
        <w:spacing w:line="240" w:lineRule="auto"/>
        <w:contextualSpacing/>
        <w:jc w:val="both"/>
        <w:rPr>
          <w:rFonts w:ascii="Times New Roman" w:hAnsi="Times New Roman" w:cs="Times New Roman"/>
          <w:b/>
          <w:bCs/>
        </w:rPr>
      </w:pPr>
      <w:r w:rsidRPr="00A37F0F">
        <w:rPr>
          <w:rFonts w:ascii="Times New Roman" w:hAnsi="Times New Roman" w:cs="Times New Roman"/>
          <w:b/>
          <w:bCs/>
        </w:rPr>
        <w:t>Custody – Visitation – Modification – Stipulated Standard – Dismissal Reversed</w:t>
      </w:r>
    </w:p>
    <w:p w14:paraId="14789551" w14:textId="6808BAAE" w:rsidR="00A37F0F" w:rsidRDefault="00A37F0F" w:rsidP="00445087">
      <w:pPr>
        <w:pStyle w:val="Heading2"/>
        <w:numPr>
          <w:ilvl w:val="0"/>
          <w:numId w:val="0"/>
        </w:numPr>
        <w:spacing w:line="240" w:lineRule="auto"/>
        <w:contextualSpacing/>
        <w:jc w:val="both"/>
        <w:rPr>
          <w:rFonts w:ascii="Times New Roman" w:hAnsi="Times New Roman" w:cs="Times New Roman"/>
          <w:b/>
          <w:bCs/>
        </w:rPr>
      </w:pPr>
    </w:p>
    <w:p w14:paraId="2A04F3ED" w14:textId="4757182C" w:rsidR="00A37F0F" w:rsidRPr="00A37F0F" w:rsidRDefault="00A37F0F" w:rsidP="00445087">
      <w:pPr>
        <w:pStyle w:val="Heading2"/>
        <w:numPr>
          <w:ilvl w:val="0"/>
          <w:numId w:val="0"/>
        </w:numPr>
        <w:spacing w:line="240" w:lineRule="auto"/>
        <w:contextualSpacing/>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rPr>
        <w:t xml:space="preserve">In </w:t>
      </w:r>
      <w:r w:rsidRPr="00A37F0F">
        <w:rPr>
          <w:rFonts w:ascii="Times New Roman" w:hAnsi="Times New Roman" w:cs="Times New Roman"/>
          <w:b/>
          <w:bCs/>
          <w:i/>
          <w:iCs/>
        </w:rPr>
        <w:t>Matter of Irwin v. Snyder</w:t>
      </w:r>
      <w:r>
        <w:rPr>
          <w:rFonts w:ascii="Times New Roman" w:hAnsi="Times New Roman" w:cs="Times New Roman"/>
        </w:rPr>
        <w:t>, 2026 Westlaw 787088 (4</w:t>
      </w:r>
      <w:r w:rsidRPr="004A6B21">
        <w:rPr>
          <w:rFonts w:ascii="Times New Roman" w:hAnsi="Times New Roman" w:cs="Times New Roman"/>
          <w:vertAlign w:val="superscript"/>
        </w:rPr>
        <w:t>th</w:t>
      </w:r>
      <w:r>
        <w:rPr>
          <w:rFonts w:ascii="Times New Roman" w:hAnsi="Times New Roman" w:cs="Times New Roman"/>
        </w:rPr>
        <w:t xml:space="preserve"> Dept. Mar. 20, 2026), the father appealed from a May 2024 Family Court order which, at the close of his proof, dismissed with prejudice his petition for modification of a prior consent order (sole to mother, supervised visitation to father) providing that “upon completion of that visitation schedule, the father was permitted to reapply for additional periods of visitation without a showing of a substantial change in circumstances.” The Fourth Department reversed, on the law, reinstated the petition, and remitted to Family Court for a continuation of the hearing. The Appellate Division held that while the mother and the AFC “assert that the father failed to comply with the remaining terms of the consent order, they do not dispute that the father complied with the schedule of visitation, which was all that was required by the terms of the consent order to allow the father to petition the court without having to show a change of circumstances.”</w:t>
      </w:r>
    </w:p>
    <w:p w14:paraId="3BD2B59D" w14:textId="77777777" w:rsidR="005A1C85" w:rsidRDefault="005A1C85" w:rsidP="00445087">
      <w:pPr>
        <w:pStyle w:val="Heading2"/>
        <w:numPr>
          <w:ilvl w:val="0"/>
          <w:numId w:val="0"/>
        </w:numPr>
        <w:spacing w:line="240" w:lineRule="auto"/>
        <w:contextualSpacing/>
        <w:jc w:val="both"/>
        <w:rPr>
          <w:rFonts w:ascii="Times New Roman" w:hAnsi="Times New Roman" w:cs="Times New Roman"/>
        </w:rPr>
      </w:pPr>
    </w:p>
    <w:p w14:paraId="6A38AF54" w14:textId="77777777" w:rsidR="00070E30" w:rsidRDefault="00070E30" w:rsidP="00070E30">
      <w:pPr>
        <w:pStyle w:val="Heading2"/>
        <w:numPr>
          <w:ilvl w:val="0"/>
          <w:numId w:val="0"/>
        </w:numPr>
        <w:spacing w:line="240" w:lineRule="auto"/>
        <w:jc w:val="both"/>
        <w:rPr>
          <w:rFonts w:ascii="Times New Roman" w:hAnsi="Times New Roman" w:cs="Times New Roman"/>
          <w:b/>
          <w:bCs/>
        </w:rPr>
      </w:pPr>
      <w:r>
        <w:rPr>
          <w:rFonts w:ascii="Times New Roman" w:hAnsi="Times New Roman" w:cs="Times New Roman"/>
          <w:b/>
          <w:bCs/>
        </w:rPr>
        <w:t>Enforcement – Child Support – Dismissed – Money Judgment and SCU Enforcement Previously Granted</w:t>
      </w:r>
    </w:p>
    <w:p w14:paraId="2219C2FB" w14:textId="77777777" w:rsidR="00070E30" w:rsidRDefault="00070E30" w:rsidP="00070E30">
      <w:pPr>
        <w:pStyle w:val="Heading2"/>
        <w:numPr>
          <w:ilvl w:val="0"/>
          <w:numId w:val="0"/>
        </w:numPr>
        <w:spacing w:line="240" w:lineRule="auto"/>
        <w:jc w:val="both"/>
        <w:rPr>
          <w:rFonts w:ascii="Times New Roman" w:hAnsi="Times New Roman" w:cs="Times New Roman"/>
          <w:b/>
          <w:bCs/>
        </w:rPr>
      </w:pPr>
    </w:p>
    <w:p w14:paraId="0DFF6574" w14:textId="2A3C408F" w:rsidR="00070E30" w:rsidRDefault="00070E30" w:rsidP="00070E30">
      <w:pPr>
        <w:pStyle w:val="Heading2"/>
        <w:numPr>
          <w:ilvl w:val="0"/>
          <w:numId w:val="0"/>
        </w:numPr>
        <w:spacing w:line="240" w:lineRule="auto"/>
        <w:jc w:val="both"/>
        <w:rPr>
          <w:rFonts w:ascii="Times New Roman" w:hAnsi="Times New Roman" w:cs="Times New Roman"/>
        </w:rPr>
      </w:pPr>
      <w:r>
        <w:rPr>
          <w:rFonts w:ascii="Times New Roman" w:hAnsi="Times New Roman" w:cs="Times New Roman"/>
          <w:b/>
          <w:bCs/>
        </w:rPr>
        <w:tab/>
      </w:r>
      <w:r>
        <w:rPr>
          <w:rFonts w:ascii="Times New Roman" w:hAnsi="Times New Roman" w:cs="Times New Roman"/>
        </w:rPr>
        <w:t xml:space="preserve">In </w:t>
      </w:r>
      <w:r w:rsidRPr="00070E30">
        <w:rPr>
          <w:rFonts w:ascii="Times New Roman" w:hAnsi="Times New Roman" w:cs="Times New Roman"/>
          <w:b/>
          <w:bCs/>
          <w:i/>
          <w:iCs/>
        </w:rPr>
        <w:t>Matter of Esther L., v. C.L.</w:t>
      </w:r>
      <w:r>
        <w:rPr>
          <w:rFonts w:ascii="Times New Roman" w:hAnsi="Times New Roman" w:cs="Times New Roman"/>
        </w:rPr>
        <w:t>, 2026 Westlaw 771020 (1</w:t>
      </w:r>
      <w:r w:rsidRPr="00F6264F">
        <w:rPr>
          <w:rFonts w:ascii="Times New Roman" w:hAnsi="Times New Roman" w:cs="Times New Roman"/>
          <w:vertAlign w:val="superscript"/>
        </w:rPr>
        <w:t>st</w:t>
      </w:r>
      <w:r>
        <w:rPr>
          <w:rFonts w:ascii="Times New Roman" w:hAnsi="Times New Roman" w:cs="Times New Roman"/>
        </w:rPr>
        <w:t xml:space="preserve"> Dept. Mar. 19, 2026), the mother appealed from a December 2024 Family Court order denying her objections to a September 2024 Support Magistrate order which, after </w:t>
      </w:r>
      <w:proofErr w:type="gramStart"/>
      <w:r>
        <w:rPr>
          <w:rFonts w:ascii="Times New Roman" w:hAnsi="Times New Roman" w:cs="Times New Roman"/>
        </w:rPr>
        <w:t>a hearing</w:t>
      </w:r>
      <w:proofErr w:type="gramEnd"/>
      <w:r>
        <w:rPr>
          <w:rFonts w:ascii="Times New Roman" w:hAnsi="Times New Roman" w:cs="Times New Roman"/>
        </w:rPr>
        <w:t>, found that the father was not in willful violation of a prior child support order, and dismissed her petition. The First Department affirmed. In a prior violation proceeding, Family Court reduced the father’s arrears of $23,691 to a money judgment and directed enforcement thereof through the SCU. The mother argued at trial that the father has continued to violate the order “because the arrears have not been significantly repaid,” but conceded that the father has consistently paid through the SCU as ordered, including additional sums toward reducing the money judgment.  The Appellate Division held that Family Court correctly deferred to the Magistrate’s assessment of the evidence and properly upheld the dismissal of the violation petition. The Court concluded: “To the extent the mother seeks immediate repayment of the arrears, Family Court is not empowered to order such relief (citation omitted).”</w:t>
      </w:r>
    </w:p>
    <w:p w14:paraId="54F8FF68" w14:textId="77777777" w:rsidR="000772CB" w:rsidRDefault="000772CB" w:rsidP="00070E30">
      <w:pPr>
        <w:pStyle w:val="Heading2"/>
        <w:numPr>
          <w:ilvl w:val="0"/>
          <w:numId w:val="0"/>
        </w:numPr>
        <w:spacing w:line="240" w:lineRule="auto"/>
        <w:jc w:val="both"/>
        <w:rPr>
          <w:rFonts w:ascii="Times New Roman" w:hAnsi="Times New Roman" w:cs="Times New Roman"/>
        </w:rPr>
      </w:pPr>
    </w:p>
    <w:p w14:paraId="79F28CB7" w14:textId="32386CC4" w:rsidR="000772CB" w:rsidRDefault="000772CB" w:rsidP="00070E30">
      <w:pPr>
        <w:pStyle w:val="Heading2"/>
        <w:numPr>
          <w:ilvl w:val="0"/>
          <w:numId w:val="0"/>
        </w:numPr>
        <w:spacing w:line="240" w:lineRule="auto"/>
        <w:jc w:val="both"/>
        <w:rPr>
          <w:rFonts w:ascii="Times New Roman" w:hAnsi="Times New Roman" w:cs="Times New Roman"/>
          <w:b/>
          <w:bCs/>
        </w:rPr>
      </w:pPr>
      <w:r w:rsidRPr="000772CB">
        <w:rPr>
          <w:rFonts w:ascii="Times New Roman" w:hAnsi="Times New Roman" w:cs="Times New Roman"/>
          <w:b/>
          <w:bCs/>
        </w:rPr>
        <w:t xml:space="preserve">Equitable Distribution – Debt – Credit for Income Tax Paid Granted on Appeal; Maintenance – Annual Tax Return Exchange and Recalculation Provisions </w:t>
      </w:r>
      <w:r>
        <w:rPr>
          <w:rFonts w:ascii="Times New Roman" w:hAnsi="Times New Roman" w:cs="Times New Roman"/>
          <w:b/>
          <w:bCs/>
        </w:rPr>
        <w:t>–</w:t>
      </w:r>
      <w:r w:rsidRPr="000772CB">
        <w:rPr>
          <w:rFonts w:ascii="Times New Roman" w:hAnsi="Times New Roman" w:cs="Times New Roman"/>
          <w:b/>
          <w:bCs/>
        </w:rPr>
        <w:t xml:space="preserve"> Reversed</w:t>
      </w:r>
    </w:p>
    <w:p w14:paraId="13ED06EA" w14:textId="77777777" w:rsidR="000772CB" w:rsidRDefault="000772CB" w:rsidP="00070E30">
      <w:pPr>
        <w:pStyle w:val="Heading2"/>
        <w:numPr>
          <w:ilvl w:val="0"/>
          <w:numId w:val="0"/>
        </w:numPr>
        <w:spacing w:line="240" w:lineRule="auto"/>
        <w:jc w:val="both"/>
        <w:rPr>
          <w:rFonts w:ascii="Times New Roman" w:hAnsi="Times New Roman" w:cs="Times New Roman"/>
          <w:b/>
          <w:bCs/>
        </w:rPr>
      </w:pPr>
    </w:p>
    <w:p w14:paraId="689BF064" w14:textId="1B12F493" w:rsidR="000772CB" w:rsidRPr="000772CB" w:rsidRDefault="000772CB" w:rsidP="00070E30">
      <w:pPr>
        <w:pStyle w:val="Heading2"/>
        <w:numPr>
          <w:ilvl w:val="0"/>
          <w:numId w:val="0"/>
        </w:numPr>
        <w:spacing w:line="240" w:lineRule="auto"/>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rPr>
        <w:t xml:space="preserve">In </w:t>
      </w:r>
      <w:r w:rsidRPr="000772CB">
        <w:rPr>
          <w:rFonts w:ascii="Times New Roman" w:hAnsi="Times New Roman" w:cs="Times New Roman"/>
          <w:b/>
          <w:bCs/>
          <w:i/>
          <w:iCs/>
        </w:rPr>
        <w:t>Zatyko v Zatyko</w:t>
      </w:r>
      <w:r>
        <w:rPr>
          <w:rFonts w:ascii="Times New Roman" w:hAnsi="Times New Roman" w:cs="Times New Roman"/>
        </w:rPr>
        <w:t>, 2026 Westlaw</w:t>
      </w:r>
      <w:r w:rsidR="004972D7">
        <w:rPr>
          <w:rFonts w:ascii="Times New Roman" w:hAnsi="Times New Roman" w:cs="Times New Roman"/>
        </w:rPr>
        <w:t xml:space="preserve"> 850138 </w:t>
      </w:r>
      <w:r>
        <w:rPr>
          <w:rFonts w:ascii="Times New Roman" w:hAnsi="Times New Roman" w:cs="Times New Roman"/>
        </w:rPr>
        <w:t>(4</w:t>
      </w:r>
      <w:r w:rsidRPr="00C03D42">
        <w:rPr>
          <w:rFonts w:ascii="Times New Roman" w:hAnsi="Times New Roman" w:cs="Times New Roman"/>
          <w:vertAlign w:val="superscript"/>
        </w:rPr>
        <w:t>th</w:t>
      </w:r>
      <w:r>
        <w:rPr>
          <w:rFonts w:ascii="Times New Roman" w:hAnsi="Times New Roman" w:cs="Times New Roman"/>
        </w:rPr>
        <w:t xml:space="preserve"> Dept. Mar. 27, 2026), the husband appealed from an October 2024 Supreme Court judgment which, among other things: (1) directed the parties to annually exchange tax returns and recalculate spousal maintenance each year until both parties turn 70; and (2) distributed marital property and debt without crediting the husband for his payment of the wife’s share of the parties’ 2019 income taxes. The Fourth Department modified the judgment on the law, by: (1) vacating the tax return exchange and recalculation provisions pertaining to maintenance, holding that “[</w:t>
      </w:r>
      <w:proofErr w:type="spellStart"/>
      <w:r>
        <w:rPr>
          <w:rFonts w:ascii="Times New Roman" w:hAnsi="Times New Roman" w:cs="Times New Roman"/>
        </w:rPr>
        <w:t>i</w:t>
      </w:r>
      <w:proofErr w:type="spellEnd"/>
      <w:r>
        <w:rPr>
          <w:rFonts w:ascii="Times New Roman" w:hAnsi="Times New Roman" w:cs="Times New Roman"/>
        </w:rPr>
        <w:t>]</w:t>
      </w:r>
      <w:proofErr w:type="spellStart"/>
      <w:r>
        <w:rPr>
          <w:rFonts w:ascii="Times New Roman" w:hAnsi="Times New Roman" w:cs="Times New Roman"/>
        </w:rPr>
        <w:t>nasmuch</w:t>
      </w:r>
      <w:proofErr w:type="spellEnd"/>
      <w:r>
        <w:rPr>
          <w:rFonts w:ascii="Times New Roman" w:hAnsi="Times New Roman" w:cs="Times New Roman"/>
        </w:rPr>
        <w:t xml:space="preserve"> as the amount of a maintenance award is a discretionary determination based upon a number of interrelated facts then in existence, … the parties’ changing needs are best addressed in a future application for modification of the amount of maintenance (internal quotation marks, brackets and citations omitted)”; and (2) by reducing the retroactive payment due from the husband to the wife from $46,402.71 to $39,157.71, upon the ground that Supreme Court “abused its discretion in failing to provide [the husband] a credit </w:t>
      </w:r>
      <w:r>
        <w:rPr>
          <w:rFonts w:ascii="Times New Roman" w:hAnsi="Times New Roman" w:cs="Times New Roman"/>
        </w:rPr>
        <w:lastRenderedPageBreak/>
        <w:t>for paying the 2019 income taxes in determining the equitable distribution of property (citations omitted).”</w:t>
      </w:r>
    </w:p>
    <w:p w14:paraId="6D5F46B5" w14:textId="08FE3151" w:rsidR="00070E30" w:rsidRDefault="00070E30" w:rsidP="00070E30">
      <w:pPr>
        <w:pStyle w:val="Heading2"/>
        <w:numPr>
          <w:ilvl w:val="0"/>
          <w:numId w:val="0"/>
        </w:numPr>
        <w:spacing w:line="240" w:lineRule="auto"/>
        <w:jc w:val="both"/>
        <w:rPr>
          <w:rFonts w:ascii="Times New Roman" w:hAnsi="Times New Roman" w:cs="Times New Roman"/>
        </w:rPr>
      </w:pPr>
    </w:p>
    <w:p w14:paraId="6EA604F6" w14:textId="26BFB85F" w:rsidR="00070E30" w:rsidRDefault="00070E30" w:rsidP="00070E30">
      <w:pPr>
        <w:pStyle w:val="Heading2"/>
        <w:numPr>
          <w:ilvl w:val="0"/>
          <w:numId w:val="0"/>
        </w:numPr>
        <w:spacing w:line="240" w:lineRule="auto"/>
        <w:jc w:val="both"/>
        <w:rPr>
          <w:rFonts w:ascii="Times New Roman" w:hAnsi="Times New Roman" w:cs="Times New Roman"/>
          <w:b/>
          <w:bCs/>
        </w:rPr>
      </w:pPr>
      <w:r w:rsidRPr="00070E30">
        <w:rPr>
          <w:rFonts w:ascii="Times New Roman" w:hAnsi="Times New Roman" w:cs="Times New Roman"/>
          <w:b/>
          <w:bCs/>
        </w:rPr>
        <w:t>Equitable Distribution – Time Share – Remitted for Distribution</w:t>
      </w:r>
    </w:p>
    <w:p w14:paraId="378C5044" w14:textId="77777777" w:rsidR="00070E30" w:rsidRDefault="00070E30" w:rsidP="00070E30">
      <w:pPr>
        <w:pStyle w:val="Heading2"/>
        <w:numPr>
          <w:ilvl w:val="0"/>
          <w:numId w:val="0"/>
        </w:numPr>
        <w:spacing w:line="240" w:lineRule="auto"/>
        <w:jc w:val="both"/>
        <w:rPr>
          <w:rFonts w:ascii="Times New Roman" w:hAnsi="Times New Roman" w:cs="Times New Roman"/>
          <w:b/>
          <w:bCs/>
        </w:rPr>
      </w:pPr>
    </w:p>
    <w:p w14:paraId="417960B4" w14:textId="263F5BDD" w:rsidR="00070E30" w:rsidRDefault="00070E30" w:rsidP="00070E30">
      <w:pPr>
        <w:pStyle w:val="Heading2"/>
        <w:numPr>
          <w:ilvl w:val="0"/>
          <w:numId w:val="0"/>
        </w:numPr>
        <w:spacing w:line="240" w:lineRule="auto"/>
        <w:jc w:val="both"/>
        <w:rPr>
          <w:rFonts w:ascii="Times New Roman" w:hAnsi="Times New Roman" w:cs="Times New Roman"/>
        </w:rPr>
      </w:pPr>
      <w:r>
        <w:rPr>
          <w:rFonts w:ascii="Times New Roman" w:hAnsi="Times New Roman" w:cs="Times New Roman"/>
          <w:b/>
          <w:bCs/>
        </w:rPr>
        <w:tab/>
      </w:r>
      <w:r>
        <w:rPr>
          <w:rFonts w:ascii="Times New Roman" w:hAnsi="Times New Roman" w:cs="Times New Roman"/>
        </w:rPr>
        <w:t xml:space="preserve">In </w:t>
      </w:r>
      <w:r w:rsidRPr="00070E30">
        <w:rPr>
          <w:rFonts w:ascii="Times New Roman" w:hAnsi="Times New Roman" w:cs="Times New Roman"/>
          <w:b/>
          <w:bCs/>
          <w:i/>
          <w:iCs/>
        </w:rPr>
        <w:t>Khan v. Khan</w:t>
      </w:r>
      <w:r>
        <w:rPr>
          <w:rFonts w:ascii="Times New Roman" w:hAnsi="Times New Roman" w:cs="Times New Roman"/>
        </w:rPr>
        <w:t>, 2026 Westlaw 771035 (1</w:t>
      </w:r>
      <w:r w:rsidRPr="00A9083E">
        <w:rPr>
          <w:rFonts w:ascii="Times New Roman" w:hAnsi="Times New Roman" w:cs="Times New Roman"/>
          <w:vertAlign w:val="superscript"/>
        </w:rPr>
        <w:t>st</w:t>
      </w:r>
      <w:r>
        <w:rPr>
          <w:rFonts w:ascii="Times New Roman" w:hAnsi="Times New Roman" w:cs="Times New Roman"/>
        </w:rPr>
        <w:t xml:space="preserve"> Dept. Mar. 16, 2026), the wife appealed from a January 2025 Supreme Court order which, following trial, awarded her an equitable share of the marital estate without evaluating or distributing the jointly owned timeshare. The First Department modified, on the law and the facts, by </w:t>
      </w:r>
      <w:proofErr w:type="gramStart"/>
      <w:r>
        <w:rPr>
          <w:rFonts w:ascii="Times New Roman" w:hAnsi="Times New Roman" w:cs="Times New Roman"/>
        </w:rPr>
        <w:t>remanding</w:t>
      </w:r>
      <w:proofErr w:type="gramEnd"/>
      <w:r>
        <w:rPr>
          <w:rFonts w:ascii="Times New Roman" w:hAnsi="Times New Roman" w:cs="Times New Roman"/>
        </w:rPr>
        <w:t xml:space="preserve"> for further proceedings. The Appellate Division held that Supreme Court “erred by failing to distribute the outstanding debt associated with the time share and its equity value, if any, and failing to direct the disposition of ownership of the timeshare and the obligation to pay its associated debt (citations omitted).”</w:t>
      </w:r>
    </w:p>
    <w:p w14:paraId="7919120F" w14:textId="77777777" w:rsidR="00070E30" w:rsidRDefault="00070E30" w:rsidP="00070E30">
      <w:pPr>
        <w:pStyle w:val="Heading2"/>
        <w:numPr>
          <w:ilvl w:val="0"/>
          <w:numId w:val="0"/>
        </w:numPr>
        <w:spacing w:line="240" w:lineRule="auto"/>
        <w:jc w:val="both"/>
        <w:rPr>
          <w:rFonts w:ascii="Times New Roman" w:hAnsi="Times New Roman" w:cs="Times New Roman"/>
        </w:rPr>
      </w:pPr>
    </w:p>
    <w:p w14:paraId="4BAA6C67" w14:textId="77777777" w:rsidR="00A50142" w:rsidRDefault="00A50142" w:rsidP="00070E30">
      <w:pPr>
        <w:pStyle w:val="Heading2"/>
        <w:numPr>
          <w:ilvl w:val="0"/>
          <w:numId w:val="0"/>
        </w:numPr>
        <w:spacing w:line="240" w:lineRule="auto"/>
        <w:jc w:val="both"/>
        <w:rPr>
          <w:rFonts w:ascii="Times New Roman" w:hAnsi="Times New Roman" w:cs="Times New Roman"/>
          <w:b/>
          <w:bCs/>
        </w:rPr>
      </w:pPr>
      <w:r>
        <w:rPr>
          <w:rFonts w:ascii="Times New Roman" w:hAnsi="Times New Roman" w:cs="Times New Roman"/>
          <w:b/>
          <w:bCs/>
        </w:rPr>
        <w:t>Family Offenses – Harassment 2d – Dispute Over Dog – Not Found</w:t>
      </w:r>
    </w:p>
    <w:p w14:paraId="7026603A" w14:textId="77777777" w:rsidR="00A50142" w:rsidRDefault="00A50142" w:rsidP="00070E30">
      <w:pPr>
        <w:pStyle w:val="Heading2"/>
        <w:numPr>
          <w:ilvl w:val="0"/>
          <w:numId w:val="0"/>
        </w:numPr>
        <w:spacing w:line="240" w:lineRule="auto"/>
        <w:jc w:val="both"/>
        <w:rPr>
          <w:rFonts w:ascii="Times New Roman" w:hAnsi="Times New Roman" w:cs="Times New Roman"/>
          <w:b/>
          <w:bCs/>
        </w:rPr>
      </w:pPr>
    </w:p>
    <w:p w14:paraId="2CF81F7C" w14:textId="3ED7C0AE" w:rsidR="00A50142" w:rsidRDefault="00A50142" w:rsidP="00070E30">
      <w:pPr>
        <w:pStyle w:val="Heading2"/>
        <w:numPr>
          <w:ilvl w:val="0"/>
          <w:numId w:val="0"/>
        </w:numPr>
        <w:spacing w:line="240" w:lineRule="auto"/>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rPr>
        <w:t xml:space="preserve">In </w:t>
      </w:r>
      <w:r w:rsidRPr="00A50142">
        <w:rPr>
          <w:rFonts w:ascii="Times New Roman" w:hAnsi="Times New Roman" w:cs="Times New Roman"/>
          <w:b/>
          <w:bCs/>
          <w:i/>
          <w:iCs/>
        </w:rPr>
        <w:t>Matter of Andrew C.B. v. Allegra B.J.</w:t>
      </w:r>
      <w:r>
        <w:rPr>
          <w:rFonts w:ascii="Times New Roman" w:hAnsi="Times New Roman" w:cs="Times New Roman"/>
        </w:rPr>
        <w:t>, 2026 Westlaw 837401 (1</w:t>
      </w:r>
      <w:r w:rsidRPr="007E312F">
        <w:rPr>
          <w:rFonts w:ascii="Times New Roman" w:hAnsi="Times New Roman" w:cs="Times New Roman"/>
          <w:vertAlign w:val="superscript"/>
        </w:rPr>
        <w:t>st</w:t>
      </w:r>
      <w:r>
        <w:rPr>
          <w:rFonts w:ascii="Times New Roman" w:hAnsi="Times New Roman" w:cs="Times New Roman"/>
        </w:rPr>
        <w:t xml:space="preserve"> Dept. Mar. 26, 2026), respondent appealed from a May 2025 Family Court order which, after a hearing, found that she had committed harassment 2d against petitioner. The parties were former registered domestic partners between March 2020 and August 2022 and therefore had an “intimate relationship within the meaning of [FCA 812(1)], even if their relationship ended before the family offense petition was filed (citation omitted).” At the time of the May 2024 incident, arising from a dispute over who would have ownership and custody of a dog the parties had adopted, “petitioner was supposed to transfer custody of the dog back to respondent *** but instead, petitioner brought a document for respondent to sign, which provided that respondent must relinquish any and all ownership and custody of the dog to him.” Respondent, while demonstrably upset and arguing with petitioner in respondent’s apartment as to why [he] should return the dog to her, stated to her fiancé that she would have to go to Philadelphia because that’s where they sell guns and shoot him. Because that’s the only way I’m going to get my … dog back.” (Internal quotation marks omitted). The First Department reversed, on the law, vacated the order and dismissed the petition, holding that respondent’s actions did not constitute harassment 2d (PL 240.26[1]) and concluding: “Nothing in the record demonstrates that respondent’s statement was confirmed by other words or acts showing that her threat to petitioner was anything more than a crude outburst (citation omitted).” The Appellate Division noted that the testimony and audio recording in evidence also established that respondent’s “statement cannot be penalized because it is not a genuine threat of physical </w:t>
      </w:r>
      <w:proofErr w:type="gramStart"/>
      <w:r>
        <w:rPr>
          <w:rFonts w:ascii="Times New Roman" w:hAnsi="Times New Roman" w:cs="Times New Roman"/>
        </w:rPr>
        <w:t>harm</w:t>
      </w:r>
      <w:proofErr w:type="gramEnd"/>
      <w:r>
        <w:rPr>
          <w:rFonts w:ascii="Times New Roman" w:hAnsi="Times New Roman" w:cs="Times New Roman"/>
        </w:rPr>
        <w:t xml:space="preserve"> nor does it present a clear and present danger of some serious substantive evil (citation omitted).” The Court concluded that the testimony and recording demonstrate that “petitioner stayed in respondent’s apartment for roughly another 10 to 20 minutes and continued to argue about why he should be allowed to keep the dog” and he “also acknowledged that respondent did not touch or throw anything at him during the incident.”</w:t>
      </w:r>
    </w:p>
    <w:p w14:paraId="7650A00D" w14:textId="77777777" w:rsidR="00A50142" w:rsidRDefault="00A50142" w:rsidP="00070E30">
      <w:pPr>
        <w:pStyle w:val="Heading2"/>
        <w:numPr>
          <w:ilvl w:val="0"/>
          <w:numId w:val="0"/>
        </w:numPr>
        <w:spacing w:line="240" w:lineRule="auto"/>
        <w:jc w:val="both"/>
        <w:rPr>
          <w:rFonts w:ascii="Times New Roman" w:hAnsi="Times New Roman" w:cs="Times New Roman"/>
          <w:b/>
          <w:bCs/>
        </w:rPr>
      </w:pPr>
    </w:p>
    <w:p w14:paraId="3700290E" w14:textId="640D8914" w:rsidR="00070E30" w:rsidRDefault="00070E30" w:rsidP="00070E30">
      <w:pPr>
        <w:pStyle w:val="Heading2"/>
        <w:numPr>
          <w:ilvl w:val="0"/>
          <w:numId w:val="0"/>
        </w:numPr>
        <w:spacing w:line="240" w:lineRule="auto"/>
        <w:jc w:val="both"/>
        <w:rPr>
          <w:rFonts w:ascii="Times New Roman" w:hAnsi="Times New Roman" w:cs="Times New Roman"/>
          <w:b/>
          <w:bCs/>
        </w:rPr>
      </w:pPr>
      <w:r w:rsidRPr="00070E30">
        <w:rPr>
          <w:rFonts w:ascii="Times New Roman" w:hAnsi="Times New Roman" w:cs="Times New Roman"/>
          <w:b/>
          <w:bCs/>
        </w:rPr>
        <w:t xml:space="preserve">Family Offense – Harassment 2d, </w:t>
      </w:r>
      <w:proofErr w:type="gramStart"/>
      <w:r w:rsidRPr="00070E30">
        <w:rPr>
          <w:rFonts w:ascii="Times New Roman" w:hAnsi="Times New Roman" w:cs="Times New Roman"/>
          <w:b/>
          <w:bCs/>
        </w:rPr>
        <w:t>Stalking</w:t>
      </w:r>
      <w:proofErr w:type="gramEnd"/>
      <w:r w:rsidRPr="00070E30">
        <w:rPr>
          <w:rFonts w:ascii="Times New Roman" w:hAnsi="Times New Roman" w:cs="Times New Roman"/>
          <w:b/>
          <w:bCs/>
        </w:rPr>
        <w:t xml:space="preserve"> 4</w:t>
      </w:r>
      <w:r w:rsidRPr="00070E30">
        <w:rPr>
          <w:rFonts w:ascii="Times New Roman" w:hAnsi="Times New Roman" w:cs="Times New Roman"/>
          <w:b/>
          <w:bCs/>
          <w:vertAlign w:val="superscript"/>
        </w:rPr>
        <w:t>th</w:t>
      </w:r>
      <w:r w:rsidRPr="00070E30">
        <w:rPr>
          <w:rFonts w:ascii="Times New Roman" w:hAnsi="Times New Roman" w:cs="Times New Roman"/>
          <w:b/>
          <w:bCs/>
        </w:rPr>
        <w:t xml:space="preserve"> </w:t>
      </w:r>
      <w:r>
        <w:rPr>
          <w:rFonts w:ascii="Times New Roman" w:hAnsi="Times New Roman" w:cs="Times New Roman"/>
          <w:b/>
          <w:bCs/>
        </w:rPr>
        <w:t>–</w:t>
      </w:r>
      <w:r w:rsidRPr="00070E30">
        <w:rPr>
          <w:rFonts w:ascii="Times New Roman" w:hAnsi="Times New Roman" w:cs="Times New Roman"/>
          <w:b/>
          <w:bCs/>
        </w:rPr>
        <w:t xml:space="preserve"> Found</w:t>
      </w:r>
    </w:p>
    <w:p w14:paraId="01C37651" w14:textId="77777777" w:rsidR="00070E30" w:rsidRDefault="00070E30" w:rsidP="00070E30">
      <w:pPr>
        <w:pStyle w:val="Heading2"/>
        <w:numPr>
          <w:ilvl w:val="0"/>
          <w:numId w:val="0"/>
        </w:numPr>
        <w:spacing w:line="240" w:lineRule="auto"/>
        <w:jc w:val="both"/>
        <w:rPr>
          <w:rFonts w:ascii="Times New Roman" w:hAnsi="Times New Roman" w:cs="Times New Roman"/>
          <w:b/>
          <w:bCs/>
        </w:rPr>
      </w:pPr>
    </w:p>
    <w:p w14:paraId="1B8C3473" w14:textId="639A235A" w:rsidR="00070E30" w:rsidRDefault="00070E30" w:rsidP="00070E30">
      <w:pPr>
        <w:pStyle w:val="Heading2"/>
        <w:numPr>
          <w:ilvl w:val="0"/>
          <w:numId w:val="0"/>
        </w:numPr>
        <w:spacing w:line="240" w:lineRule="auto"/>
        <w:jc w:val="both"/>
        <w:rPr>
          <w:rFonts w:ascii="Times New Roman" w:hAnsi="Times New Roman" w:cs="Times New Roman"/>
        </w:rPr>
      </w:pPr>
      <w:r>
        <w:rPr>
          <w:rFonts w:ascii="Times New Roman" w:hAnsi="Times New Roman" w:cs="Times New Roman"/>
          <w:b/>
          <w:bCs/>
        </w:rPr>
        <w:tab/>
      </w:r>
      <w:r>
        <w:rPr>
          <w:rFonts w:ascii="Times New Roman" w:hAnsi="Times New Roman" w:cs="Times New Roman"/>
        </w:rPr>
        <w:t xml:space="preserve">In </w:t>
      </w:r>
      <w:r w:rsidRPr="00070E30">
        <w:rPr>
          <w:rFonts w:ascii="Times New Roman" w:hAnsi="Times New Roman" w:cs="Times New Roman"/>
          <w:b/>
          <w:bCs/>
          <w:i/>
          <w:iCs/>
        </w:rPr>
        <w:t>Matter of Bencivengo v. Bencivengo</w:t>
      </w:r>
      <w:r>
        <w:rPr>
          <w:rFonts w:ascii="Times New Roman" w:hAnsi="Times New Roman" w:cs="Times New Roman"/>
        </w:rPr>
        <w:t xml:space="preserve">, 2026 Westlaw 758867 (2d Dept. Mar. 18, 2026), the mother has sole legal and physical custody of the </w:t>
      </w:r>
      <w:proofErr w:type="gramStart"/>
      <w:r>
        <w:rPr>
          <w:rFonts w:ascii="Times New Roman" w:hAnsi="Times New Roman" w:cs="Times New Roman"/>
        </w:rPr>
        <w:t>parties’</w:t>
      </w:r>
      <w:proofErr w:type="gramEnd"/>
      <w:r>
        <w:rPr>
          <w:rFonts w:ascii="Times New Roman" w:hAnsi="Times New Roman" w:cs="Times New Roman"/>
        </w:rPr>
        <w:t xml:space="preserve"> son. The father appealed from a September 2024 Family Court order which, after a hearing, found that he committed harassment 2d and stalking 4</w:t>
      </w:r>
      <w:r w:rsidRPr="00B55A45">
        <w:rPr>
          <w:rFonts w:ascii="Times New Roman" w:hAnsi="Times New Roman" w:cs="Times New Roman"/>
          <w:vertAlign w:val="superscript"/>
        </w:rPr>
        <w:t>th</w:t>
      </w:r>
      <w:r>
        <w:rPr>
          <w:rFonts w:ascii="Times New Roman" w:hAnsi="Times New Roman" w:cs="Times New Roman"/>
        </w:rPr>
        <w:t xml:space="preserve"> against the mother. The Second Department affirmed, noting the mother’s </w:t>
      </w:r>
      <w:r>
        <w:rPr>
          <w:rFonts w:ascii="Times New Roman" w:hAnsi="Times New Roman" w:cs="Times New Roman"/>
        </w:rPr>
        <w:lastRenderedPageBreak/>
        <w:t>testimony that the father “installed a tracking device in the son’s backpack without her knowledge and despite telling him not to do so,” while rejecting the father’s argument that he did so for a legitimate purpose and finding that he sought “to alarm and seriously annoy” the mother. The Appellate Division cited the mother’s testimony that the father “followed her, appearing unexpectedly at locations where she and the parties’ child were present, despite the issuance of prior orders of protection directing him to refrain from such conduct.”</w:t>
      </w:r>
    </w:p>
    <w:p w14:paraId="7E67140D" w14:textId="77777777" w:rsidR="00070E30" w:rsidRDefault="00070E30" w:rsidP="00070E30">
      <w:pPr>
        <w:pStyle w:val="Heading2"/>
        <w:numPr>
          <w:ilvl w:val="0"/>
          <w:numId w:val="0"/>
        </w:numPr>
        <w:spacing w:line="240" w:lineRule="auto"/>
        <w:jc w:val="both"/>
        <w:rPr>
          <w:rFonts w:ascii="Times New Roman" w:hAnsi="Times New Roman" w:cs="Times New Roman"/>
          <w:b/>
          <w:bCs/>
        </w:rPr>
      </w:pPr>
    </w:p>
    <w:p w14:paraId="0BC6E725" w14:textId="538E1F77" w:rsidR="003463D5" w:rsidRDefault="003463D5" w:rsidP="005C7917">
      <w:pPr>
        <w:pStyle w:val="Heading2"/>
        <w:numPr>
          <w:ilvl w:val="0"/>
          <w:numId w:val="0"/>
        </w:numPr>
        <w:jc w:val="both"/>
        <w:rPr>
          <w:rFonts w:ascii="Times New Roman" w:hAnsi="Times New Roman" w:cs="Times New Roman"/>
          <w:b/>
          <w:bCs/>
        </w:rPr>
      </w:pPr>
      <w:r>
        <w:rPr>
          <w:rFonts w:ascii="Times New Roman" w:hAnsi="Times New Roman" w:cs="Times New Roman"/>
          <w:b/>
          <w:bCs/>
        </w:rPr>
        <w:t xml:space="preserve">Procedure – Appeals </w:t>
      </w:r>
      <w:r w:rsidRPr="003463D5">
        <w:rPr>
          <w:rFonts w:ascii="Times New Roman" w:hAnsi="Times New Roman" w:cs="Times New Roman"/>
          <w:b/>
          <w:bCs/>
        </w:rPr>
        <w:t>- CPLR 5511 – Aggrieved Party – Article</w:t>
      </w:r>
    </w:p>
    <w:p w14:paraId="2E617AEA" w14:textId="230BC113" w:rsidR="003463D5" w:rsidRDefault="003463D5" w:rsidP="003463D5">
      <w:pPr>
        <w:pStyle w:val="Heading2"/>
        <w:numPr>
          <w:ilvl w:val="0"/>
          <w:numId w:val="0"/>
        </w:numPr>
        <w:spacing w:line="240" w:lineRule="auto"/>
        <w:contextualSpacing/>
        <w:jc w:val="both"/>
        <w:rPr>
          <w:rFonts w:ascii="Times New Roman" w:hAnsi="Times New Roman" w:cs="Times New Roman"/>
        </w:rPr>
      </w:pPr>
      <w:r>
        <w:rPr>
          <w:rFonts w:ascii="Times New Roman" w:hAnsi="Times New Roman" w:cs="Times New Roman"/>
          <w:b/>
          <w:bCs/>
        </w:rPr>
        <w:tab/>
      </w:r>
      <w:r>
        <w:rPr>
          <w:rFonts w:ascii="Times New Roman" w:hAnsi="Times New Roman" w:cs="Times New Roman"/>
        </w:rPr>
        <w:t xml:space="preserve">For an informative article, </w:t>
      </w:r>
      <w:r w:rsidRPr="00167466">
        <w:rPr>
          <w:rFonts w:ascii="Times New Roman" w:hAnsi="Times New Roman" w:cs="Times New Roman"/>
          <w:i/>
          <w:iCs/>
        </w:rPr>
        <w:t>see</w:t>
      </w:r>
      <w:r>
        <w:rPr>
          <w:rFonts w:ascii="Times New Roman" w:hAnsi="Times New Roman" w:cs="Times New Roman"/>
        </w:rPr>
        <w:t xml:space="preserve"> Thomas R. Newman &amp; Steven J. </w:t>
      </w:r>
      <w:proofErr w:type="spellStart"/>
      <w:r>
        <w:rPr>
          <w:rFonts w:ascii="Times New Roman" w:hAnsi="Times New Roman" w:cs="Times New Roman"/>
        </w:rPr>
        <w:t>Ahmuty</w:t>
      </w:r>
      <w:proofErr w:type="spellEnd"/>
      <w:r>
        <w:rPr>
          <w:rFonts w:ascii="Times New Roman" w:hAnsi="Times New Roman" w:cs="Times New Roman"/>
        </w:rPr>
        <w:t xml:space="preserve">, Jr., “The ‘Aggrievement’ Requirement,” </w:t>
      </w:r>
      <w:r w:rsidRPr="00167466">
        <w:rPr>
          <w:rFonts w:ascii="Times New Roman" w:hAnsi="Times New Roman" w:cs="Times New Roman"/>
          <w:i/>
          <w:iCs/>
        </w:rPr>
        <w:t>NY Law Journal</w:t>
      </w:r>
      <w:r>
        <w:rPr>
          <w:rFonts w:ascii="Times New Roman" w:hAnsi="Times New Roman" w:cs="Times New Roman"/>
        </w:rPr>
        <w:t>, Mar. 31, 2026.</w:t>
      </w:r>
    </w:p>
    <w:p w14:paraId="1849840B" w14:textId="77777777" w:rsidR="003463D5" w:rsidRDefault="003463D5" w:rsidP="003463D5">
      <w:pPr>
        <w:pStyle w:val="Heading2"/>
        <w:numPr>
          <w:ilvl w:val="0"/>
          <w:numId w:val="0"/>
        </w:numPr>
        <w:spacing w:line="240" w:lineRule="auto"/>
        <w:contextualSpacing/>
        <w:jc w:val="both"/>
        <w:rPr>
          <w:rFonts w:ascii="Times New Roman" w:hAnsi="Times New Roman" w:cs="Times New Roman"/>
          <w:b/>
          <w:bCs/>
        </w:rPr>
      </w:pPr>
    </w:p>
    <w:p w14:paraId="759FD12D" w14:textId="706FCAE0" w:rsidR="005C7917" w:rsidRPr="005C7917" w:rsidRDefault="005A1C85" w:rsidP="005C7917">
      <w:pPr>
        <w:pStyle w:val="Heading2"/>
        <w:numPr>
          <w:ilvl w:val="0"/>
          <w:numId w:val="0"/>
        </w:numPr>
        <w:jc w:val="both"/>
        <w:rPr>
          <w:b/>
          <w:bCs/>
        </w:rPr>
      </w:pPr>
      <w:r w:rsidRPr="005C7917">
        <w:rPr>
          <w:rFonts w:ascii="Times New Roman" w:hAnsi="Times New Roman" w:cs="Times New Roman"/>
          <w:b/>
          <w:bCs/>
        </w:rPr>
        <w:t xml:space="preserve">Procedure - </w:t>
      </w:r>
      <w:r w:rsidR="005C7917" w:rsidRPr="005C7917">
        <w:rPr>
          <w:rFonts w:ascii="Times New Roman" w:hAnsi="Times New Roman" w:cs="Times New Roman"/>
          <w:b/>
          <w:bCs/>
        </w:rPr>
        <w:t>Consolidation Denied; Divorce Action Dismissed</w:t>
      </w:r>
    </w:p>
    <w:p w14:paraId="71E9F235" w14:textId="21CE1FB5" w:rsidR="005A1C85" w:rsidRDefault="005C7917" w:rsidP="005C7917">
      <w:pPr>
        <w:pStyle w:val="Heading2"/>
        <w:numPr>
          <w:ilvl w:val="0"/>
          <w:numId w:val="0"/>
        </w:numPr>
        <w:spacing w:line="240" w:lineRule="auto"/>
        <w:contextualSpacing/>
        <w:jc w:val="both"/>
        <w:rPr>
          <w:rFonts w:ascii="Times New Roman" w:hAnsi="Times New Roman" w:cs="Times New Roman"/>
        </w:rPr>
      </w:pPr>
      <w:r>
        <w:rPr>
          <w:rFonts w:ascii="Times New Roman" w:hAnsi="Times New Roman" w:cs="Times New Roman"/>
        </w:rPr>
        <w:tab/>
        <w:t xml:space="preserve">In </w:t>
      </w:r>
      <w:r w:rsidRPr="005C7917">
        <w:rPr>
          <w:rFonts w:ascii="Times New Roman" w:hAnsi="Times New Roman" w:cs="Times New Roman"/>
          <w:b/>
          <w:bCs/>
          <w:i/>
          <w:iCs/>
        </w:rPr>
        <w:t>Morrissey v. Morrissey</w:t>
      </w:r>
      <w:r>
        <w:rPr>
          <w:rFonts w:ascii="Times New Roman" w:hAnsi="Times New Roman" w:cs="Times New Roman"/>
        </w:rPr>
        <w:t xml:space="preserve">, </w:t>
      </w:r>
      <w:bookmarkStart w:id="2" w:name="_Hlk225510504"/>
      <w:r w:rsidR="006B7D1D">
        <w:rPr>
          <w:rFonts w:ascii="Times New Roman" w:hAnsi="Times New Roman" w:cs="Times New Roman"/>
        </w:rPr>
        <w:t>249 NYS3d 73</w:t>
      </w:r>
      <w:bookmarkEnd w:id="2"/>
      <w:r w:rsidR="006B7D1D">
        <w:rPr>
          <w:rFonts w:ascii="Times New Roman" w:hAnsi="Times New Roman" w:cs="Times New Roman"/>
        </w:rPr>
        <w:t xml:space="preserve"> </w:t>
      </w:r>
      <w:r>
        <w:rPr>
          <w:rFonts w:ascii="Times New Roman" w:hAnsi="Times New Roman" w:cs="Times New Roman"/>
        </w:rPr>
        <w:t>(1</w:t>
      </w:r>
      <w:r w:rsidRPr="002B36C4">
        <w:rPr>
          <w:rFonts w:ascii="Times New Roman" w:hAnsi="Times New Roman" w:cs="Times New Roman"/>
          <w:vertAlign w:val="superscript"/>
        </w:rPr>
        <w:t>st</w:t>
      </w:r>
      <w:r>
        <w:rPr>
          <w:rFonts w:ascii="Times New Roman" w:hAnsi="Times New Roman" w:cs="Times New Roman"/>
        </w:rPr>
        <w:t xml:space="preserve"> Dept. Mar. 3, 2026), the wife appealed from a January 2025 Supreme Court order, which: (1) denied her motion to consolidate a New York County Family Court proceeding with her within divorce action, and for a renewed award of maintenance and pendente lite relief, without prejudice to seeking the same relief in a pending divorce action in Queens County; and (2) granted the husband’s cross-motion to dismiss the wife’s divorce action pursuant to CPLR 3211(a) (4). The First Department affirmed, holding that the Queens County matrimonial action, which was pending when the wife commenced the within NY County divorce action, “arose from the same subject matter, sought substantially the same relief, and involved the same parties,” such that Supreme Court properly granted the husband’s cross-motion to dismiss.</w:t>
      </w:r>
    </w:p>
    <w:p w14:paraId="66099928" w14:textId="77777777" w:rsidR="00070E30" w:rsidRDefault="00070E30" w:rsidP="005C7917">
      <w:pPr>
        <w:pStyle w:val="Heading2"/>
        <w:numPr>
          <w:ilvl w:val="0"/>
          <w:numId w:val="0"/>
        </w:numPr>
        <w:spacing w:line="240" w:lineRule="auto"/>
        <w:contextualSpacing/>
        <w:jc w:val="both"/>
        <w:rPr>
          <w:rFonts w:ascii="Times New Roman" w:hAnsi="Times New Roman" w:cs="Times New Roman"/>
        </w:rPr>
      </w:pPr>
    </w:p>
    <w:p w14:paraId="195ED1B8" w14:textId="3A2ACA37" w:rsidR="00070E30" w:rsidRDefault="00070E30" w:rsidP="005C7917">
      <w:pPr>
        <w:pStyle w:val="Heading2"/>
        <w:numPr>
          <w:ilvl w:val="0"/>
          <w:numId w:val="0"/>
        </w:numPr>
        <w:spacing w:line="240" w:lineRule="auto"/>
        <w:contextualSpacing/>
        <w:jc w:val="both"/>
        <w:rPr>
          <w:rFonts w:ascii="Times New Roman" w:hAnsi="Times New Roman" w:cs="Times New Roman"/>
          <w:b/>
          <w:bCs/>
        </w:rPr>
      </w:pPr>
      <w:r w:rsidRPr="00070E30">
        <w:rPr>
          <w:rFonts w:ascii="Times New Roman" w:hAnsi="Times New Roman" w:cs="Times New Roman"/>
          <w:b/>
          <w:bCs/>
        </w:rPr>
        <w:t>Procedure – Divorce Action No</w:t>
      </w:r>
      <w:r>
        <w:rPr>
          <w:rFonts w:ascii="Times New Roman" w:hAnsi="Times New Roman" w:cs="Times New Roman"/>
          <w:b/>
          <w:bCs/>
        </w:rPr>
        <w:t>t a</w:t>
      </w:r>
      <w:r w:rsidRPr="00070E30">
        <w:rPr>
          <w:rFonts w:ascii="Times New Roman" w:hAnsi="Times New Roman" w:cs="Times New Roman"/>
          <w:b/>
          <w:bCs/>
        </w:rPr>
        <w:t xml:space="preserve"> Bar to </w:t>
      </w:r>
      <w:r>
        <w:rPr>
          <w:rFonts w:ascii="Times New Roman" w:hAnsi="Times New Roman" w:cs="Times New Roman"/>
          <w:b/>
          <w:bCs/>
        </w:rPr>
        <w:t xml:space="preserve">a </w:t>
      </w:r>
      <w:r w:rsidRPr="00070E30">
        <w:rPr>
          <w:rFonts w:ascii="Times New Roman" w:hAnsi="Times New Roman" w:cs="Times New Roman"/>
          <w:b/>
          <w:bCs/>
        </w:rPr>
        <w:t>GMVA Action</w:t>
      </w:r>
    </w:p>
    <w:p w14:paraId="0D560F51" w14:textId="77777777" w:rsidR="00070E30" w:rsidRDefault="00070E30" w:rsidP="005C7917">
      <w:pPr>
        <w:pStyle w:val="Heading2"/>
        <w:numPr>
          <w:ilvl w:val="0"/>
          <w:numId w:val="0"/>
        </w:numPr>
        <w:spacing w:line="240" w:lineRule="auto"/>
        <w:contextualSpacing/>
        <w:jc w:val="both"/>
        <w:rPr>
          <w:rFonts w:ascii="Times New Roman" w:hAnsi="Times New Roman" w:cs="Times New Roman"/>
          <w:b/>
          <w:bCs/>
        </w:rPr>
      </w:pPr>
    </w:p>
    <w:p w14:paraId="52699B19" w14:textId="69354B21" w:rsidR="00070E30" w:rsidRPr="00070E30" w:rsidRDefault="00070E30" w:rsidP="005C7917">
      <w:pPr>
        <w:pStyle w:val="Heading2"/>
        <w:numPr>
          <w:ilvl w:val="0"/>
          <w:numId w:val="0"/>
        </w:numPr>
        <w:spacing w:line="240" w:lineRule="auto"/>
        <w:contextualSpacing/>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rPr>
        <w:t xml:space="preserve">In </w:t>
      </w:r>
      <w:r w:rsidRPr="007A5AC3">
        <w:rPr>
          <w:rFonts w:ascii="Times New Roman" w:hAnsi="Times New Roman" w:cs="Times New Roman"/>
          <w:b/>
          <w:bCs/>
          <w:i/>
          <w:iCs/>
        </w:rPr>
        <w:t>Rothman v. Rothman</w:t>
      </w:r>
      <w:r>
        <w:rPr>
          <w:rFonts w:ascii="Times New Roman" w:hAnsi="Times New Roman" w:cs="Times New Roman"/>
        </w:rPr>
        <w:t>, 2026 Westlaw 770341 (1</w:t>
      </w:r>
      <w:r w:rsidRPr="00F164EF">
        <w:rPr>
          <w:rFonts w:ascii="Times New Roman" w:hAnsi="Times New Roman" w:cs="Times New Roman"/>
          <w:vertAlign w:val="superscript"/>
        </w:rPr>
        <w:t>st</w:t>
      </w:r>
      <w:r>
        <w:rPr>
          <w:rFonts w:ascii="Times New Roman" w:hAnsi="Times New Roman" w:cs="Times New Roman"/>
        </w:rPr>
        <w:t xml:space="preserve"> Dept. Mar. 19, 2026), the former husband (husband) appealed from a June 2025 Supreme Court order, which denied his motion to dismiss the former wife (wife’s) complaint pursuant to the Victims of Gender-Motivated Violence Prevention Act (GMVA) pursuant to CPLR 3211(a)(5), upon the grounds of res judicata and collateral estoppel. The First Department affirmed, holding that the wife’s complaint was not barred upon either ground, namely: (1) “for purposes of res judicata, there was no identity of claims between the parties’ Nassau County divorce action and the wife’s [GMVA] action”; the “matrimonial action addressed domestic violence solely as a factor in determining the parties’ economic rights ***”; and “the matrimonial action did not adjudicate whether the husband committed crimes of violence motivated by gender by applying the GMVA’s statutory elements”; and (2) as to collateral estoppel, Supreme Court in the divorce action “found that the husband engaged in abusive conduct that contributed to the wife’s reduced earning capacity and economic need,” which “is not analogous to a finding that the husband committed a ‘crime of violence’ under the GMVA.”</w:t>
      </w:r>
    </w:p>
    <w:p w14:paraId="134E2DF9" w14:textId="77777777" w:rsidR="005C7917" w:rsidRDefault="005C7917" w:rsidP="005C7917">
      <w:pPr>
        <w:pStyle w:val="Heading2"/>
        <w:numPr>
          <w:ilvl w:val="0"/>
          <w:numId w:val="0"/>
        </w:numPr>
        <w:spacing w:line="240" w:lineRule="auto"/>
        <w:contextualSpacing/>
        <w:jc w:val="both"/>
        <w:rPr>
          <w:rFonts w:ascii="Times New Roman" w:hAnsi="Times New Roman" w:cs="Times New Roman"/>
        </w:rPr>
      </w:pPr>
    </w:p>
    <w:p w14:paraId="5DEEDCE6" w14:textId="011C4853" w:rsidR="005C7917" w:rsidRDefault="005C7917" w:rsidP="005C7917">
      <w:pPr>
        <w:pStyle w:val="Heading2"/>
        <w:numPr>
          <w:ilvl w:val="0"/>
          <w:numId w:val="0"/>
        </w:numPr>
        <w:spacing w:line="240" w:lineRule="auto"/>
        <w:contextualSpacing/>
        <w:jc w:val="both"/>
        <w:rPr>
          <w:rFonts w:ascii="Times New Roman" w:hAnsi="Times New Roman" w:cs="Times New Roman"/>
          <w:b/>
          <w:bCs/>
        </w:rPr>
      </w:pPr>
      <w:r w:rsidRPr="005C7917">
        <w:rPr>
          <w:rFonts w:ascii="Times New Roman" w:hAnsi="Times New Roman" w:cs="Times New Roman"/>
          <w:b/>
          <w:bCs/>
        </w:rPr>
        <w:t>Procedure – Family Court –</w:t>
      </w:r>
      <w:r>
        <w:rPr>
          <w:rFonts w:ascii="Times New Roman" w:hAnsi="Times New Roman" w:cs="Times New Roman"/>
          <w:b/>
          <w:bCs/>
        </w:rPr>
        <w:t xml:space="preserve"> </w:t>
      </w:r>
      <w:r w:rsidRPr="005C7917">
        <w:rPr>
          <w:rFonts w:ascii="Times New Roman" w:hAnsi="Times New Roman" w:cs="Times New Roman"/>
          <w:b/>
          <w:bCs/>
        </w:rPr>
        <w:t>Equity</w:t>
      </w:r>
      <w:r>
        <w:rPr>
          <w:rFonts w:ascii="Times New Roman" w:hAnsi="Times New Roman" w:cs="Times New Roman"/>
          <w:b/>
          <w:bCs/>
        </w:rPr>
        <w:t xml:space="preserve"> or Law – Article</w:t>
      </w:r>
    </w:p>
    <w:p w14:paraId="31816CE6" w14:textId="77777777" w:rsidR="005C7917" w:rsidRDefault="005C7917" w:rsidP="005C7917">
      <w:pPr>
        <w:pStyle w:val="Heading2"/>
        <w:numPr>
          <w:ilvl w:val="0"/>
          <w:numId w:val="0"/>
        </w:numPr>
        <w:spacing w:line="240" w:lineRule="auto"/>
        <w:contextualSpacing/>
        <w:jc w:val="both"/>
        <w:rPr>
          <w:rFonts w:ascii="Times New Roman" w:hAnsi="Times New Roman" w:cs="Times New Roman"/>
          <w:b/>
          <w:bCs/>
        </w:rPr>
      </w:pPr>
    </w:p>
    <w:p w14:paraId="7E875E11" w14:textId="27F8F344" w:rsidR="005C7917" w:rsidRPr="005C7917" w:rsidRDefault="005C7917" w:rsidP="005C7917">
      <w:pPr>
        <w:pStyle w:val="Heading2"/>
        <w:numPr>
          <w:ilvl w:val="0"/>
          <w:numId w:val="0"/>
        </w:numPr>
        <w:spacing w:line="240" w:lineRule="auto"/>
        <w:contextualSpacing/>
        <w:jc w:val="both"/>
        <w:rPr>
          <w:rFonts w:ascii="Times New Roman" w:hAnsi="Times New Roman" w:cs="Times New Roman"/>
          <w:b/>
          <w:bCs/>
        </w:rPr>
      </w:pPr>
      <w:r>
        <w:rPr>
          <w:rFonts w:ascii="Times New Roman" w:hAnsi="Times New Roman" w:cs="Times New Roman"/>
        </w:rPr>
        <w:tab/>
        <w:t xml:space="preserve">For an informative article, </w:t>
      </w:r>
      <w:r w:rsidRPr="00535045">
        <w:rPr>
          <w:rFonts w:ascii="Times New Roman" w:hAnsi="Times New Roman" w:cs="Times New Roman"/>
          <w:i/>
          <w:iCs/>
        </w:rPr>
        <w:t>see</w:t>
      </w:r>
      <w:r>
        <w:rPr>
          <w:rFonts w:ascii="Times New Roman" w:hAnsi="Times New Roman" w:cs="Times New Roman"/>
        </w:rPr>
        <w:t xml:space="preserve"> Magistrate Sondra Mendelson-Toscano, “Court of Equity or Court to Law? Where Does Family Court Fall?” </w:t>
      </w:r>
      <w:r w:rsidRPr="009B6664">
        <w:rPr>
          <w:rFonts w:ascii="Times New Roman" w:hAnsi="Times New Roman" w:cs="Times New Roman"/>
          <w:i/>
          <w:iCs/>
        </w:rPr>
        <w:t>NY Law Journal</w:t>
      </w:r>
      <w:r>
        <w:rPr>
          <w:rFonts w:ascii="Times New Roman" w:hAnsi="Times New Roman" w:cs="Times New Roman"/>
        </w:rPr>
        <w:t>, Mar. 2, 2026.</w:t>
      </w:r>
    </w:p>
    <w:p w14:paraId="753BB355" w14:textId="085EB177" w:rsidR="005C7917" w:rsidRDefault="005C7917" w:rsidP="0039601B">
      <w:pPr>
        <w:pStyle w:val="Heading2"/>
        <w:numPr>
          <w:ilvl w:val="0"/>
          <w:numId w:val="0"/>
        </w:numPr>
        <w:spacing w:line="240" w:lineRule="auto"/>
        <w:rPr>
          <w:rFonts w:ascii="Times New Roman" w:hAnsi="Times New Roman" w:cs="Times New Roman"/>
          <w:b/>
          <w:bCs/>
        </w:rPr>
      </w:pPr>
      <w:r>
        <w:rPr>
          <w:rFonts w:ascii="Times New Roman" w:hAnsi="Times New Roman" w:cs="Times New Roman"/>
          <w:b/>
          <w:bCs/>
        </w:rPr>
        <w:lastRenderedPageBreak/>
        <w:t>Procedure – Res Judicata and Collateral Estoppel</w:t>
      </w:r>
      <w:r w:rsidR="00724D2F">
        <w:rPr>
          <w:rFonts w:ascii="Times New Roman" w:hAnsi="Times New Roman" w:cs="Times New Roman"/>
          <w:b/>
          <w:bCs/>
        </w:rPr>
        <w:t xml:space="preserve"> - Article</w:t>
      </w:r>
    </w:p>
    <w:p w14:paraId="43B7DD9B" w14:textId="77777777" w:rsidR="005C7917" w:rsidRDefault="005C7917" w:rsidP="0039601B">
      <w:pPr>
        <w:pStyle w:val="Heading2"/>
        <w:numPr>
          <w:ilvl w:val="0"/>
          <w:numId w:val="0"/>
        </w:numPr>
        <w:spacing w:line="240" w:lineRule="auto"/>
        <w:rPr>
          <w:rFonts w:ascii="Times New Roman" w:hAnsi="Times New Roman" w:cs="Times New Roman"/>
          <w:b/>
          <w:bCs/>
        </w:rPr>
      </w:pPr>
    </w:p>
    <w:p w14:paraId="1C3E686A" w14:textId="72DE44FA" w:rsidR="005C7917" w:rsidRDefault="005C7917" w:rsidP="0039601B">
      <w:pPr>
        <w:pStyle w:val="Heading2"/>
        <w:numPr>
          <w:ilvl w:val="0"/>
          <w:numId w:val="0"/>
        </w:numPr>
        <w:spacing w:line="240" w:lineRule="auto"/>
        <w:rPr>
          <w:rFonts w:ascii="Times New Roman" w:hAnsi="Times New Roman" w:cs="Times New Roman"/>
        </w:rPr>
      </w:pPr>
      <w:r>
        <w:rPr>
          <w:rFonts w:ascii="Times New Roman" w:hAnsi="Times New Roman" w:cs="Times New Roman"/>
          <w:b/>
          <w:bCs/>
        </w:rPr>
        <w:tab/>
      </w:r>
      <w:r w:rsidR="00EA1B94">
        <w:rPr>
          <w:rFonts w:ascii="Times New Roman" w:hAnsi="Times New Roman" w:cs="Times New Roman"/>
        </w:rPr>
        <w:t xml:space="preserve">For an informative article, </w:t>
      </w:r>
      <w:r w:rsidR="00EA1B94" w:rsidRPr="00535045">
        <w:rPr>
          <w:rFonts w:ascii="Times New Roman" w:hAnsi="Times New Roman" w:cs="Times New Roman"/>
          <w:i/>
          <w:iCs/>
        </w:rPr>
        <w:t>see</w:t>
      </w:r>
      <w:r w:rsidR="00EA1B94">
        <w:rPr>
          <w:rFonts w:ascii="Times New Roman" w:hAnsi="Times New Roman" w:cs="Times New Roman"/>
        </w:rPr>
        <w:t xml:space="preserve"> Joel R. Brandes, “Res Judicata and Collateral Estoppel in Matrimonial Actions,” </w:t>
      </w:r>
      <w:r w:rsidR="00EA1B94" w:rsidRPr="009B6664">
        <w:rPr>
          <w:rFonts w:ascii="Times New Roman" w:hAnsi="Times New Roman" w:cs="Times New Roman"/>
          <w:i/>
          <w:iCs/>
        </w:rPr>
        <w:t>NY Law Journal</w:t>
      </w:r>
      <w:r w:rsidR="00EA1B94">
        <w:rPr>
          <w:rFonts w:ascii="Times New Roman" w:hAnsi="Times New Roman" w:cs="Times New Roman"/>
        </w:rPr>
        <w:t>, Mar. 3, 2026.</w:t>
      </w:r>
    </w:p>
    <w:p w14:paraId="20FE5A51" w14:textId="77777777" w:rsidR="00A50142" w:rsidRDefault="00A50142" w:rsidP="0039601B">
      <w:pPr>
        <w:pStyle w:val="Heading2"/>
        <w:numPr>
          <w:ilvl w:val="0"/>
          <w:numId w:val="0"/>
        </w:numPr>
        <w:spacing w:line="240" w:lineRule="auto"/>
        <w:rPr>
          <w:rFonts w:ascii="Times New Roman" w:hAnsi="Times New Roman" w:cs="Times New Roman"/>
        </w:rPr>
      </w:pPr>
    </w:p>
    <w:p w14:paraId="7B2B000D" w14:textId="1AC12F06" w:rsidR="00A50142" w:rsidRDefault="00A50142" w:rsidP="0039601B">
      <w:pPr>
        <w:pStyle w:val="Heading2"/>
        <w:numPr>
          <w:ilvl w:val="0"/>
          <w:numId w:val="0"/>
        </w:numPr>
        <w:spacing w:line="240" w:lineRule="auto"/>
        <w:rPr>
          <w:rFonts w:ascii="Times New Roman" w:hAnsi="Times New Roman" w:cs="Times New Roman"/>
          <w:b/>
          <w:bCs/>
        </w:rPr>
      </w:pPr>
      <w:r w:rsidRPr="00A50142">
        <w:rPr>
          <w:rFonts w:ascii="Times New Roman" w:hAnsi="Times New Roman" w:cs="Times New Roman"/>
          <w:b/>
          <w:bCs/>
        </w:rPr>
        <w:t>Procedure – Sanctions – Counsel Fees - Nearly Identical Proceedings in IL and NY</w:t>
      </w:r>
    </w:p>
    <w:p w14:paraId="7B6DC7A0" w14:textId="77777777" w:rsidR="00A50142" w:rsidRDefault="00A50142" w:rsidP="0039601B">
      <w:pPr>
        <w:pStyle w:val="Heading2"/>
        <w:numPr>
          <w:ilvl w:val="0"/>
          <w:numId w:val="0"/>
        </w:numPr>
        <w:spacing w:line="240" w:lineRule="auto"/>
        <w:rPr>
          <w:rFonts w:ascii="Times New Roman" w:hAnsi="Times New Roman" w:cs="Times New Roman"/>
          <w:b/>
          <w:bCs/>
        </w:rPr>
      </w:pPr>
    </w:p>
    <w:p w14:paraId="5FE93A0E" w14:textId="74F81E6B" w:rsidR="00A50142" w:rsidRDefault="00A50142" w:rsidP="00A50142">
      <w:pPr>
        <w:pStyle w:val="Heading2"/>
        <w:numPr>
          <w:ilvl w:val="0"/>
          <w:numId w:val="0"/>
        </w:numPr>
        <w:spacing w:line="240" w:lineRule="auto"/>
        <w:jc w:val="both"/>
        <w:rPr>
          <w:rFonts w:ascii="Times New Roman" w:hAnsi="Times New Roman" w:cs="Times New Roman"/>
        </w:rPr>
      </w:pPr>
      <w:r>
        <w:rPr>
          <w:rFonts w:ascii="Times New Roman" w:hAnsi="Times New Roman" w:cs="Times New Roman"/>
          <w:b/>
          <w:bCs/>
        </w:rPr>
        <w:tab/>
      </w:r>
      <w:r>
        <w:rPr>
          <w:rFonts w:ascii="Times New Roman" w:hAnsi="Times New Roman" w:cs="Times New Roman"/>
        </w:rPr>
        <w:t xml:space="preserve">In </w:t>
      </w:r>
      <w:r w:rsidRPr="00A50142">
        <w:rPr>
          <w:rFonts w:ascii="Times New Roman" w:hAnsi="Times New Roman" w:cs="Times New Roman"/>
          <w:b/>
          <w:bCs/>
          <w:i/>
          <w:iCs/>
        </w:rPr>
        <w:t>Darras v. Darras</w:t>
      </w:r>
      <w:r>
        <w:rPr>
          <w:rFonts w:ascii="Times New Roman" w:hAnsi="Times New Roman" w:cs="Times New Roman"/>
        </w:rPr>
        <w:t>, 2026 Westlaw</w:t>
      </w:r>
      <w:r w:rsidR="00E334DD">
        <w:rPr>
          <w:rFonts w:ascii="Times New Roman" w:hAnsi="Times New Roman" w:cs="Times New Roman"/>
        </w:rPr>
        <w:t xml:space="preserve"> 848480</w:t>
      </w:r>
      <w:r>
        <w:rPr>
          <w:rFonts w:ascii="Times New Roman" w:hAnsi="Times New Roman" w:cs="Times New Roman"/>
        </w:rPr>
        <w:t xml:space="preserve"> (2d Dept. Mar. 25, 2026), the former wife (wife) appealed from an April 2024 Supreme Court order, which granted the former husband’s (husband’s) cross-motion and awarded him $2,500 in counsel fees as a sanction pursuant to 22 NYCRR 130-1.1. The parties were divorced by a July 2020 judgment which incorporated a December 2019 stipulation. In April 2022, the wife filed a motion in an Illinois Court, seeking to compel the husband to fulfill certain stipulated obligations. In August 2023, the wife filed a motion in Supreme Court, seeking to hold the husband in contempt for not complying with certain stipulated obligations. The husband’s attorney then provided the wife’s attorney with evidence that the wife’s contempt motion “was frivolous and that all of her claims has been resolved either prior to or during the Illinois litigation.” The wife did not withdraw the contempt motion and the husband cross-moved for counsel fees as a sanction. The Second Department affirmed, holding that Supreme Court properly granted imposed the sanction “based on the frivolous conduct of the [wife] in bringing and prosecuting nearly identical proceedings in Illinois and New York (citation omitted) and by continuing to pursue a motion after [she] and her attorney became aware that the factual predicate for the requested relief no longer existed (citation omitted).”</w:t>
      </w:r>
    </w:p>
    <w:p w14:paraId="782CEC95" w14:textId="66B93CDF" w:rsidR="00BF67C7" w:rsidRPr="0089226B" w:rsidRDefault="00BF67C7" w:rsidP="0039601B">
      <w:pPr>
        <w:pStyle w:val="Heading2"/>
        <w:numPr>
          <w:ilvl w:val="0"/>
          <w:numId w:val="0"/>
        </w:numPr>
        <w:spacing w:line="240" w:lineRule="auto"/>
        <w:jc w:val="both"/>
      </w:pPr>
    </w:p>
    <w:p w14:paraId="7D099A19" w14:textId="598BAA68" w:rsidR="004F34EE" w:rsidRPr="00A43A59" w:rsidRDefault="005664BA" w:rsidP="00AA33D7">
      <w:pPr>
        <w:pStyle w:val="Heading2"/>
        <w:numPr>
          <w:ilvl w:val="0"/>
          <w:numId w:val="0"/>
        </w:numPr>
        <w:jc w:val="both"/>
        <w:rPr>
          <w:rFonts w:ascii="Times New Roman" w:hAnsi="Times New Roman" w:cs="Times New Roman"/>
          <w:b/>
          <w:bCs/>
          <w:u w:val="single"/>
        </w:rPr>
      </w:pPr>
      <w:r w:rsidRPr="00A43A59">
        <w:rPr>
          <w:rFonts w:ascii="Times New Roman" w:hAnsi="Times New Roman" w:cs="Times New Roman"/>
          <w:b/>
          <w:bCs/>
          <w:u w:val="single"/>
        </w:rPr>
        <w:t>LEGISLATIVE AND COURT RULE ITEMS</w:t>
      </w:r>
    </w:p>
    <w:p w14:paraId="4040C925" w14:textId="77777777" w:rsidR="005664BA" w:rsidRPr="00A80B86" w:rsidRDefault="005664BA" w:rsidP="005664BA">
      <w:pPr>
        <w:pStyle w:val="Heading2"/>
        <w:numPr>
          <w:ilvl w:val="0"/>
          <w:numId w:val="0"/>
        </w:numPr>
        <w:rPr>
          <w:b/>
          <w:bCs/>
        </w:rPr>
      </w:pPr>
      <w:r>
        <w:rPr>
          <w:rFonts w:ascii="Times New Roman" w:hAnsi="Times New Roman" w:cs="Times New Roman"/>
          <w:b/>
          <w:bCs/>
        </w:rPr>
        <w:t>Coercive Control – Proposed Legislation and Article</w:t>
      </w:r>
    </w:p>
    <w:p w14:paraId="21471D6E" w14:textId="30B7A0D4" w:rsidR="005664BA" w:rsidRDefault="005664BA" w:rsidP="007A5AC3">
      <w:pPr>
        <w:pStyle w:val="Heading2"/>
        <w:numPr>
          <w:ilvl w:val="0"/>
          <w:numId w:val="0"/>
        </w:numPr>
        <w:spacing w:line="240" w:lineRule="auto"/>
        <w:jc w:val="both"/>
        <w:rPr>
          <w:rFonts w:ascii="Times New Roman" w:hAnsi="Times New Roman" w:cs="Times New Roman"/>
        </w:rPr>
      </w:pPr>
      <w:bookmarkStart w:id="3" w:name="_Hlk224506008"/>
      <w:r>
        <w:rPr>
          <w:rFonts w:ascii="Times New Roman" w:hAnsi="Times New Roman" w:cs="Times New Roman"/>
        </w:rPr>
        <w:tab/>
      </w:r>
      <w:r w:rsidRPr="004371FD">
        <w:rPr>
          <w:rFonts w:ascii="Times New Roman" w:hAnsi="Times New Roman" w:cs="Times New Roman"/>
        </w:rPr>
        <w:t xml:space="preserve">A.09551/S.08633 </w:t>
      </w:r>
      <w:r w:rsidRPr="004371FD">
        <w:rPr>
          <w:rFonts w:ascii="Times New Roman" w:hAnsi="Times New Roman" w:cs="Times New Roman"/>
          <w:b/>
          <w:bCs/>
          <w:u w:val="single"/>
        </w:rPr>
        <w:t>would amend</w:t>
      </w:r>
      <w:r w:rsidRPr="004371FD">
        <w:rPr>
          <w:rFonts w:ascii="Times New Roman" w:hAnsi="Times New Roman" w:cs="Times New Roman"/>
        </w:rPr>
        <w:t xml:space="preserve"> various provisions of the family court act, the criminal procedure law, the judiciary law, the general obligations law and the domestic relations law, in relation to coercive control. According to the Assembly supporting memo, the </w:t>
      </w:r>
      <w:r>
        <w:rPr>
          <w:rFonts w:ascii="Times New Roman" w:hAnsi="Times New Roman" w:cs="Times New Roman"/>
        </w:rPr>
        <w:t xml:space="preserve">bill </w:t>
      </w:r>
      <w:r w:rsidRPr="004371FD">
        <w:rPr>
          <w:rFonts w:ascii="Times New Roman" w:hAnsi="Times New Roman" w:cs="Times New Roman"/>
        </w:rPr>
        <w:t>“provides courts with clear authority to identify and</w:t>
      </w:r>
      <w:r w:rsidRPr="0065024B">
        <w:rPr>
          <w:rFonts w:ascii="Times New Roman" w:hAnsi="Times New Roman" w:cs="Times New Roman"/>
        </w:rPr>
        <w:t xml:space="preserve"> </w:t>
      </w:r>
      <w:r w:rsidRPr="004371FD">
        <w:rPr>
          <w:rFonts w:ascii="Times New Roman" w:hAnsi="Times New Roman" w:cs="Times New Roman"/>
        </w:rPr>
        <w:t>respond to such patterns, strengthens protections for survivors and</w:t>
      </w:r>
      <w:r w:rsidRPr="0065024B">
        <w:rPr>
          <w:rFonts w:ascii="Times New Roman" w:hAnsi="Times New Roman" w:cs="Times New Roman"/>
        </w:rPr>
        <w:t xml:space="preserve"> </w:t>
      </w:r>
      <w:r w:rsidRPr="004371FD">
        <w:rPr>
          <w:rFonts w:ascii="Times New Roman" w:hAnsi="Times New Roman" w:cs="Times New Roman"/>
        </w:rPr>
        <w:t>children, and creates a civil remedy to address the real economic and</w:t>
      </w:r>
      <w:r w:rsidRPr="0065024B">
        <w:rPr>
          <w:rFonts w:ascii="Times New Roman" w:hAnsi="Times New Roman" w:cs="Times New Roman"/>
        </w:rPr>
        <w:t xml:space="preserve"> </w:t>
      </w:r>
      <w:r w:rsidRPr="004371FD">
        <w:rPr>
          <w:rFonts w:ascii="Times New Roman" w:hAnsi="Times New Roman" w:cs="Times New Roman"/>
        </w:rPr>
        <w:t>personal harm caused by coercive control</w:t>
      </w:r>
      <w:r w:rsidRPr="0065024B">
        <w:rPr>
          <w:rFonts w:ascii="Times New Roman" w:hAnsi="Times New Roman" w:cs="Times New Roman"/>
        </w:rPr>
        <w:t xml:space="preserve">” and “establishes a single, uniform definition of coercive control in </w:t>
      </w:r>
      <w:r w:rsidRPr="004371FD">
        <w:rPr>
          <w:rFonts w:ascii="Times New Roman" w:hAnsi="Times New Roman" w:cs="Times New Roman"/>
        </w:rPr>
        <w:t>the Family Court Act and incorporates that definition across related</w:t>
      </w:r>
      <w:r w:rsidRPr="0065024B">
        <w:rPr>
          <w:rFonts w:ascii="Times New Roman" w:hAnsi="Times New Roman" w:cs="Times New Roman"/>
        </w:rPr>
        <w:t xml:space="preserve"> </w:t>
      </w:r>
      <w:r w:rsidRPr="004371FD">
        <w:rPr>
          <w:rFonts w:ascii="Times New Roman" w:hAnsi="Times New Roman" w:cs="Times New Roman"/>
        </w:rPr>
        <w:t>statutes. It adds coercive control to the list of family offenses for</w:t>
      </w:r>
      <w:r w:rsidRPr="0065024B">
        <w:rPr>
          <w:rFonts w:ascii="Times New Roman" w:hAnsi="Times New Roman" w:cs="Times New Roman"/>
        </w:rPr>
        <w:t xml:space="preserve"> </w:t>
      </w:r>
      <w:r w:rsidRPr="004371FD">
        <w:rPr>
          <w:rFonts w:ascii="Times New Roman" w:hAnsi="Times New Roman" w:cs="Times New Roman"/>
        </w:rPr>
        <w:t>which Family Court may issue orders of protection and authorizes such</w:t>
      </w:r>
      <w:r w:rsidRPr="0065024B">
        <w:rPr>
          <w:rFonts w:ascii="Times New Roman" w:hAnsi="Times New Roman" w:cs="Times New Roman"/>
        </w:rPr>
        <w:t xml:space="preserve"> </w:t>
      </w:r>
      <w:r w:rsidRPr="004371FD">
        <w:rPr>
          <w:rFonts w:ascii="Times New Roman" w:hAnsi="Times New Roman" w:cs="Times New Roman"/>
        </w:rPr>
        <w:t>orders in matrimonial actions. The bill requires courts to consider</w:t>
      </w:r>
      <w:r w:rsidRPr="0065024B">
        <w:rPr>
          <w:rFonts w:ascii="Times New Roman" w:hAnsi="Times New Roman" w:cs="Times New Roman"/>
        </w:rPr>
        <w:t xml:space="preserve"> </w:t>
      </w:r>
      <w:r w:rsidRPr="004371FD">
        <w:rPr>
          <w:rFonts w:ascii="Times New Roman" w:hAnsi="Times New Roman" w:cs="Times New Roman"/>
        </w:rPr>
        <w:t>evidence of coercive control when making child custody and visitation</w:t>
      </w:r>
      <w:r w:rsidRPr="0065024B">
        <w:rPr>
          <w:rFonts w:ascii="Times New Roman" w:hAnsi="Times New Roman" w:cs="Times New Roman"/>
        </w:rPr>
        <w:t xml:space="preserve"> </w:t>
      </w:r>
      <w:proofErr w:type="gramStart"/>
      <w:r w:rsidRPr="004371FD">
        <w:rPr>
          <w:rFonts w:ascii="Times New Roman" w:hAnsi="Times New Roman" w:cs="Times New Roman"/>
        </w:rPr>
        <w:t>determination</w:t>
      </w:r>
      <w:r w:rsidR="00D21F56">
        <w:rPr>
          <w:rFonts w:ascii="Times New Roman" w:hAnsi="Times New Roman" w:cs="Times New Roman"/>
        </w:rPr>
        <w:t>s.”</w:t>
      </w:r>
      <w:proofErr w:type="gramEnd"/>
      <w:r w:rsidR="00D21F56">
        <w:rPr>
          <w:rFonts w:ascii="Times New Roman" w:hAnsi="Times New Roman" w:cs="Times New Roman"/>
        </w:rPr>
        <w:t xml:space="preserve"> </w:t>
      </w:r>
      <w:bookmarkStart w:id="4" w:name="_Hlk225497247"/>
      <w:r w:rsidR="00521884">
        <w:rPr>
          <w:rFonts w:ascii="Times New Roman" w:hAnsi="Times New Roman" w:cs="Times New Roman"/>
        </w:rPr>
        <w:t>The latest reported action on this legislation is</w:t>
      </w:r>
      <w:r>
        <w:rPr>
          <w:rFonts w:ascii="Times New Roman" w:hAnsi="Times New Roman" w:cs="Times New Roman"/>
        </w:rPr>
        <w:t xml:space="preserve"> </w:t>
      </w:r>
      <w:r w:rsidR="00D21F56">
        <w:rPr>
          <w:rFonts w:ascii="Times New Roman" w:hAnsi="Times New Roman" w:cs="Times New Roman"/>
        </w:rPr>
        <w:t>referral to the Assembly Judiciary and Senate Children and Families Committees.</w:t>
      </w:r>
      <w:bookmarkEnd w:id="4"/>
      <w:r w:rsidR="00D21F56">
        <w:rPr>
          <w:rFonts w:ascii="Times New Roman" w:hAnsi="Times New Roman" w:cs="Times New Roman"/>
        </w:rPr>
        <w:t xml:space="preserve"> </w:t>
      </w:r>
      <w:r w:rsidRPr="0065024B">
        <w:rPr>
          <w:rFonts w:ascii="Times New Roman" w:hAnsi="Times New Roman" w:cs="Times New Roman"/>
          <w:b/>
          <w:bCs/>
          <w:u w:val="single"/>
        </w:rPr>
        <w:t>For an informative article</w:t>
      </w:r>
      <w:r>
        <w:rPr>
          <w:rFonts w:ascii="Times New Roman" w:hAnsi="Times New Roman" w:cs="Times New Roman"/>
        </w:rPr>
        <w:t xml:space="preserve">, </w:t>
      </w:r>
      <w:r w:rsidRPr="00A80B86">
        <w:rPr>
          <w:rFonts w:ascii="Times New Roman" w:hAnsi="Times New Roman" w:cs="Times New Roman"/>
          <w:i/>
          <w:iCs/>
        </w:rPr>
        <w:t>see</w:t>
      </w:r>
      <w:r>
        <w:rPr>
          <w:rFonts w:ascii="Times New Roman" w:hAnsi="Times New Roman" w:cs="Times New Roman"/>
        </w:rPr>
        <w:t xml:space="preserve"> Elisa Reiter and Daniel Pollack, “Coercive Control: Emerging Legislation, Expert Testimony and Family Law,” </w:t>
      </w:r>
      <w:r w:rsidRPr="0065024B">
        <w:rPr>
          <w:rFonts w:ascii="Times New Roman" w:hAnsi="Times New Roman" w:cs="Times New Roman"/>
          <w:i/>
          <w:iCs/>
        </w:rPr>
        <w:t>NY Law Journal</w:t>
      </w:r>
      <w:r>
        <w:rPr>
          <w:rFonts w:ascii="Times New Roman" w:hAnsi="Times New Roman" w:cs="Times New Roman"/>
        </w:rPr>
        <w:t>, Mar. 12, 2026</w:t>
      </w:r>
      <w:bookmarkEnd w:id="3"/>
      <w:r>
        <w:rPr>
          <w:rFonts w:ascii="Times New Roman" w:hAnsi="Times New Roman" w:cs="Times New Roman"/>
        </w:rPr>
        <w:t>.</w:t>
      </w:r>
    </w:p>
    <w:p w14:paraId="56D78978" w14:textId="77777777" w:rsidR="007A5AC3" w:rsidRDefault="007A5AC3" w:rsidP="007A5AC3">
      <w:pPr>
        <w:pStyle w:val="Heading2"/>
        <w:numPr>
          <w:ilvl w:val="0"/>
          <w:numId w:val="0"/>
        </w:numPr>
        <w:spacing w:line="240" w:lineRule="auto"/>
        <w:jc w:val="both"/>
        <w:rPr>
          <w:rFonts w:ascii="Times New Roman" w:hAnsi="Times New Roman" w:cs="Times New Roman"/>
        </w:rPr>
      </w:pPr>
    </w:p>
    <w:p w14:paraId="0FC160D4" w14:textId="0FD02382" w:rsidR="007A5AC3" w:rsidRPr="007A5AC3" w:rsidRDefault="007A5AC3" w:rsidP="007A5AC3">
      <w:pPr>
        <w:pStyle w:val="Heading2"/>
        <w:numPr>
          <w:ilvl w:val="0"/>
          <w:numId w:val="0"/>
        </w:numPr>
        <w:spacing w:line="240" w:lineRule="auto"/>
        <w:jc w:val="both"/>
        <w:rPr>
          <w:rFonts w:ascii="Times New Roman" w:hAnsi="Times New Roman" w:cs="Times New Roman"/>
          <w:b/>
          <w:bCs/>
        </w:rPr>
      </w:pPr>
      <w:r w:rsidRPr="007A5AC3">
        <w:rPr>
          <w:rFonts w:ascii="Times New Roman" w:hAnsi="Times New Roman" w:cs="Times New Roman"/>
          <w:b/>
          <w:bCs/>
        </w:rPr>
        <w:t>Statement of Net Worth – New Form – Article</w:t>
      </w:r>
    </w:p>
    <w:p w14:paraId="51AE4B14" w14:textId="77777777" w:rsidR="007A5AC3" w:rsidRDefault="007A5AC3" w:rsidP="007A5AC3">
      <w:pPr>
        <w:pStyle w:val="Heading2"/>
        <w:numPr>
          <w:ilvl w:val="0"/>
          <w:numId w:val="0"/>
        </w:numPr>
        <w:spacing w:line="240" w:lineRule="auto"/>
        <w:jc w:val="both"/>
        <w:rPr>
          <w:rFonts w:ascii="Times New Roman" w:hAnsi="Times New Roman" w:cs="Times New Roman"/>
        </w:rPr>
      </w:pPr>
    </w:p>
    <w:p w14:paraId="6E42584F" w14:textId="019749D1" w:rsidR="007A5AC3" w:rsidRPr="005664BA" w:rsidRDefault="007A5AC3" w:rsidP="007A5AC3">
      <w:pPr>
        <w:pStyle w:val="Heading2"/>
        <w:numPr>
          <w:ilvl w:val="0"/>
          <w:numId w:val="0"/>
        </w:numPr>
        <w:spacing w:line="240" w:lineRule="auto"/>
        <w:jc w:val="both"/>
        <w:rPr>
          <w:rFonts w:ascii="Times New Roman" w:hAnsi="Times New Roman" w:cs="Times New Roman"/>
          <w:b/>
          <w:bCs/>
        </w:rPr>
      </w:pPr>
      <w:r>
        <w:rPr>
          <w:rFonts w:ascii="Times New Roman" w:hAnsi="Times New Roman" w:cs="Times New Roman"/>
        </w:rPr>
        <w:tab/>
      </w:r>
      <w:r w:rsidRPr="005370D3">
        <w:rPr>
          <w:rFonts w:ascii="Times New Roman" w:hAnsi="Times New Roman" w:cs="Times New Roman"/>
          <w:b/>
          <w:bCs/>
          <w:u w:val="single"/>
        </w:rPr>
        <w:t>For an informative article</w:t>
      </w:r>
      <w:r>
        <w:rPr>
          <w:rFonts w:ascii="Times New Roman" w:hAnsi="Times New Roman" w:cs="Times New Roman"/>
        </w:rPr>
        <w:t xml:space="preserve">, </w:t>
      </w:r>
      <w:r w:rsidRPr="00264D21">
        <w:rPr>
          <w:rFonts w:ascii="Times New Roman" w:hAnsi="Times New Roman" w:cs="Times New Roman"/>
          <w:i/>
          <w:iCs/>
        </w:rPr>
        <w:t>see</w:t>
      </w:r>
      <w:r>
        <w:rPr>
          <w:rFonts w:ascii="Times New Roman" w:hAnsi="Times New Roman" w:cs="Times New Roman"/>
        </w:rPr>
        <w:t xml:space="preserve"> Neha Choudary, “Crypto Meets Matrimony: New York Updates Divorce Financial Forms to Catch Up </w:t>
      </w:r>
      <w:r w:rsidR="0062357A">
        <w:rPr>
          <w:rFonts w:ascii="Times New Roman" w:hAnsi="Times New Roman" w:cs="Times New Roman"/>
        </w:rPr>
        <w:t>with</w:t>
      </w:r>
      <w:r>
        <w:rPr>
          <w:rFonts w:ascii="Times New Roman" w:hAnsi="Times New Roman" w:cs="Times New Roman"/>
        </w:rPr>
        <w:t xml:space="preserve"> the Digital Economy,” </w:t>
      </w:r>
      <w:r w:rsidRPr="00264D21">
        <w:rPr>
          <w:rFonts w:ascii="Times New Roman" w:hAnsi="Times New Roman" w:cs="Times New Roman"/>
          <w:i/>
          <w:iCs/>
        </w:rPr>
        <w:t>NY Law Journal</w:t>
      </w:r>
      <w:r>
        <w:rPr>
          <w:rFonts w:ascii="Times New Roman" w:hAnsi="Times New Roman" w:cs="Times New Roman"/>
        </w:rPr>
        <w:t>, Mar. 18, 2026.</w:t>
      </w:r>
    </w:p>
    <w:sectPr w:rsidR="007A5AC3" w:rsidRPr="005664BA" w:rsidSect="0000028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ABD8E" w14:textId="77777777" w:rsidR="00990D77" w:rsidRDefault="00990D77" w:rsidP="0013568D">
      <w:pPr>
        <w:spacing w:after="0" w:line="240" w:lineRule="auto"/>
      </w:pPr>
      <w:r>
        <w:separator/>
      </w:r>
    </w:p>
  </w:endnote>
  <w:endnote w:type="continuationSeparator" w:id="0">
    <w:p w14:paraId="79ADBE33" w14:textId="77777777" w:rsidR="00990D77" w:rsidRDefault="00990D77" w:rsidP="001356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tencil">
    <w:panose1 w:val="040409050D0802020404"/>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6533471"/>
      <w:docPartObj>
        <w:docPartGallery w:val="Page Numbers (Bottom of Page)"/>
        <w:docPartUnique/>
      </w:docPartObj>
    </w:sdtPr>
    <w:sdtEndPr/>
    <w:sdtContent>
      <w:sdt>
        <w:sdtPr>
          <w:id w:val="-1769616900"/>
          <w:docPartObj>
            <w:docPartGallery w:val="Page Numbers (Top of Page)"/>
            <w:docPartUnique/>
          </w:docPartObj>
        </w:sdtPr>
        <w:sdtEndPr/>
        <w:sdtContent>
          <w:p w14:paraId="550BA402" w14:textId="6C3CAC6C" w:rsidR="0013568D" w:rsidRDefault="002515FB">
            <w:pPr>
              <w:pStyle w:val="Footer"/>
              <w:jc w:val="right"/>
            </w:pPr>
            <w:r w:rsidRPr="002515FB">
              <w:rPr>
                <w:b/>
                <w:bCs/>
                <w:i/>
                <w:iCs/>
              </w:rPr>
              <w:t>NYSBA Family Law Section Update</w:t>
            </w:r>
            <w:r w:rsidR="00434674" w:rsidRPr="00351E36">
              <w:rPr>
                <w:b/>
                <w:bCs/>
                <w:i/>
                <w:iCs/>
              </w:rPr>
              <w:t>,</w:t>
            </w:r>
            <w:r w:rsidR="00013D0E" w:rsidRPr="00351E36">
              <w:rPr>
                <w:b/>
                <w:bCs/>
                <w:i/>
                <w:iCs/>
              </w:rPr>
              <w:t xml:space="preserve"> </w:t>
            </w:r>
            <w:r w:rsidR="00C035DA">
              <w:rPr>
                <w:b/>
                <w:bCs/>
                <w:i/>
                <w:iCs/>
              </w:rPr>
              <w:t>April</w:t>
            </w:r>
            <w:r w:rsidR="00CA063D">
              <w:rPr>
                <w:b/>
                <w:bCs/>
                <w:i/>
                <w:iCs/>
              </w:rPr>
              <w:t xml:space="preserve"> </w:t>
            </w:r>
            <w:r w:rsidR="00013D0E" w:rsidRPr="00351E36">
              <w:rPr>
                <w:b/>
                <w:bCs/>
                <w:i/>
                <w:iCs/>
              </w:rPr>
              <w:t>202</w:t>
            </w:r>
            <w:r w:rsidR="00445087">
              <w:rPr>
                <w:b/>
                <w:bCs/>
                <w:i/>
                <w:iCs/>
              </w:rPr>
              <w:t>6</w:t>
            </w:r>
            <w:r w:rsidR="00434674">
              <w:t xml:space="preserve">        </w:t>
            </w:r>
            <w:r w:rsidR="0013568D">
              <w:t xml:space="preserve">Page </w:t>
            </w:r>
            <w:r w:rsidR="0013568D">
              <w:rPr>
                <w:b/>
                <w:bCs/>
                <w:sz w:val="24"/>
                <w:szCs w:val="24"/>
              </w:rPr>
              <w:fldChar w:fldCharType="begin"/>
            </w:r>
            <w:r w:rsidR="0013568D">
              <w:rPr>
                <w:b/>
                <w:bCs/>
              </w:rPr>
              <w:instrText xml:space="preserve"> PAGE </w:instrText>
            </w:r>
            <w:r w:rsidR="0013568D">
              <w:rPr>
                <w:b/>
                <w:bCs/>
                <w:sz w:val="24"/>
                <w:szCs w:val="24"/>
              </w:rPr>
              <w:fldChar w:fldCharType="separate"/>
            </w:r>
            <w:r w:rsidR="0013568D">
              <w:rPr>
                <w:b/>
                <w:bCs/>
                <w:noProof/>
              </w:rPr>
              <w:t>2</w:t>
            </w:r>
            <w:r w:rsidR="0013568D">
              <w:rPr>
                <w:b/>
                <w:bCs/>
                <w:sz w:val="24"/>
                <w:szCs w:val="24"/>
              </w:rPr>
              <w:fldChar w:fldCharType="end"/>
            </w:r>
            <w:r w:rsidR="0013568D">
              <w:t xml:space="preserve"> of </w:t>
            </w:r>
            <w:r w:rsidR="0013568D">
              <w:rPr>
                <w:b/>
                <w:bCs/>
                <w:sz w:val="24"/>
                <w:szCs w:val="24"/>
              </w:rPr>
              <w:fldChar w:fldCharType="begin"/>
            </w:r>
            <w:r w:rsidR="0013568D">
              <w:rPr>
                <w:b/>
                <w:bCs/>
              </w:rPr>
              <w:instrText xml:space="preserve"> NUMPAGES  </w:instrText>
            </w:r>
            <w:r w:rsidR="0013568D">
              <w:rPr>
                <w:b/>
                <w:bCs/>
                <w:sz w:val="24"/>
                <w:szCs w:val="24"/>
              </w:rPr>
              <w:fldChar w:fldCharType="separate"/>
            </w:r>
            <w:r w:rsidR="0013568D">
              <w:rPr>
                <w:b/>
                <w:bCs/>
                <w:noProof/>
              </w:rPr>
              <w:t>2</w:t>
            </w:r>
            <w:r w:rsidR="0013568D">
              <w:rPr>
                <w:b/>
                <w:bCs/>
                <w:sz w:val="24"/>
                <w:szCs w:val="24"/>
              </w:rPr>
              <w:fldChar w:fldCharType="end"/>
            </w:r>
          </w:p>
        </w:sdtContent>
      </w:sdt>
    </w:sdtContent>
  </w:sdt>
  <w:p w14:paraId="1E4FB95E" w14:textId="77777777" w:rsidR="0013568D" w:rsidRDefault="001356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5DE0F" w14:textId="77777777" w:rsidR="00990D77" w:rsidRDefault="00990D77" w:rsidP="0013568D">
      <w:pPr>
        <w:spacing w:after="0" w:line="240" w:lineRule="auto"/>
      </w:pPr>
      <w:r>
        <w:separator/>
      </w:r>
    </w:p>
  </w:footnote>
  <w:footnote w:type="continuationSeparator" w:id="0">
    <w:p w14:paraId="2A7F13A2" w14:textId="77777777" w:rsidR="00990D77" w:rsidRDefault="00990D77" w:rsidP="001356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802E490"/>
    <w:name w:val="AutoList1"/>
    <w:lvl w:ilvl="0">
      <w:start w:val="1"/>
      <w:numFmt w:val="upperRoman"/>
      <w:pStyle w:val="Heading1"/>
      <w:lvlText w:val="%1."/>
      <w:lvlJc w:val="left"/>
      <w:rPr>
        <w:rFonts w:ascii="Courier New" w:hAnsi="Courier New" w:cs="Courier New" w:hint="default"/>
        <w:b/>
      </w:rPr>
    </w:lvl>
    <w:lvl w:ilvl="1">
      <w:start w:val="1"/>
      <w:numFmt w:val="upperLetter"/>
      <w:pStyle w:val="Heading2"/>
      <w:lvlText w:val="%2."/>
      <w:lvlJc w:val="left"/>
      <w:rPr>
        <w:b/>
        <w:i w:val="0"/>
        <w:sz w:val="24"/>
        <w:szCs w:val="24"/>
      </w:rPr>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num w:numId="1" w16cid:durableId="782381646">
    <w:abstractNumId w:val="0"/>
  </w:num>
  <w:num w:numId="2" w16cid:durableId="12019435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 w16cid:durableId="1882209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4" w16cid:durableId="13855253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5" w16cid:durableId="10170784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6" w16cid:durableId="17510036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7" w16cid:durableId="2006346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446"/>
    <w:rsid w:val="00000250"/>
    <w:rsid w:val="0000028D"/>
    <w:rsid w:val="00002FED"/>
    <w:rsid w:val="00013D0E"/>
    <w:rsid w:val="000254B3"/>
    <w:rsid w:val="00030E7B"/>
    <w:rsid w:val="000322B8"/>
    <w:rsid w:val="00032EA3"/>
    <w:rsid w:val="00033C3A"/>
    <w:rsid w:val="00037206"/>
    <w:rsid w:val="000404FD"/>
    <w:rsid w:val="00041C00"/>
    <w:rsid w:val="00047F89"/>
    <w:rsid w:val="000514B2"/>
    <w:rsid w:val="00051512"/>
    <w:rsid w:val="00052C0D"/>
    <w:rsid w:val="000540AA"/>
    <w:rsid w:val="000551E0"/>
    <w:rsid w:val="0005543C"/>
    <w:rsid w:val="000625A6"/>
    <w:rsid w:val="00062CD7"/>
    <w:rsid w:val="000654AE"/>
    <w:rsid w:val="00066217"/>
    <w:rsid w:val="00066226"/>
    <w:rsid w:val="000662E8"/>
    <w:rsid w:val="00066D9F"/>
    <w:rsid w:val="0006780C"/>
    <w:rsid w:val="000700E4"/>
    <w:rsid w:val="00070E30"/>
    <w:rsid w:val="00071082"/>
    <w:rsid w:val="00071B05"/>
    <w:rsid w:val="0007559B"/>
    <w:rsid w:val="00076A51"/>
    <w:rsid w:val="00076AAD"/>
    <w:rsid w:val="000772CB"/>
    <w:rsid w:val="000827AF"/>
    <w:rsid w:val="00085BF5"/>
    <w:rsid w:val="00091F6C"/>
    <w:rsid w:val="00093E1C"/>
    <w:rsid w:val="00096BC4"/>
    <w:rsid w:val="000A116B"/>
    <w:rsid w:val="000A6E42"/>
    <w:rsid w:val="000B032A"/>
    <w:rsid w:val="000B21E3"/>
    <w:rsid w:val="000B536B"/>
    <w:rsid w:val="000B64E3"/>
    <w:rsid w:val="000C5DFF"/>
    <w:rsid w:val="000D0CED"/>
    <w:rsid w:val="000D0EE5"/>
    <w:rsid w:val="000D110E"/>
    <w:rsid w:val="000D1406"/>
    <w:rsid w:val="000D2940"/>
    <w:rsid w:val="000D4808"/>
    <w:rsid w:val="000D69D6"/>
    <w:rsid w:val="000D6BCA"/>
    <w:rsid w:val="000D7ADC"/>
    <w:rsid w:val="000E242F"/>
    <w:rsid w:val="000F050B"/>
    <w:rsid w:val="000F1214"/>
    <w:rsid w:val="000F2339"/>
    <w:rsid w:val="000F286B"/>
    <w:rsid w:val="000F3158"/>
    <w:rsid w:val="000F3A58"/>
    <w:rsid w:val="000F47EE"/>
    <w:rsid w:val="0010284B"/>
    <w:rsid w:val="00105D6C"/>
    <w:rsid w:val="00107716"/>
    <w:rsid w:val="00110B69"/>
    <w:rsid w:val="00111B35"/>
    <w:rsid w:val="0011428F"/>
    <w:rsid w:val="00116A8B"/>
    <w:rsid w:val="001248D2"/>
    <w:rsid w:val="001270FF"/>
    <w:rsid w:val="0013228F"/>
    <w:rsid w:val="001334B5"/>
    <w:rsid w:val="00133775"/>
    <w:rsid w:val="00135004"/>
    <w:rsid w:val="0013568D"/>
    <w:rsid w:val="00137E75"/>
    <w:rsid w:val="0014019F"/>
    <w:rsid w:val="00142D95"/>
    <w:rsid w:val="00144E14"/>
    <w:rsid w:val="001611AD"/>
    <w:rsid w:val="001626DE"/>
    <w:rsid w:val="00162DC8"/>
    <w:rsid w:val="00164362"/>
    <w:rsid w:val="00164586"/>
    <w:rsid w:val="00166C26"/>
    <w:rsid w:val="00171E6E"/>
    <w:rsid w:val="001758DF"/>
    <w:rsid w:val="00177866"/>
    <w:rsid w:val="0018302A"/>
    <w:rsid w:val="00186704"/>
    <w:rsid w:val="001903F1"/>
    <w:rsid w:val="00191BDF"/>
    <w:rsid w:val="00191C80"/>
    <w:rsid w:val="00192EA0"/>
    <w:rsid w:val="00195367"/>
    <w:rsid w:val="00196B70"/>
    <w:rsid w:val="00197828"/>
    <w:rsid w:val="001A41F3"/>
    <w:rsid w:val="001A729B"/>
    <w:rsid w:val="001B09C1"/>
    <w:rsid w:val="001B1566"/>
    <w:rsid w:val="001B15E5"/>
    <w:rsid w:val="001B19AC"/>
    <w:rsid w:val="001B28C0"/>
    <w:rsid w:val="001B67A5"/>
    <w:rsid w:val="001C238D"/>
    <w:rsid w:val="001D2A73"/>
    <w:rsid w:val="001D32E2"/>
    <w:rsid w:val="001D3CE2"/>
    <w:rsid w:val="001D4E49"/>
    <w:rsid w:val="001D5634"/>
    <w:rsid w:val="001D5F96"/>
    <w:rsid w:val="001D7603"/>
    <w:rsid w:val="001E1071"/>
    <w:rsid w:val="001E5734"/>
    <w:rsid w:val="001E60EC"/>
    <w:rsid w:val="001E6ACC"/>
    <w:rsid w:val="001E6C91"/>
    <w:rsid w:val="001F1D15"/>
    <w:rsid w:val="001F1EAC"/>
    <w:rsid w:val="001F3A03"/>
    <w:rsid w:val="001F4407"/>
    <w:rsid w:val="001F4CBA"/>
    <w:rsid w:val="00200A25"/>
    <w:rsid w:val="00200D26"/>
    <w:rsid w:val="0020544D"/>
    <w:rsid w:val="00211262"/>
    <w:rsid w:val="00211575"/>
    <w:rsid w:val="00212037"/>
    <w:rsid w:val="002140D9"/>
    <w:rsid w:val="0021690E"/>
    <w:rsid w:val="00222428"/>
    <w:rsid w:val="00231ABD"/>
    <w:rsid w:val="002366B4"/>
    <w:rsid w:val="00236893"/>
    <w:rsid w:val="002418FB"/>
    <w:rsid w:val="002442F7"/>
    <w:rsid w:val="00245175"/>
    <w:rsid w:val="00250A16"/>
    <w:rsid w:val="00250F9D"/>
    <w:rsid w:val="002515FB"/>
    <w:rsid w:val="002527B6"/>
    <w:rsid w:val="002539EE"/>
    <w:rsid w:val="00255048"/>
    <w:rsid w:val="00260F81"/>
    <w:rsid w:val="00263553"/>
    <w:rsid w:val="002635EA"/>
    <w:rsid w:val="002640C3"/>
    <w:rsid w:val="00264B31"/>
    <w:rsid w:val="00264D9B"/>
    <w:rsid w:val="00264DB3"/>
    <w:rsid w:val="00265850"/>
    <w:rsid w:val="0026604F"/>
    <w:rsid w:val="00266CF4"/>
    <w:rsid w:val="00274E69"/>
    <w:rsid w:val="0027645F"/>
    <w:rsid w:val="00277304"/>
    <w:rsid w:val="00277940"/>
    <w:rsid w:val="002844E5"/>
    <w:rsid w:val="00285163"/>
    <w:rsid w:val="0028627A"/>
    <w:rsid w:val="00286DA7"/>
    <w:rsid w:val="002875C4"/>
    <w:rsid w:val="00287C90"/>
    <w:rsid w:val="0029176C"/>
    <w:rsid w:val="00293192"/>
    <w:rsid w:val="00295975"/>
    <w:rsid w:val="00296312"/>
    <w:rsid w:val="002A0635"/>
    <w:rsid w:val="002A378A"/>
    <w:rsid w:val="002A417E"/>
    <w:rsid w:val="002B2655"/>
    <w:rsid w:val="002B3C7F"/>
    <w:rsid w:val="002C0242"/>
    <w:rsid w:val="002C0F9A"/>
    <w:rsid w:val="002C1D9B"/>
    <w:rsid w:val="002C34BB"/>
    <w:rsid w:val="002C371B"/>
    <w:rsid w:val="002C38DD"/>
    <w:rsid w:val="002C408C"/>
    <w:rsid w:val="002C4256"/>
    <w:rsid w:val="002D194C"/>
    <w:rsid w:val="002D21B9"/>
    <w:rsid w:val="002D45D9"/>
    <w:rsid w:val="002D4C74"/>
    <w:rsid w:val="002D6348"/>
    <w:rsid w:val="002D78E1"/>
    <w:rsid w:val="002E01D4"/>
    <w:rsid w:val="002E2596"/>
    <w:rsid w:val="002F03B1"/>
    <w:rsid w:val="002F23FB"/>
    <w:rsid w:val="002F473E"/>
    <w:rsid w:val="002F50D8"/>
    <w:rsid w:val="002F7615"/>
    <w:rsid w:val="00302F0A"/>
    <w:rsid w:val="00303952"/>
    <w:rsid w:val="00304190"/>
    <w:rsid w:val="00316AE4"/>
    <w:rsid w:val="00316B46"/>
    <w:rsid w:val="003208C8"/>
    <w:rsid w:val="0032713C"/>
    <w:rsid w:val="00331173"/>
    <w:rsid w:val="003374BD"/>
    <w:rsid w:val="003415F7"/>
    <w:rsid w:val="00341AB2"/>
    <w:rsid w:val="003433C5"/>
    <w:rsid w:val="00344411"/>
    <w:rsid w:val="003463D5"/>
    <w:rsid w:val="00351E36"/>
    <w:rsid w:val="0035715C"/>
    <w:rsid w:val="00362AAA"/>
    <w:rsid w:val="0036502B"/>
    <w:rsid w:val="00365549"/>
    <w:rsid w:val="0037175C"/>
    <w:rsid w:val="00371823"/>
    <w:rsid w:val="00375AF9"/>
    <w:rsid w:val="00375E4B"/>
    <w:rsid w:val="00381CBC"/>
    <w:rsid w:val="0038342C"/>
    <w:rsid w:val="003861E9"/>
    <w:rsid w:val="00387D11"/>
    <w:rsid w:val="0039326A"/>
    <w:rsid w:val="0039379B"/>
    <w:rsid w:val="00393A13"/>
    <w:rsid w:val="0039601B"/>
    <w:rsid w:val="003A0196"/>
    <w:rsid w:val="003A3A37"/>
    <w:rsid w:val="003A4E0D"/>
    <w:rsid w:val="003A521A"/>
    <w:rsid w:val="003A58AF"/>
    <w:rsid w:val="003A73BE"/>
    <w:rsid w:val="003B1027"/>
    <w:rsid w:val="003B3D44"/>
    <w:rsid w:val="003B533E"/>
    <w:rsid w:val="003B7088"/>
    <w:rsid w:val="003C0C3C"/>
    <w:rsid w:val="003C2789"/>
    <w:rsid w:val="003C531D"/>
    <w:rsid w:val="003C5858"/>
    <w:rsid w:val="003D151D"/>
    <w:rsid w:val="003D2FB1"/>
    <w:rsid w:val="003D7C08"/>
    <w:rsid w:val="003E12C1"/>
    <w:rsid w:val="003E5A82"/>
    <w:rsid w:val="003E5E58"/>
    <w:rsid w:val="003F3EFE"/>
    <w:rsid w:val="003F4BBA"/>
    <w:rsid w:val="00401CF6"/>
    <w:rsid w:val="00402074"/>
    <w:rsid w:val="004027AB"/>
    <w:rsid w:val="00403DB6"/>
    <w:rsid w:val="004055E6"/>
    <w:rsid w:val="00405D6A"/>
    <w:rsid w:val="00406B54"/>
    <w:rsid w:val="00412122"/>
    <w:rsid w:val="00412E43"/>
    <w:rsid w:val="0042070D"/>
    <w:rsid w:val="0042173F"/>
    <w:rsid w:val="00423B86"/>
    <w:rsid w:val="00424D96"/>
    <w:rsid w:val="00426AAF"/>
    <w:rsid w:val="0043007A"/>
    <w:rsid w:val="00433165"/>
    <w:rsid w:val="00434674"/>
    <w:rsid w:val="00436002"/>
    <w:rsid w:val="00436C6A"/>
    <w:rsid w:val="004403EA"/>
    <w:rsid w:val="00441764"/>
    <w:rsid w:val="0044182D"/>
    <w:rsid w:val="00442B12"/>
    <w:rsid w:val="00442E95"/>
    <w:rsid w:val="00443DF1"/>
    <w:rsid w:val="00445087"/>
    <w:rsid w:val="00445701"/>
    <w:rsid w:val="00447881"/>
    <w:rsid w:val="00455A34"/>
    <w:rsid w:val="00456862"/>
    <w:rsid w:val="00460089"/>
    <w:rsid w:val="0046490D"/>
    <w:rsid w:val="00466410"/>
    <w:rsid w:val="00474065"/>
    <w:rsid w:val="004773F0"/>
    <w:rsid w:val="00480909"/>
    <w:rsid w:val="0048175B"/>
    <w:rsid w:val="00487D28"/>
    <w:rsid w:val="00490C4F"/>
    <w:rsid w:val="0049268A"/>
    <w:rsid w:val="004972D7"/>
    <w:rsid w:val="004A1A7F"/>
    <w:rsid w:val="004A26C8"/>
    <w:rsid w:val="004A40BC"/>
    <w:rsid w:val="004B1E3E"/>
    <w:rsid w:val="004B23DB"/>
    <w:rsid w:val="004B5BF7"/>
    <w:rsid w:val="004B6E26"/>
    <w:rsid w:val="004C11F7"/>
    <w:rsid w:val="004C1402"/>
    <w:rsid w:val="004C1B2A"/>
    <w:rsid w:val="004C6309"/>
    <w:rsid w:val="004C6FEA"/>
    <w:rsid w:val="004D122F"/>
    <w:rsid w:val="004D1831"/>
    <w:rsid w:val="004D1B2F"/>
    <w:rsid w:val="004D2AAD"/>
    <w:rsid w:val="004D348C"/>
    <w:rsid w:val="004D3CD1"/>
    <w:rsid w:val="004D5479"/>
    <w:rsid w:val="004E0119"/>
    <w:rsid w:val="004E02BA"/>
    <w:rsid w:val="004E304C"/>
    <w:rsid w:val="004E3DE2"/>
    <w:rsid w:val="004E578D"/>
    <w:rsid w:val="004F183D"/>
    <w:rsid w:val="004F1E58"/>
    <w:rsid w:val="004F2B31"/>
    <w:rsid w:val="004F34EE"/>
    <w:rsid w:val="0050045E"/>
    <w:rsid w:val="00503467"/>
    <w:rsid w:val="00504AA4"/>
    <w:rsid w:val="00521884"/>
    <w:rsid w:val="00523DA5"/>
    <w:rsid w:val="005244CF"/>
    <w:rsid w:val="005254EB"/>
    <w:rsid w:val="00525DC5"/>
    <w:rsid w:val="0052614B"/>
    <w:rsid w:val="00531535"/>
    <w:rsid w:val="00532B1B"/>
    <w:rsid w:val="00532BC6"/>
    <w:rsid w:val="00534D55"/>
    <w:rsid w:val="00534ECF"/>
    <w:rsid w:val="005409A9"/>
    <w:rsid w:val="00540FC7"/>
    <w:rsid w:val="005428A6"/>
    <w:rsid w:val="0054330B"/>
    <w:rsid w:val="00543D1C"/>
    <w:rsid w:val="00553AD2"/>
    <w:rsid w:val="005547A4"/>
    <w:rsid w:val="00557CD2"/>
    <w:rsid w:val="00561B60"/>
    <w:rsid w:val="005636F9"/>
    <w:rsid w:val="0056461A"/>
    <w:rsid w:val="005664BA"/>
    <w:rsid w:val="0057264C"/>
    <w:rsid w:val="00574051"/>
    <w:rsid w:val="00574618"/>
    <w:rsid w:val="005750C3"/>
    <w:rsid w:val="005764AE"/>
    <w:rsid w:val="005767B5"/>
    <w:rsid w:val="005834BD"/>
    <w:rsid w:val="0058461B"/>
    <w:rsid w:val="00587C83"/>
    <w:rsid w:val="00590397"/>
    <w:rsid w:val="00591B5A"/>
    <w:rsid w:val="00593428"/>
    <w:rsid w:val="005941DF"/>
    <w:rsid w:val="0059627F"/>
    <w:rsid w:val="0059679A"/>
    <w:rsid w:val="005A14E6"/>
    <w:rsid w:val="005A1C85"/>
    <w:rsid w:val="005A20B1"/>
    <w:rsid w:val="005A43BD"/>
    <w:rsid w:val="005A63C9"/>
    <w:rsid w:val="005B0F11"/>
    <w:rsid w:val="005B40E1"/>
    <w:rsid w:val="005B4A10"/>
    <w:rsid w:val="005C0C8C"/>
    <w:rsid w:val="005C3139"/>
    <w:rsid w:val="005C5D5A"/>
    <w:rsid w:val="005C75EE"/>
    <w:rsid w:val="005C7917"/>
    <w:rsid w:val="005D1A9A"/>
    <w:rsid w:val="005D528C"/>
    <w:rsid w:val="005D7B18"/>
    <w:rsid w:val="005E3BFD"/>
    <w:rsid w:val="005F11C0"/>
    <w:rsid w:val="005F4375"/>
    <w:rsid w:val="005F4E5A"/>
    <w:rsid w:val="005F523E"/>
    <w:rsid w:val="005F53C7"/>
    <w:rsid w:val="006001EC"/>
    <w:rsid w:val="006008DC"/>
    <w:rsid w:val="006041F0"/>
    <w:rsid w:val="00604BBE"/>
    <w:rsid w:val="006074D7"/>
    <w:rsid w:val="00617452"/>
    <w:rsid w:val="006207B6"/>
    <w:rsid w:val="0062357A"/>
    <w:rsid w:val="006244B6"/>
    <w:rsid w:val="00624BFB"/>
    <w:rsid w:val="006250E1"/>
    <w:rsid w:val="00626431"/>
    <w:rsid w:val="006268E6"/>
    <w:rsid w:val="006275BD"/>
    <w:rsid w:val="00631D12"/>
    <w:rsid w:val="00631E50"/>
    <w:rsid w:val="00632DF8"/>
    <w:rsid w:val="00633F7B"/>
    <w:rsid w:val="0063482D"/>
    <w:rsid w:val="00637907"/>
    <w:rsid w:val="0064076C"/>
    <w:rsid w:val="0064131D"/>
    <w:rsid w:val="00641967"/>
    <w:rsid w:val="006446D9"/>
    <w:rsid w:val="00646820"/>
    <w:rsid w:val="006503C8"/>
    <w:rsid w:val="00652EDA"/>
    <w:rsid w:val="00653C6D"/>
    <w:rsid w:val="00654971"/>
    <w:rsid w:val="00655DF5"/>
    <w:rsid w:val="00660DA3"/>
    <w:rsid w:val="0066211F"/>
    <w:rsid w:val="00662C8E"/>
    <w:rsid w:val="00673005"/>
    <w:rsid w:val="00674FBC"/>
    <w:rsid w:val="006768D4"/>
    <w:rsid w:val="0067755D"/>
    <w:rsid w:val="00681041"/>
    <w:rsid w:val="00681FF3"/>
    <w:rsid w:val="00682416"/>
    <w:rsid w:val="00682F58"/>
    <w:rsid w:val="00684C18"/>
    <w:rsid w:val="00686C98"/>
    <w:rsid w:val="00687A35"/>
    <w:rsid w:val="006909C0"/>
    <w:rsid w:val="00690AAF"/>
    <w:rsid w:val="00691C58"/>
    <w:rsid w:val="006930CE"/>
    <w:rsid w:val="00693AB6"/>
    <w:rsid w:val="00695392"/>
    <w:rsid w:val="00696AF5"/>
    <w:rsid w:val="006976EF"/>
    <w:rsid w:val="006976F6"/>
    <w:rsid w:val="0069775F"/>
    <w:rsid w:val="006A1E72"/>
    <w:rsid w:val="006A51E4"/>
    <w:rsid w:val="006A543B"/>
    <w:rsid w:val="006A5A7F"/>
    <w:rsid w:val="006B4BE8"/>
    <w:rsid w:val="006B7D1D"/>
    <w:rsid w:val="006C650A"/>
    <w:rsid w:val="006D0E76"/>
    <w:rsid w:val="006D181B"/>
    <w:rsid w:val="006E457A"/>
    <w:rsid w:val="006E4AE6"/>
    <w:rsid w:val="006E5D5C"/>
    <w:rsid w:val="006E64B0"/>
    <w:rsid w:val="006F28E2"/>
    <w:rsid w:val="006F2B5D"/>
    <w:rsid w:val="006F39E4"/>
    <w:rsid w:val="006F4972"/>
    <w:rsid w:val="006F6113"/>
    <w:rsid w:val="00704457"/>
    <w:rsid w:val="0070449D"/>
    <w:rsid w:val="007058D9"/>
    <w:rsid w:val="00711785"/>
    <w:rsid w:val="00712602"/>
    <w:rsid w:val="00713918"/>
    <w:rsid w:val="007165EB"/>
    <w:rsid w:val="00722019"/>
    <w:rsid w:val="00722A55"/>
    <w:rsid w:val="00724D2F"/>
    <w:rsid w:val="00725AFA"/>
    <w:rsid w:val="007261F7"/>
    <w:rsid w:val="00726C77"/>
    <w:rsid w:val="00727088"/>
    <w:rsid w:val="007333D3"/>
    <w:rsid w:val="00734B55"/>
    <w:rsid w:val="00741F62"/>
    <w:rsid w:val="00743824"/>
    <w:rsid w:val="00743A4B"/>
    <w:rsid w:val="007479BB"/>
    <w:rsid w:val="00750118"/>
    <w:rsid w:val="00750B3D"/>
    <w:rsid w:val="00752151"/>
    <w:rsid w:val="007522E2"/>
    <w:rsid w:val="00753F42"/>
    <w:rsid w:val="00754F0F"/>
    <w:rsid w:val="00755DD0"/>
    <w:rsid w:val="0075779E"/>
    <w:rsid w:val="007604D9"/>
    <w:rsid w:val="007627B6"/>
    <w:rsid w:val="00772BC3"/>
    <w:rsid w:val="0077356F"/>
    <w:rsid w:val="007741D3"/>
    <w:rsid w:val="00774719"/>
    <w:rsid w:val="0077478E"/>
    <w:rsid w:val="007773D2"/>
    <w:rsid w:val="00783A91"/>
    <w:rsid w:val="00783B98"/>
    <w:rsid w:val="00792C72"/>
    <w:rsid w:val="00793B25"/>
    <w:rsid w:val="0079413E"/>
    <w:rsid w:val="0079600E"/>
    <w:rsid w:val="007A12A9"/>
    <w:rsid w:val="007A2D12"/>
    <w:rsid w:val="007A5AC3"/>
    <w:rsid w:val="007B0927"/>
    <w:rsid w:val="007B1F53"/>
    <w:rsid w:val="007B398A"/>
    <w:rsid w:val="007B599D"/>
    <w:rsid w:val="007B7631"/>
    <w:rsid w:val="007C746B"/>
    <w:rsid w:val="007C7ACA"/>
    <w:rsid w:val="007D26EF"/>
    <w:rsid w:val="007D43E5"/>
    <w:rsid w:val="007D64B6"/>
    <w:rsid w:val="007D66D6"/>
    <w:rsid w:val="007D6956"/>
    <w:rsid w:val="007D7789"/>
    <w:rsid w:val="007E0AFE"/>
    <w:rsid w:val="007E5221"/>
    <w:rsid w:val="007E7E51"/>
    <w:rsid w:val="007E7ECB"/>
    <w:rsid w:val="007F0353"/>
    <w:rsid w:val="007F0FAA"/>
    <w:rsid w:val="007F0FE7"/>
    <w:rsid w:val="007F1901"/>
    <w:rsid w:val="007F2E6D"/>
    <w:rsid w:val="007F367F"/>
    <w:rsid w:val="007F36DF"/>
    <w:rsid w:val="007F3A6D"/>
    <w:rsid w:val="00801E66"/>
    <w:rsid w:val="00802BC6"/>
    <w:rsid w:val="00805174"/>
    <w:rsid w:val="0080674A"/>
    <w:rsid w:val="008076B1"/>
    <w:rsid w:val="00813A43"/>
    <w:rsid w:val="00815927"/>
    <w:rsid w:val="00817ADB"/>
    <w:rsid w:val="00822735"/>
    <w:rsid w:val="008256BC"/>
    <w:rsid w:val="00831BF4"/>
    <w:rsid w:val="0083296D"/>
    <w:rsid w:val="00832EE4"/>
    <w:rsid w:val="0083549F"/>
    <w:rsid w:val="008368B0"/>
    <w:rsid w:val="008370E9"/>
    <w:rsid w:val="00837EF3"/>
    <w:rsid w:val="00840290"/>
    <w:rsid w:val="0084153B"/>
    <w:rsid w:val="00841F77"/>
    <w:rsid w:val="00844D77"/>
    <w:rsid w:val="00845B5C"/>
    <w:rsid w:val="00846723"/>
    <w:rsid w:val="00850E04"/>
    <w:rsid w:val="008539B2"/>
    <w:rsid w:val="00855452"/>
    <w:rsid w:val="00857BC9"/>
    <w:rsid w:val="00862943"/>
    <w:rsid w:val="0089226B"/>
    <w:rsid w:val="00893F63"/>
    <w:rsid w:val="00897F14"/>
    <w:rsid w:val="00897F26"/>
    <w:rsid w:val="008A11BF"/>
    <w:rsid w:val="008B0051"/>
    <w:rsid w:val="008B2B87"/>
    <w:rsid w:val="008B4AF2"/>
    <w:rsid w:val="008B56BA"/>
    <w:rsid w:val="008C05AE"/>
    <w:rsid w:val="008C189C"/>
    <w:rsid w:val="008C2582"/>
    <w:rsid w:val="008C651D"/>
    <w:rsid w:val="008C715C"/>
    <w:rsid w:val="008D5F44"/>
    <w:rsid w:val="008D5F89"/>
    <w:rsid w:val="008E4B3B"/>
    <w:rsid w:val="008F1A67"/>
    <w:rsid w:val="008F23F2"/>
    <w:rsid w:val="008F5B45"/>
    <w:rsid w:val="00900466"/>
    <w:rsid w:val="00900D3C"/>
    <w:rsid w:val="00900E49"/>
    <w:rsid w:val="0090215F"/>
    <w:rsid w:val="00902870"/>
    <w:rsid w:val="009048AC"/>
    <w:rsid w:val="009055B2"/>
    <w:rsid w:val="00905997"/>
    <w:rsid w:val="00915DEF"/>
    <w:rsid w:val="00920A8F"/>
    <w:rsid w:val="00922813"/>
    <w:rsid w:val="00925C96"/>
    <w:rsid w:val="00926438"/>
    <w:rsid w:val="00926952"/>
    <w:rsid w:val="00932F6F"/>
    <w:rsid w:val="0094100B"/>
    <w:rsid w:val="0094307B"/>
    <w:rsid w:val="009463C2"/>
    <w:rsid w:val="00946656"/>
    <w:rsid w:val="009479C7"/>
    <w:rsid w:val="00952D57"/>
    <w:rsid w:val="00954676"/>
    <w:rsid w:val="00955C58"/>
    <w:rsid w:val="00956A11"/>
    <w:rsid w:val="009573A3"/>
    <w:rsid w:val="00960F1C"/>
    <w:rsid w:val="00963446"/>
    <w:rsid w:val="009636EE"/>
    <w:rsid w:val="009646B0"/>
    <w:rsid w:val="009719A3"/>
    <w:rsid w:val="0097513C"/>
    <w:rsid w:val="00975A07"/>
    <w:rsid w:val="009775DF"/>
    <w:rsid w:val="00983212"/>
    <w:rsid w:val="0098400E"/>
    <w:rsid w:val="00990D77"/>
    <w:rsid w:val="0099446A"/>
    <w:rsid w:val="00994F89"/>
    <w:rsid w:val="00997FA9"/>
    <w:rsid w:val="009A29BF"/>
    <w:rsid w:val="009A4576"/>
    <w:rsid w:val="009A5971"/>
    <w:rsid w:val="009A5A55"/>
    <w:rsid w:val="009A5BA5"/>
    <w:rsid w:val="009A6839"/>
    <w:rsid w:val="009A6AD5"/>
    <w:rsid w:val="009B1427"/>
    <w:rsid w:val="009B457C"/>
    <w:rsid w:val="009C25D9"/>
    <w:rsid w:val="009C2B63"/>
    <w:rsid w:val="009C2EF5"/>
    <w:rsid w:val="009C649E"/>
    <w:rsid w:val="009D16C6"/>
    <w:rsid w:val="009E304D"/>
    <w:rsid w:val="009F0FA5"/>
    <w:rsid w:val="009F1F13"/>
    <w:rsid w:val="009F2E33"/>
    <w:rsid w:val="009F3787"/>
    <w:rsid w:val="009F379D"/>
    <w:rsid w:val="009F71BA"/>
    <w:rsid w:val="009F786C"/>
    <w:rsid w:val="00A0076E"/>
    <w:rsid w:val="00A01BE5"/>
    <w:rsid w:val="00A04C4B"/>
    <w:rsid w:val="00A06B07"/>
    <w:rsid w:val="00A06DC6"/>
    <w:rsid w:val="00A06E64"/>
    <w:rsid w:val="00A0753F"/>
    <w:rsid w:val="00A10259"/>
    <w:rsid w:val="00A11264"/>
    <w:rsid w:val="00A13967"/>
    <w:rsid w:val="00A1542F"/>
    <w:rsid w:val="00A16892"/>
    <w:rsid w:val="00A16C7D"/>
    <w:rsid w:val="00A22355"/>
    <w:rsid w:val="00A22728"/>
    <w:rsid w:val="00A25D6D"/>
    <w:rsid w:val="00A279E6"/>
    <w:rsid w:val="00A350A3"/>
    <w:rsid w:val="00A35220"/>
    <w:rsid w:val="00A37F0F"/>
    <w:rsid w:val="00A43A59"/>
    <w:rsid w:val="00A43ED8"/>
    <w:rsid w:val="00A43FC9"/>
    <w:rsid w:val="00A50142"/>
    <w:rsid w:val="00A54CD2"/>
    <w:rsid w:val="00A55554"/>
    <w:rsid w:val="00A65503"/>
    <w:rsid w:val="00A6648F"/>
    <w:rsid w:val="00A669A6"/>
    <w:rsid w:val="00A6729A"/>
    <w:rsid w:val="00A73D94"/>
    <w:rsid w:val="00A746FC"/>
    <w:rsid w:val="00A83FEB"/>
    <w:rsid w:val="00A84907"/>
    <w:rsid w:val="00A85C88"/>
    <w:rsid w:val="00A87A92"/>
    <w:rsid w:val="00A9259B"/>
    <w:rsid w:val="00A94CEF"/>
    <w:rsid w:val="00A95835"/>
    <w:rsid w:val="00A960E9"/>
    <w:rsid w:val="00AA008A"/>
    <w:rsid w:val="00AA33D7"/>
    <w:rsid w:val="00AA40AC"/>
    <w:rsid w:val="00AA6304"/>
    <w:rsid w:val="00AA6D49"/>
    <w:rsid w:val="00AB0549"/>
    <w:rsid w:val="00AB0F3D"/>
    <w:rsid w:val="00AB1981"/>
    <w:rsid w:val="00AB1F18"/>
    <w:rsid w:val="00AB2F6E"/>
    <w:rsid w:val="00AB36FD"/>
    <w:rsid w:val="00AB425B"/>
    <w:rsid w:val="00AB43F7"/>
    <w:rsid w:val="00AB482C"/>
    <w:rsid w:val="00AC33A6"/>
    <w:rsid w:val="00AC3598"/>
    <w:rsid w:val="00AC35F3"/>
    <w:rsid w:val="00AC39FC"/>
    <w:rsid w:val="00AD31F0"/>
    <w:rsid w:val="00AD57BF"/>
    <w:rsid w:val="00AD608C"/>
    <w:rsid w:val="00AD6936"/>
    <w:rsid w:val="00AD7210"/>
    <w:rsid w:val="00AE1154"/>
    <w:rsid w:val="00AE237E"/>
    <w:rsid w:val="00AE3480"/>
    <w:rsid w:val="00AE36CB"/>
    <w:rsid w:val="00AE49C5"/>
    <w:rsid w:val="00AE4D2C"/>
    <w:rsid w:val="00AE5B72"/>
    <w:rsid w:val="00AE5B98"/>
    <w:rsid w:val="00AE6954"/>
    <w:rsid w:val="00AF0EA9"/>
    <w:rsid w:val="00AF39B5"/>
    <w:rsid w:val="00AF3FD6"/>
    <w:rsid w:val="00B01E70"/>
    <w:rsid w:val="00B028AF"/>
    <w:rsid w:val="00B143A4"/>
    <w:rsid w:val="00B171AD"/>
    <w:rsid w:val="00B202DF"/>
    <w:rsid w:val="00B216E7"/>
    <w:rsid w:val="00B22226"/>
    <w:rsid w:val="00B242AA"/>
    <w:rsid w:val="00B25785"/>
    <w:rsid w:val="00B25DA7"/>
    <w:rsid w:val="00B26FC4"/>
    <w:rsid w:val="00B27F87"/>
    <w:rsid w:val="00B3015D"/>
    <w:rsid w:val="00B30C6F"/>
    <w:rsid w:val="00B32344"/>
    <w:rsid w:val="00B32773"/>
    <w:rsid w:val="00B32B93"/>
    <w:rsid w:val="00B3339D"/>
    <w:rsid w:val="00B3400D"/>
    <w:rsid w:val="00B35C64"/>
    <w:rsid w:val="00B36613"/>
    <w:rsid w:val="00B41978"/>
    <w:rsid w:val="00B41FD6"/>
    <w:rsid w:val="00B460B4"/>
    <w:rsid w:val="00B47334"/>
    <w:rsid w:val="00B503C8"/>
    <w:rsid w:val="00B53C1F"/>
    <w:rsid w:val="00B563D4"/>
    <w:rsid w:val="00B6127A"/>
    <w:rsid w:val="00B633FB"/>
    <w:rsid w:val="00B649AA"/>
    <w:rsid w:val="00B65207"/>
    <w:rsid w:val="00B66DCF"/>
    <w:rsid w:val="00B71142"/>
    <w:rsid w:val="00B726B2"/>
    <w:rsid w:val="00B778D5"/>
    <w:rsid w:val="00B8125F"/>
    <w:rsid w:val="00B819E1"/>
    <w:rsid w:val="00B860C9"/>
    <w:rsid w:val="00B92FA4"/>
    <w:rsid w:val="00B9574E"/>
    <w:rsid w:val="00B965AA"/>
    <w:rsid w:val="00B96F0B"/>
    <w:rsid w:val="00BA069E"/>
    <w:rsid w:val="00BA137B"/>
    <w:rsid w:val="00BA213F"/>
    <w:rsid w:val="00BA2243"/>
    <w:rsid w:val="00BA3CB9"/>
    <w:rsid w:val="00BA3E20"/>
    <w:rsid w:val="00BA48E7"/>
    <w:rsid w:val="00BB1342"/>
    <w:rsid w:val="00BB3EE7"/>
    <w:rsid w:val="00BB55B7"/>
    <w:rsid w:val="00BB59B3"/>
    <w:rsid w:val="00BC1057"/>
    <w:rsid w:val="00BC5015"/>
    <w:rsid w:val="00BC5344"/>
    <w:rsid w:val="00BC62DA"/>
    <w:rsid w:val="00BD238E"/>
    <w:rsid w:val="00BD6C46"/>
    <w:rsid w:val="00BD6D61"/>
    <w:rsid w:val="00BE2F60"/>
    <w:rsid w:val="00BE4F18"/>
    <w:rsid w:val="00BE6AF8"/>
    <w:rsid w:val="00BE6FC7"/>
    <w:rsid w:val="00BF09E0"/>
    <w:rsid w:val="00BF2187"/>
    <w:rsid w:val="00BF67C7"/>
    <w:rsid w:val="00BF76B5"/>
    <w:rsid w:val="00C016ED"/>
    <w:rsid w:val="00C035DA"/>
    <w:rsid w:val="00C101DE"/>
    <w:rsid w:val="00C13F4E"/>
    <w:rsid w:val="00C15DC1"/>
    <w:rsid w:val="00C24641"/>
    <w:rsid w:val="00C252FC"/>
    <w:rsid w:val="00C26561"/>
    <w:rsid w:val="00C273B9"/>
    <w:rsid w:val="00C32E87"/>
    <w:rsid w:val="00C34549"/>
    <w:rsid w:val="00C3490A"/>
    <w:rsid w:val="00C36CEA"/>
    <w:rsid w:val="00C371AB"/>
    <w:rsid w:val="00C4514F"/>
    <w:rsid w:val="00C458E9"/>
    <w:rsid w:val="00C46E88"/>
    <w:rsid w:val="00C54500"/>
    <w:rsid w:val="00C54553"/>
    <w:rsid w:val="00C61700"/>
    <w:rsid w:val="00C63A86"/>
    <w:rsid w:val="00C7005B"/>
    <w:rsid w:val="00C71741"/>
    <w:rsid w:val="00C737EA"/>
    <w:rsid w:val="00C73DCD"/>
    <w:rsid w:val="00C74DCB"/>
    <w:rsid w:val="00C80888"/>
    <w:rsid w:val="00C80FD4"/>
    <w:rsid w:val="00C87F35"/>
    <w:rsid w:val="00C9332E"/>
    <w:rsid w:val="00C948F0"/>
    <w:rsid w:val="00C95B8F"/>
    <w:rsid w:val="00C96C83"/>
    <w:rsid w:val="00CA063D"/>
    <w:rsid w:val="00CA096E"/>
    <w:rsid w:val="00CA4132"/>
    <w:rsid w:val="00CA642E"/>
    <w:rsid w:val="00CB322C"/>
    <w:rsid w:val="00CB4557"/>
    <w:rsid w:val="00CB55D3"/>
    <w:rsid w:val="00CB7B00"/>
    <w:rsid w:val="00CC10C7"/>
    <w:rsid w:val="00CC22AD"/>
    <w:rsid w:val="00CC505B"/>
    <w:rsid w:val="00CC610B"/>
    <w:rsid w:val="00CC7A31"/>
    <w:rsid w:val="00CC7C38"/>
    <w:rsid w:val="00CD0335"/>
    <w:rsid w:val="00CD4136"/>
    <w:rsid w:val="00CD4183"/>
    <w:rsid w:val="00CD6FBB"/>
    <w:rsid w:val="00CE265D"/>
    <w:rsid w:val="00CF130C"/>
    <w:rsid w:val="00CF36CC"/>
    <w:rsid w:val="00CF58A5"/>
    <w:rsid w:val="00CF60A4"/>
    <w:rsid w:val="00D053CD"/>
    <w:rsid w:val="00D06A84"/>
    <w:rsid w:val="00D06BC2"/>
    <w:rsid w:val="00D0724E"/>
    <w:rsid w:val="00D16953"/>
    <w:rsid w:val="00D16D91"/>
    <w:rsid w:val="00D17A8F"/>
    <w:rsid w:val="00D21F56"/>
    <w:rsid w:val="00D24BD7"/>
    <w:rsid w:val="00D27CD5"/>
    <w:rsid w:val="00D35092"/>
    <w:rsid w:val="00D37494"/>
    <w:rsid w:val="00D4102B"/>
    <w:rsid w:val="00D41D92"/>
    <w:rsid w:val="00D438BB"/>
    <w:rsid w:val="00D46011"/>
    <w:rsid w:val="00D47511"/>
    <w:rsid w:val="00D51241"/>
    <w:rsid w:val="00D51270"/>
    <w:rsid w:val="00D515C3"/>
    <w:rsid w:val="00D55D67"/>
    <w:rsid w:val="00D5717A"/>
    <w:rsid w:val="00D60836"/>
    <w:rsid w:val="00D6220C"/>
    <w:rsid w:val="00D705AD"/>
    <w:rsid w:val="00D70D1D"/>
    <w:rsid w:val="00D722DA"/>
    <w:rsid w:val="00D72BD0"/>
    <w:rsid w:val="00D752DA"/>
    <w:rsid w:val="00D76786"/>
    <w:rsid w:val="00D81DCC"/>
    <w:rsid w:val="00D8267B"/>
    <w:rsid w:val="00D84BCD"/>
    <w:rsid w:val="00D85549"/>
    <w:rsid w:val="00D85E38"/>
    <w:rsid w:val="00D9014D"/>
    <w:rsid w:val="00D95AF5"/>
    <w:rsid w:val="00D96AD2"/>
    <w:rsid w:val="00D96F45"/>
    <w:rsid w:val="00DA0BC5"/>
    <w:rsid w:val="00DA5079"/>
    <w:rsid w:val="00DB107E"/>
    <w:rsid w:val="00DB4FD7"/>
    <w:rsid w:val="00DC19FE"/>
    <w:rsid w:val="00DC1FB8"/>
    <w:rsid w:val="00DC30D1"/>
    <w:rsid w:val="00DC399C"/>
    <w:rsid w:val="00DC4503"/>
    <w:rsid w:val="00DD0029"/>
    <w:rsid w:val="00DD26D6"/>
    <w:rsid w:val="00DD3D5A"/>
    <w:rsid w:val="00DD5177"/>
    <w:rsid w:val="00DE1882"/>
    <w:rsid w:val="00DE20DE"/>
    <w:rsid w:val="00DE54A8"/>
    <w:rsid w:val="00DF11B4"/>
    <w:rsid w:val="00E03CE3"/>
    <w:rsid w:val="00E05C85"/>
    <w:rsid w:val="00E1071B"/>
    <w:rsid w:val="00E12500"/>
    <w:rsid w:val="00E16D81"/>
    <w:rsid w:val="00E17027"/>
    <w:rsid w:val="00E21E25"/>
    <w:rsid w:val="00E25248"/>
    <w:rsid w:val="00E25C7C"/>
    <w:rsid w:val="00E2679B"/>
    <w:rsid w:val="00E30FCE"/>
    <w:rsid w:val="00E32494"/>
    <w:rsid w:val="00E3347E"/>
    <w:rsid w:val="00E334DD"/>
    <w:rsid w:val="00E352FF"/>
    <w:rsid w:val="00E402B0"/>
    <w:rsid w:val="00E40756"/>
    <w:rsid w:val="00E42353"/>
    <w:rsid w:val="00E44424"/>
    <w:rsid w:val="00E44601"/>
    <w:rsid w:val="00E46D1D"/>
    <w:rsid w:val="00E46F08"/>
    <w:rsid w:val="00E53F00"/>
    <w:rsid w:val="00E544CB"/>
    <w:rsid w:val="00E56DBB"/>
    <w:rsid w:val="00E60947"/>
    <w:rsid w:val="00E63BA5"/>
    <w:rsid w:val="00E6424D"/>
    <w:rsid w:val="00E65BFC"/>
    <w:rsid w:val="00E66295"/>
    <w:rsid w:val="00E67044"/>
    <w:rsid w:val="00E70A38"/>
    <w:rsid w:val="00E72095"/>
    <w:rsid w:val="00E7287F"/>
    <w:rsid w:val="00E72959"/>
    <w:rsid w:val="00E744BC"/>
    <w:rsid w:val="00E819A0"/>
    <w:rsid w:val="00E82778"/>
    <w:rsid w:val="00E853DB"/>
    <w:rsid w:val="00E853FC"/>
    <w:rsid w:val="00E87DE9"/>
    <w:rsid w:val="00E90C8E"/>
    <w:rsid w:val="00E95D4A"/>
    <w:rsid w:val="00E97668"/>
    <w:rsid w:val="00E97969"/>
    <w:rsid w:val="00EA169D"/>
    <w:rsid w:val="00EA1B94"/>
    <w:rsid w:val="00EA2EDA"/>
    <w:rsid w:val="00EA3B33"/>
    <w:rsid w:val="00EA4569"/>
    <w:rsid w:val="00EA4A8A"/>
    <w:rsid w:val="00EA522F"/>
    <w:rsid w:val="00EB06BB"/>
    <w:rsid w:val="00EB0CAB"/>
    <w:rsid w:val="00EB11C2"/>
    <w:rsid w:val="00EB3286"/>
    <w:rsid w:val="00EB6865"/>
    <w:rsid w:val="00EC396F"/>
    <w:rsid w:val="00ED00D8"/>
    <w:rsid w:val="00ED211A"/>
    <w:rsid w:val="00ED3B50"/>
    <w:rsid w:val="00EE39D1"/>
    <w:rsid w:val="00EE5E10"/>
    <w:rsid w:val="00EE5F2D"/>
    <w:rsid w:val="00EF1281"/>
    <w:rsid w:val="00EF2DAA"/>
    <w:rsid w:val="00EF3343"/>
    <w:rsid w:val="00EF5CD4"/>
    <w:rsid w:val="00EF6197"/>
    <w:rsid w:val="00F001B5"/>
    <w:rsid w:val="00F06FF8"/>
    <w:rsid w:val="00F0766A"/>
    <w:rsid w:val="00F07D3C"/>
    <w:rsid w:val="00F114F8"/>
    <w:rsid w:val="00F11F37"/>
    <w:rsid w:val="00F1338D"/>
    <w:rsid w:val="00F24D37"/>
    <w:rsid w:val="00F3057C"/>
    <w:rsid w:val="00F3220C"/>
    <w:rsid w:val="00F33C54"/>
    <w:rsid w:val="00F341F9"/>
    <w:rsid w:val="00F353B6"/>
    <w:rsid w:val="00F35A8F"/>
    <w:rsid w:val="00F41677"/>
    <w:rsid w:val="00F433AB"/>
    <w:rsid w:val="00F438CF"/>
    <w:rsid w:val="00F4503E"/>
    <w:rsid w:val="00F45445"/>
    <w:rsid w:val="00F45517"/>
    <w:rsid w:val="00F4614E"/>
    <w:rsid w:val="00F5354A"/>
    <w:rsid w:val="00F54134"/>
    <w:rsid w:val="00F55DF6"/>
    <w:rsid w:val="00F6115C"/>
    <w:rsid w:val="00F6221D"/>
    <w:rsid w:val="00F6555D"/>
    <w:rsid w:val="00F7047C"/>
    <w:rsid w:val="00F7094E"/>
    <w:rsid w:val="00F71628"/>
    <w:rsid w:val="00F71E3E"/>
    <w:rsid w:val="00F71FA3"/>
    <w:rsid w:val="00F72AB8"/>
    <w:rsid w:val="00F72E22"/>
    <w:rsid w:val="00F77769"/>
    <w:rsid w:val="00F77C7F"/>
    <w:rsid w:val="00F821E2"/>
    <w:rsid w:val="00F83E33"/>
    <w:rsid w:val="00F863C3"/>
    <w:rsid w:val="00F93A8C"/>
    <w:rsid w:val="00FA04E1"/>
    <w:rsid w:val="00FA1133"/>
    <w:rsid w:val="00FA246D"/>
    <w:rsid w:val="00FB07CF"/>
    <w:rsid w:val="00FB3ED1"/>
    <w:rsid w:val="00FB6F1F"/>
    <w:rsid w:val="00FB7F33"/>
    <w:rsid w:val="00FC07AB"/>
    <w:rsid w:val="00FC25BF"/>
    <w:rsid w:val="00FD258E"/>
    <w:rsid w:val="00FD662D"/>
    <w:rsid w:val="00FE2D0E"/>
    <w:rsid w:val="00FE49D9"/>
    <w:rsid w:val="00FE7170"/>
    <w:rsid w:val="00FE7CD7"/>
    <w:rsid w:val="00FF15DD"/>
    <w:rsid w:val="00FF1A6B"/>
    <w:rsid w:val="00FF5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CF5BF5"/>
  <w15:chartTrackingRefBased/>
  <w15:docId w15:val="{39E41515-8D4E-4FBF-BE11-8915FB9B5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963446"/>
    <w:pPr>
      <w:widowControl w:val="0"/>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after="0" w:line="480" w:lineRule="auto"/>
      <w:ind w:left="720" w:hanging="720"/>
      <w:outlineLvl w:val="0"/>
    </w:pPr>
    <w:rPr>
      <w:rFonts w:ascii="Courier New" w:eastAsia="Times New Roman" w:hAnsi="Courier New" w:cs="Courier New"/>
      <w:kern w:val="0"/>
      <w:sz w:val="24"/>
      <w:szCs w:val="24"/>
      <w14:ligatures w14:val="none"/>
    </w:rPr>
  </w:style>
  <w:style w:type="paragraph" w:styleId="Heading2">
    <w:name w:val="heading 2"/>
    <w:basedOn w:val="Normal"/>
    <w:link w:val="Heading2Char"/>
    <w:qFormat/>
    <w:rsid w:val="00963446"/>
    <w:pPr>
      <w:widowControl w:val="0"/>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after="0" w:line="480" w:lineRule="auto"/>
      <w:ind w:left="1440" w:hanging="720"/>
      <w:outlineLvl w:val="1"/>
    </w:pPr>
    <w:rPr>
      <w:rFonts w:ascii="Courier New" w:eastAsia="Times New Roman" w:hAnsi="Courier New" w:cs="Courier New"/>
      <w:kern w:val="0"/>
      <w:sz w:val="24"/>
      <w:szCs w:val="24"/>
      <w14:ligatures w14:val="none"/>
    </w:rPr>
  </w:style>
  <w:style w:type="paragraph" w:styleId="Heading3">
    <w:name w:val="heading 3"/>
    <w:basedOn w:val="Normal"/>
    <w:next w:val="Normal"/>
    <w:link w:val="Heading3Char"/>
    <w:uiPriority w:val="9"/>
    <w:semiHidden/>
    <w:unhideWhenUsed/>
    <w:qFormat/>
    <w:rsid w:val="00AB198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3446"/>
    <w:rPr>
      <w:rFonts w:ascii="Courier New" w:eastAsia="Times New Roman" w:hAnsi="Courier New" w:cs="Courier New"/>
      <w:kern w:val="0"/>
      <w:sz w:val="24"/>
      <w:szCs w:val="24"/>
      <w14:ligatures w14:val="none"/>
    </w:rPr>
  </w:style>
  <w:style w:type="character" w:customStyle="1" w:styleId="Heading2Char">
    <w:name w:val="Heading 2 Char"/>
    <w:basedOn w:val="DefaultParagraphFont"/>
    <w:link w:val="Heading2"/>
    <w:rsid w:val="00963446"/>
    <w:rPr>
      <w:rFonts w:ascii="Courier New" w:eastAsia="Times New Roman" w:hAnsi="Courier New" w:cs="Courier New"/>
      <w:kern w:val="0"/>
      <w:sz w:val="24"/>
      <w:szCs w:val="24"/>
      <w14:ligatures w14:val="none"/>
    </w:rPr>
  </w:style>
  <w:style w:type="character" w:customStyle="1" w:styleId="Heading3Char">
    <w:name w:val="Heading 3 Char"/>
    <w:basedOn w:val="DefaultParagraphFont"/>
    <w:link w:val="Heading3"/>
    <w:uiPriority w:val="9"/>
    <w:semiHidden/>
    <w:rsid w:val="00AB1981"/>
    <w:rPr>
      <w:rFonts w:asciiTheme="majorHAnsi" w:eastAsiaTheme="majorEastAsia" w:hAnsiTheme="majorHAnsi" w:cstheme="majorBidi"/>
      <w:color w:val="1F3763" w:themeColor="accent1" w:themeShade="7F"/>
      <w:sz w:val="24"/>
      <w:szCs w:val="24"/>
    </w:rPr>
  </w:style>
  <w:style w:type="paragraph" w:styleId="HTMLPreformatted">
    <w:name w:val="HTML Preformatted"/>
    <w:basedOn w:val="Normal"/>
    <w:link w:val="HTMLPreformattedChar"/>
    <w:uiPriority w:val="99"/>
    <w:unhideWhenUsed/>
    <w:rsid w:val="00750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750B3D"/>
    <w:rPr>
      <w:rFonts w:ascii="Courier New" w:eastAsia="Times New Roman" w:hAnsi="Courier New" w:cs="Courier New"/>
      <w:kern w:val="0"/>
      <w:sz w:val="20"/>
      <w:szCs w:val="20"/>
      <w14:ligatures w14:val="none"/>
    </w:rPr>
  </w:style>
  <w:style w:type="character" w:styleId="Hyperlink">
    <w:name w:val="Hyperlink"/>
    <w:basedOn w:val="DefaultParagraphFont"/>
    <w:uiPriority w:val="99"/>
    <w:unhideWhenUsed/>
    <w:rsid w:val="007E7ECB"/>
    <w:rPr>
      <w:color w:val="0000FF"/>
      <w:u w:val="single"/>
    </w:rPr>
  </w:style>
  <w:style w:type="character" w:styleId="UnresolvedMention">
    <w:name w:val="Unresolved Mention"/>
    <w:basedOn w:val="DefaultParagraphFont"/>
    <w:uiPriority w:val="99"/>
    <w:semiHidden/>
    <w:unhideWhenUsed/>
    <w:rsid w:val="0089226B"/>
    <w:rPr>
      <w:color w:val="605E5C"/>
      <w:shd w:val="clear" w:color="auto" w:fill="E1DFDD"/>
    </w:rPr>
  </w:style>
  <w:style w:type="paragraph" w:styleId="Header">
    <w:name w:val="header"/>
    <w:basedOn w:val="Normal"/>
    <w:link w:val="HeaderChar"/>
    <w:uiPriority w:val="99"/>
    <w:unhideWhenUsed/>
    <w:rsid w:val="001356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568D"/>
  </w:style>
  <w:style w:type="paragraph" w:styleId="Footer">
    <w:name w:val="footer"/>
    <w:basedOn w:val="Normal"/>
    <w:link w:val="FooterChar"/>
    <w:uiPriority w:val="99"/>
    <w:unhideWhenUsed/>
    <w:rsid w:val="001356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56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941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5959</Words>
  <Characters>33967</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Wagner</dc:creator>
  <cp:keywords/>
  <dc:description/>
  <cp:lastModifiedBy>Bruce J Wagner</cp:lastModifiedBy>
  <cp:revision>2</cp:revision>
  <cp:lastPrinted>2026-03-27T17:59:00Z</cp:lastPrinted>
  <dcterms:created xsi:type="dcterms:W3CDTF">2026-04-01T13:13:00Z</dcterms:created>
  <dcterms:modified xsi:type="dcterms:W3CDTF">2026-04-01T13:13:00Z</dcterms:modified>
</cp:coreProperties>
</file>