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EB9DA" w14:textId="68D40081" w:rsidR="00963446" w:rsidRPr="00D47511" w:rsidRDefault="00E774F4" w:rsidP="00963446">
      <w:pPr>
        <w:pStyle w:val="Heading2"/>
        <w:numPr>
          <w:ilvl w:val="0"/>
          <w:numId w:val="0"/>
        </w:numPr>
        <w:rPr>
          <w:rFonts w:ascii="Stencil" w:hAnsi="Stencil" w:cs="Times New Roman"/>
          <w:b/>
        </w:rPr>
      </w:pPr>
      <w:r>
        <w:rPr>
          <w:rFonts w:ascii="Stencil" w:hAnsi="Stencil" w:cs="Times New Roman"/>
          <w:b/>
          <w:u w:val="single"/>
        </w:rPr>
        <w:t>NYSBA FAMILY LAW SECTION UPDATE</w:t>
      </w:r>
      <w:r w:rsidR="002F23FB" w:rsidRPr="00D47511">
        <w:rPr>
          <w:rFonts w:ascii="Stencil" w:hAnsi="Stencil" w:cs="Times New Roman"/>
          <w:b/>
        </w:rPr>
        <w:t xml:space="preserve">, </w:t>
      </w:r>
      <w:r w:rsidR="00961D8D">
        <w:rPr>
          <w:rFonts w:ascii="Stencil" w:hAnsi="Stencil" w:cs="Times New Roman"/>
          <w:b/>
        </w:rPr>
        <w:t>JU</w:t>
      </w:r>
      <w:r w:rsidR="00CC0A87">
        <w:rPr>
          <w:rFonts w:ascii="Stencil" w:hAnsi="Stencil" w:cs="Times New Roman"/>
          <w:b/>
        </w:rPr>
        <w:t xml:space="preserve">LY </w:t>
      </w:r>
      <w:r w:rsidR="00654971" w:rsidRPr="00D47511">
        <w:rPr>
          <w:rFonts w:ascii="Stencil" w:hAnsi="Stencil" w:cs="Times New Roman"/>
          <w:b/>
        </w:rPr>
        <w:t>2</w:t>
      </w:r>
      <w:r w:rsidR="00963446" w:rsidRPr="00D47511">
        <w:rPr>
          <w:rFonts w:ascii="Stencil" w:hAnsi="Stencil" w:cs="Times New Roman"/>
          <w:b/>
        </w:rPr>
        <w:t>02</w:t>
      </w:r>
      <w:r w:rsidR="00553AD2">
        <w:rPr>
          <w:rFonts w:ascii="Stencil" w:hAnsi="Stencil" w:cs="Times New Roman"/>
          <w:b/>
        </w:rPr>
        <w:t>6</w:t>
      </w:r>
    </w:p>
    <w:p w14:paraId="09CCB385" w14:textId="77777777" w:rsidR="00963446" w:rsidRPr="00F77769" w:rsidRDefault="00963446" w:rsidP="00963446">
      <w:pPr>
        <w:pStyle w:val="Heading2"/>
        <w:numPr>
          <w:ilvl w:val="0"/>
          <w:numId w:val="0"/>
        </w:numPr>
        <w:spacing w:line="240" w:lineRule="auto"/>
        <w:rPr>
          <w:rFonts w:ascii="Verdana" w:hAnsi="Verdana" w:cs="Times New Roman"/>
          <w:b/>
          <w:bCs/>
        </w:rPr>
      </w:pPr>
      <w:r w:rsidRPr="00F77769">
        <w:rPr>
          <w:rFonts w:ascii="Verdana" w:hAnsi="Verdana" w:cs="Times New Roman"/>
          <w:b/>
          <w:bCs/>
        </w:rPr>
        <w:t>By Bruce J. Wagner</w:t>
      </w:r>
    </w:p>
    <w:p w14:paraId="740E6173" w14:textId="77777777" w:rsidR="00C45F57" w:rsidRDefault="00963446" w:rsidP="00C45F57">
      <w:pPr>
        <w:pStyle w:val="Heading2"/>
        <w:numPr>
          <w:ilvl w:val="0"/>
          <w:numId w:val="0"/>
        </w:numPr>
        <w:jc w:val="both"/>
        <w:rPr>
          <w:rFonts w:ascii="Verdana" w:hAnsi="Verdana" w:cs="Times New Roman"/>
          <w:b/>
          <w:bCs/>
        </w:rPr>
      </w:pPr>
      <w:r w:rsidRPr="00F77769">
        <w:rPr>
          <w:rFonts w:ascii="Verdana" w:hAnsi="Verdana" w:cs="Times New Roman"/>
          <w:b/>
          <w:bCs/>
        </w:rPr>
        <w:t>Support Magistrate, Schenectady County Family Court</w:t>
      </w:r>
    </w:p>
    <w:p w14:paraId="4337EA95" w14:textId="23D96800" w:rsidR="0000346D" w:rsidRDefault="0000346D" w:rsidP="0000346D">
      <w:pPr>
        <w:pStyle w:val="Heading2"/>
        <w:numPr>
          <w:ilvl w:val="0"/>
          <w:numId w:val="0"/>
        </w:numPr>
        <w:spacing w:line="240" w:lineRule="auto"/>
        <w:jc w:val="both"/>
        <w:rPr>
          <w:rFonts w:ascii="Times New Roman" w:hAnsi="Times New Roman" w:cs="Times New Roman"/>
          <w:b/>
          <w:bCs/>
        </w:rPr>
      </w:pPr>
      <w:r>
        <w:rPr>
          <w:rFonts w:ascii="Times New Roman" w:hAnsi="Times New Roman" w:cs="Times New Roman"/>
          <w:b/>
          <w:bCs/>
        </w:rPr>
        <w:t xml:space="preserve">Child Support - </w:t>
      </w:r>
      <w:r w:rsidRPr="0000346D">
        <w:rPr>
          <w:rFonts w:ascii="Times New Roman" w:hAnsi="Times New Roman" w:cs="Times New Roman"/>
          <w:b/>
          <w:bCs/>
        </w:rPr>
        <w:t>CSSA – Deviation – Not Articulated – Reversed;</w:t>
      </w:r>
      <w:r>
        <w:rPr>
          <w:rFonts w:ascii="Times New Roman" w:hAnsi="Times New Roman" w:cs="Times New Roman"/>
          <w:b/>
          <w:bCs/>
        </w:rPr>
        <w:t xml:space="preserve"> </w:t>
      </w:r>
      <w:r w:rsidRPr="0000346D">
        <w:rPr>
          <w:rFonts w:ascii="Times New Roman" w:hAnsi="Times New Roman" w:cs="Times New Roman"/>
          <w:b/>
          <w:bCs/>
        </w:rPr>
        <w:t>Maintenance - Durational – Deviation Reversed</w:t>
      </w:r>
    </w:p>
    <w:p w14:paraId="532F29C0" w14:textId="77777777" w:rsidR="0000346D" w:rsidRPr="0000346D" w:rsidRDefault="0000346D" w:rsidP="0000346D">
      <w:pPr>
        <w:pStyle w:val="Heading2"/>
        <w:numPr>
          <w:ilvl w:val="0"/>
          <w:numId w:val="0"/>
        </w:numPr>
        <w:spacing w:line="240" w:lineRule="auto"/>
        <w:jc w:val="both"/>
        <w:rPr>
          <w:b/>
          <w:bCs/>
        </w:rPr>
      </w:pPr>
    </w:p>
    <w:p w14:paraId="10C30941" w14:textId="77777777" w:rsidR="0000346D" w:rsidRDefault="0000346D" w:rsidP="0000346D">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In </w:t>
      </w:r>
      <w:r w:rsidRPr="0000346D">
        <w:rPr>
          <w:rFonts w:ascii="Times New Roman" w:hAnsi="Times New Roman" w:cs="Times New Roman"/>
          <w:b/>
          <w:bCs/>
          <w:i/>
          <w:iCs/>
        </w:rPr>
        <w:t>Yamauchi v. Yamauchi</w:t>
      </w:r>
      <w:r>
        <w:rPr>
          <w:rFonts w:ascii="Times New Roman" w:hAnsi="Times New Roman" w:cs="Times New Roman"/>
        </w:rPr>
        <w:t>, 2026 Westlaw 1813326 (2d Dept. June 24, 2026), the parties were married in 2023 and have 2 children. The wife had an auto accident in 2016 resulting in quadriplegia and commenced the within divorce action in June 2017. A July 2020 stipulation resolved custody and the parties agreed to submit the issues of maintenance and child support for determination. An October 2021 order directed the husband to pay the wife $1,000 in monthly child support and $3,000 per month in maintenance until child support terminates, followed by maintenance of $4,000 per month until the wife’s age 67, death or remarriage. The husband appealed. The Second Department reversed, on the law and in the exercise of discretion, and remitted to Supreme Court for a new determination “with all convenient speed, of the amounts to be awarded as child support and maintenance and the duration of maintenance,” and directed that in the interim, the $1,000 per month child support obligation would remain in effect. The Appellate Division held: “considering the relevant factors, the amount and duration of the Supreme Court’s maintenance award was excessive and an improvident exercise of its discretion (citations omitted)”; and “the Supreme Court failed to sufficiently articulate its reasons for deviating from the statutory formula [amount not specified] in determining the amount of child support awarded to the plaintiff (citation omitted).”</w:t>
      </w:r>
    </w:p>
    <w:p w14:paraId="25EF5494" w14:textId="77777777" w:rsidR="0000346D" w:rsidRDefault="0000346D" w:rsidP="0000346D">
      <w:pPr>
        <w:pStyle w:val="Heading2"/>
        <w:numPr>
          <w:ilvl w:val="0"/>
          <w:numId w:val="0"/>
        </w:numPr>
        <w:spacing w:line="240" w:lineRule="auto"/>
        <w:jc w:val="both"/>
        <w:rPr>
          <w:rFonts w:ascii="Times New Roman" w:hAnsi="Times New Roman" w:cs="Times New Roman"/>
        </w:rPr>
      </w:pPr>
    </w:p>
    <w:p w14:paraId="0215BB67" w14:textId="2546BDE2" w:rsidR="00A95544" w:rsidRDefault="00A95544" w:rsidP="0000346D">
      <w:pPr>
        <w:pStyle w:val="Heading2"/>
        <w:numPr>
          <w:ilvl w:val="0"/>
          <w:numId w:val="0"/>
        </w:numPr>
        <w:spacing w:line="240" w:lineRule="auto"/>
        <w:jc w:val="both"/>
        <w:rPr>
          <w:rFonts w:ascii="Times New Roman" w:hAnsi="Times New Roman" w:cs="Times New Roman"/>
          <w:b/>
          <w:bCs/>
        </w:rPr>
      </w:pPr>
      <w:r>
        <w:rPr>
          <w:rFonts w:ascii="Times New Roman" w:hAnsi="Times New Roman" w:cs="Times New Roman"/>
          <w:b/>
          <w:bCs/>
        </w:rPr>
        <w:t xml:space="preserve">Child Support - </w:t>
      </w:r>
      <w:r w:rsidRPr="00A95544">
        <w:rPr>
          <w:rFonts w:ascii="Times New Roman" w:hAnsi="Times New Roman" w:cs="Times New Roman"/>
          <w:b/>
          <w:bCs/>
        </w:rPr>
        <w:t>CSSA – Imputed Income - Minimum Wage; Inability to Work Not Established; Childcare</w:t>
      </w:r>
    </w:p>
    <w:p w14:paraId="0DA808BF" w14:textId="77777777" w:rsidR="00A95544" w:rsidRDefault="00A95544" w:rsidP="00A95544">
      <w:pPr>
        <w:pStyle w:val="Heading2"/>
        <w:numPr>
          <w:ilvl w:val="0"/>
          <w:numId w:val="0"/>
        </w:numPr>
        <w:spacing w:line="240" w:lineRule="auto"/>
        <w:jc w:val="both"/>
        <w:rPr>
          <w:rFonts w:ascii="Times New Roman" w:hAnsi="Times New Roman" w:cs="Times New Roman"/>
        </w:rPr>
      </w:pPr>
    </w:p>
    <w:p w14:paraId="79F36D57" w14:textId="16C313FF" w:rsidR="00A95544" w:rsidRDefault="00A95544" w:rsidP="00A95544">
      <w:pPr>
        <w:pStyle w:val="Heading2"/>
        <w:numPr>
          <w:ilvl w:val="0"/>
          <w:numId w:val="0"/>
        </w:numPr>
        <w:spacing w:line="240" w:lineRule="auto"/>
        <w:jc w:val="both"/>
        <w:rPr>
          <w:rFonts w:ascii="Times New Roman" w:hAnsi="Times New Roman" w:cs="Times New Roman"/>
          <w:b/>
          <w:bCs/>
        </w:rPr>
      </w:pPr>
      <w:r>
        <w:rPr>
          <w:rFonts w:ascii="Times New Roman" w:hAnsi="Times New Roman" w:cs="Times New Roman"/>
        </w:rPr>
        <w:tab/>
        <w:t xml:space="preserve">In </w:t>
      </w:r>
      <w:r w:rsidRPr="00A95544">
        <w:rPr>
          <w:rFonts w:ascii="Times New Roman" w:hAnsi="Times New Roman" w:cs="Times New Roman"/>
          <w:b/>
          <w:bCs/>
          <w:i/>
          <w:iCs/>
        </w:rPr>
        <w:t>Matter of Floyd v. Duncan</w:t>
      </w:r>
      <w:r>
        <w:rPr>
          <w:rFonts w:ascii="Times New Roman" w:hAnsi="Times New Roman" w:cs="Times New Roman"/>
        </w:rPr>
        <w:t xml:space="preserve">, 2026 Westlaw 1813284 (2d Dept. June 24, 2026), the father appealed from a July 2025 Family Court order, denying his objections to a May 2025 Support Magistrate Order which, following a hearing upon the mother’s January 2024 petition, directed him to pay $111.48 weekly in child support, plus $59.77 weekly for childcare and retroactive amounts, toward the support of the parties’ child born in 2020. The Second Department affirmed, holding that “the Support Magistrate did not improvidently exercise her discretion by imputing a full-time minimum-wage income to the father,” while noting that “the father’s testimony and the medical records that he submitted established that injuries prevented him from working at his former job as a tile finisher, he failed to establish that he was unable to perform other work (citations omitted).” The Appellate Division upheld the childcare award, based upon the mother’s testimony regarding her </w:t>
      </w:r>
      <w:proofErr w:type="gramStart"/>
      <w:r>
        <w:rPr>
          <w:rFonts w:ascii="Times New Roman" w:hAnsi="Times New Roman" w:cs="Times New Roman"/>
        </w:rPr>
        <w:t>full time</w:t>
      </w:r>
      <w:proofErr w:type="gramEnd"/>
      <w:r>
        <w:rPr>
          <w:rFonts w:ascii="Times New Roman" w:hAnsi="Times New Roman" w:cs="Times New Roman"/>
        </w:rPr>
        <w:t xml:space="preserve"> job and the child’s attendance at daycare from 8 am to 5 pm at a monthly cost of $700.</w:t>
      </w:r>
    </w:p>
    <w:p w14:paraId="19042E3B" w14:textId="77777777" w:rsidR="00A95544" w:rsidRDefault="00A95544" w:rsidP="00027160">
      <w:pPr>
        <w:pStyle w:val="Heading2"/>
        <w:numPr>
          <w:ilvl w:val="0"/>
          <w:numId w:val="0"/>
        </w:numPr>
        <w:spacing w:line="240" w:lineRule="auto"/>
        <w:jc w:val="both"/>
        <w:rPr>
          <w:rFonts w:ascii="Times New Roman" w:hAnsi="Times New Roman" w:cs="Times New Roman"/>
          <w:b/>
          <w:bCs/>
        </w:rPr>
      </w:pPr>
    </w:p>
    <w:p w14:paraId="41D4C8F1" w14:textId="77777777" w:rsidR="00A95544" w:rsidRDefault="00A95544" w:rsidP="00A95544">
      <w:pPr>
        <w:pStyle w:val="Heading2"/>
        <w:numPr>
          <w:ilvl w:val="0"/>
          <w:numId w:val="0"/>
        </w:numPr>
        <w:jc w:val="both"/>
        <w:rPr>
          <w:rFonts w:ascii="Times New Roman" w:hAnsi="Times New Roman" w:cs="Times New Roman"/>
        </w:rPr>
      </w:pPr>
      <w:r>
        <w:rPr>
          <w:rFonts w:ascii="Times New Roman" w:hAnsi="Times New Roman" w:cs="Times New Roman"/>
          <w:b/>
          <w:bCs/>
        </w:rPr>
        <w:t xml:space="preserve">Child Support </w:t>
      </w:r>
      <w:r w:rsidRPr="00A95544">
        <w:rPr>
          <w:rFonts w:ascii="Times New Roman" w:hAnsi="Times New Roman" w:cs="Times New Roman"/>
          <w:b/>
          <w:bCs/>
        </w:rPr>
        <w:t>– Developmentally Disabled – Article</w:t>
      </w:r>
    </w:p>
    <w:p w14:paraId="5D1B8076" w14:textId="1B2D9A13" w:rsidR="00A95544" w:rsidRDefault="00A95544" w:rsidP="00A95544">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For an informative article, </w:t>
      </w:r>
      <w:r w:rsidRPr="00000797">
        <w:rPr>
          <w:rFonts w:ascii="Times New Roman" w:hAnsi="Times New Roman" w:cs="Times New Roman"/>
          <w:i/>
          <w:iCs/>
        </w:rPr>
        <w:t>see</w:t>
      </w:r>
      <w:r>
        <w:rPr>
          <w:rFonts w:ascii="Times New Roman" w:hAnsi="Times New Roman" w:cs="Times New Roman"/>
        </w:rPr>
        <w:t xml:space="preserve"> Alan Feigenbaum, “Support for Developmentally Disabled Adult Children,” </w:t>
      </w:r>
      <w:r w:rsidRPr="00000797">
        <w:rPr>
          <w:rFonts w:ascii="Times New Roman" w:hAnsi="Times New Roman" w:cs="Times New Roman"/>
          <w:i/>
          <w:iCs/>
        </w:rPr>
        <w:t>NY Law Journal</w:t>
      </w:r>
      <w:r>
        <w:rPr>
          <w:rFonts w:ascii="Times New Roman" w:hAnsi="Times New Roman" w:cs="Times New Roman"/>
        </w:rPr>
        <w:t>, June 25, 2026.</w:t>
      </w:r>
    </w:p>
    <w:p w14:paraId="7D8C6613" w14:textId="77777777" w:rsidR="00A95544" w:rsidRDefault="00A95544" w:rsidP="00A95544">
      <w:pPr>
        <w:pStyle w:val="Heading2"/>
        <w:numPr>
          <w:ilvl w:val="0"/>
          <w:numId w:val="0"/>
        </w:numPr>
        <w:spacing w:line="240" w:lineRule="auto"/>
        <w:jc w:val="both"/>
        <w:rPr>
          <w:rFonts w:ascii="Times New Roman" w:hAnsi="Times New Roman" w:cs="Times New Roman"/>
        </w:rPr>
      </w:pPr>
    </w:p>
    <w:p w14:paraId="70C5644E" w14:textId="377EAA67" w:rsidR="00A95544" w:rsidRDefault="00A95544" w:rsidP="00A95544">
      <w:pPr>
        <w:pStyle w:val="Heading2"/>
        <w:numPr>
          <w:ilvl w:val="0"/>
          <w:numId w:val="0"/>
        </w:numPr>
        <w:spacing w:line="240" w:lineRule="auto"/>
        <w:jc w:val="both"/>
        <w:rPr>
          <w:rFonts w:ascii="Times New Roman" w:hAnsi="Times New Roman" w:cs="Times New Roman"/>
          <w:b/>
          <w:bCs/>
        </w:rPr>
      </w:pPr>
      <w:r w:rsidRPr="00A95544">
        <w:rPr>
          <w:rFonts w:ascii="Times New Roman" w:hAnsi="Times New Roman" w:cs="Times New Roman"/>
          <w:b/>
          <w:bCs/>
        </w:rPr>
        <w:lastRenderedPageBreak/>
        <w:t xml:space="preserve">Child Support </w:t>
      </w:r>
      <w:r>
        <w:rPr>
          <w:rFonts w:ascii="Times New Roman" w:hAnsi="Times New Roman" w:cs="Times New Roman"/>
          <w:b/>
          <w:bCs/>
        </w:rPr>
        <w:t>–</w:t>
      </w:r>
      <w:r w:rsidRPr="00A95544">
        <w:rPr>
          <w:rFonts w:ascii="Times New Roman" w:hAnsi="Times New Roman" w:cs="Times New Roman"/>
          <w:b/>
          <w:bCs/>
        </w:rPr>
        <w:t xml:space="preserve"> UIFSA</w:t>
      </w:r>
      <w:r>
        <w:rPr>
          <w:rFonts w:ascii="Times New Roman" w:hAnsi="Times New Roman" w:cs="Times New Roman"/>
          <w:b/>
          <w:bCs/>
        </w:rPr>
        <w:t xml:space="preserve"> </w:t>
      </w:r>
      <w:r w:rsidRPr="00A95544">
        <w:rPr>
          <w:rFonts w:ascii="Times New Roman" w:hAnsi="Times New Roman" w:cs="Times New Roman"/>
          <w:b/>
          <w:bCs/>
        </w:rPr>
        <w:t>- Registration Vacatur Reversed</w:t>
      </w:r>
    </w:p>
    <w:p w14:paraId="109C3202" w14:textId="77777777" w:rsidR="00A95544" w:rsidRPr="00A95544" w:rsidRDefault="00A95544" w:rsidP="00A95544">
      <w:pPr>
        <w:pStyle w:val="Heading2"/>
        <w:numPr>
          <w:ilvl w:val="0"/>
          <w:numId w:val="0"/>
        </w:numPr>
        <w:spacing w:line="240" w:lineRule="auto"/>
        <w:jc w:val="both"/>
        <w:rPr>
          <w:rFonts w:ascii="Times New Roman" w:hAnsi="Times New Roman" w:cs="Times New Roman"/>
          <w:b/>
          <w:bCs/>
        </w:rPr>
      </w:pPr>
    </w:p>
    <w:p w14:paraId="52DCBB38" w14:textId="239F0356" w:rsidR="00A95544" w:rsidRPr="00A95544" w:rsidRDefault="00A95544" w:rsidP="00A95544">
      <w:pPr>
        <w:pStyle w:val="Heading2"/>
        <w:numPr>
          <w:ilvl w:val="0"/>
          <w:numId w:val="0"/>
        </w:numPr>
        <w:spacing w:line="240" w:lineRule="auto"/>
        <w:jc w:val="both"/>
        <w:rPr>
          <w:rFonts w:ascii="Times New Roman" w:hAnsi="Times New Roman" w:cs="Times New Roman"/>
          <w:b/>
          <w:bCs/>
        </w:rPr>
      </w:pPr>
      <w:r>
        <w:rPr>
          <w:rFonts w:ascii="Times New Roman" w:hAnsi="Times New Roman" w:cs="Times New Roman"/>
        </w:rPr>
        <w:tab/>
        <w:t xml:space="preserve"> In </w:t>
      </w:r>
      <w:r w:rsidRPr="00A95544">
        <w:rPr>
          <w:rFonts w:ascii="Times New Roman" w:hAnsi="Times New Roman" w:cs="Times New Roman"/>
          <w:b/>
          <w:bCs/>
          <w:i/>
          <w:iCs/>
        </w:rPr>
        <w:t>Matter of Alvarez v. Rubiera</w:t>
      </w:r>
      <w:r>
        <w:rPr>
          <w:rFonts w:ascii="Times New Roman" w:hAnsi="Times New Roman" w:cs="Times New Roman"/>
        </w:rPr>
        <w:t>, 2026 Westlaw 1813367 (2d Dept. June 24, 2026), the mother appealed from a January 2025 Family Court Order, denying her objections to a September 2024 Support Magistrate Order which, after a hearing, granted the father’s petition to vacate the registration of a July 2016 Dominican Republic judgment of divorce directing him to pay  support for the parties’ child, and dismissed, as academic, the mother</w:t>
      </w:r>
      <w:r w:rsidR="0057221A">
        <w:rPr>
          <w:rFonts w:ascii="Times New Roman" w:hAnsi="Times New Roman" w:cs="Times New Roman"/>
        </w:rPr>
        <w:t>’s</w:t>
      </w:r>
      <w:r>
        <w:rPr>
          <w:rFonts w:ascii="Times New Roman" w:hAnsi="Times New Roman" w:cs="Times New Roman"/>
        </w:rPr>
        <w:t xml:space="preserve"> enforcement and modification petition(s). A November 2021 Dominican Republic Order required the father to pay arrears which accrued between August and November 2021. The mother and child moved to the US and the Judgment of Divorce was registered for enforcement in Florida. In June 2024, the mother registered the Judgment of Divorce in NY pursuant to UIFSA and petitioned for arrears and an upward modification. The Second Department reversed, on the law, granted the mother’s objections to and vacated the Support Magistrate’s Order, denied the father’s petition to vacate the registration, confirmed the registration of the judgment of divorce, and remitted to Family Court for a determination upon the merits. The Appellate Division noted that to vacate a registration under UIFSA, the challenging party </w:t>
      </w:r>
      <w:proofErr w:type="gramStart"/>
      <w:r>
        <w:rPr>
          <w:rFonts w:ascii="Times New Roman" w:hAnsi="Times New Roman" w:cs="Times New Roman"/>
        </w:rPr>
        <w:t>has to</w:t>
      </w:r>
      <w:proofErr w:type="gramEnd"/>
      <w:r>
        <w:rPr>
          <w:rFonts w:ascii="Times New Roman" w:hAnsi="Times New Roman" w:cs="Times New Roman"/>
        </w:rPr>
        <w:t xml:space="preserve"> prove “one or more of eight enumerated defenses” as defined by FCA 580-607(a), and if no defense is sustained, the court is required to confirm the registered order. FCA 580-607(c). As is here relevant, the father alleged as defenses: the judgment was modified by a later order, FCA 580-607(a)(3); full or partial payment has been made, FCA 580-607(a)(6); and the judgment was not the controlling order, FCA 580-607(a)(8). While the November 2021 arrears order was entered </w:t>
      </w:r>
      <w:proofErr w:type="gramStart"/>
      <w:r>
        <w:rPr>
          <w:rFonts w:ascii="Times New Roman" w:hAnsi="Times New Roman" w:cs="Times New Roman"/>
        </w:rPr>
        <w:t>subsequent to</w:t>
      </w:r>
      <w:proofErr w:type="gramEnd"/>
      <w:r>
        <w:rPr>
          <w:rFonts w:ascii="Times New Roman" w:hAnsi="Times New Roman" w:cs="Times New Roman"/>
        </w:rPr>
        <w:t xml:space="preserve"> the judgment of divorce, it neither modified the judgment nor became the controlling order, because the judgment remained as the last order to direct payment of the father’s ongoing child support obligation. While the father satisfied the arrears due under the November 2021 order, that payment “does not affect the registration of the judgment of divorce, which provided for the father’s ongoing child support obligation.” The Court concluded that given the father’s failure to establish any of the enumerated defenses, the registration must be confirmed as required by FCA 580-607(c).</w:t>
      </w:r>
    </w:p>
    <w:p w14:paraId="72477494" w14:textId="77777777" w:rsidR="00A95544" w:rsidRDefault="00A95544" w:rsidP="00027160">
      <w:pPr>
        <w:pStyle w:val="Heading2"/>
        <w:numPr>
          <w:ilvl w:val="0"/>
          <w:numId w:val="0"/>
        </w:numPr>
        <w:spacing w:line="240" w:lineRule="auto"/>
        <w:jc w:val="both"/>
        <w:rPr>
          <w:rFonts w:ascii="Times New Roman" w:hAnsi="Times New Roman" w:cs="Times New Roman"/>
          <w:b/>
          <w:bCs/>
        </w:rPr>
      </w:pPr>
    </w:p>
    <w:p w14:paraId="4C5CCB21" w14:textId="35245EFE" w:rsidR="00027160" w:rsidRDefault="00CC0A87" w:rsidP="00027160">
      <w:pPr>
        <w:pStyle w:val="Heading2"/>
        <w:numPr>
          <w:ilvl w:val="0"/>
          <w:numId w:val="0"/>
        </w:numPr>
        <w:spacing w:line="240" w:lineRule="auto"/>
        <w:jc w:val="both"/>
        <w:rPr>
          <w:rFonts w:ascii="Times New Roman" w:hAnsi="Times New Roman" w:cs="Times New Roman"/>
          <w:b/>
          <w:bCs/>
        </w:rPr>
      </w:pPr>
      <w:r>
        <w:rPr>
          <w:rFonts w:ascii="Times New Roman" w:hAnsi="Times New Roman" w:cs="Times New Roman"/>
          <w:b/>
          <w:bCs/>
        </w:rPr>
        <w:t xml:space="preserve">Custody </w:t>
      </w:r>
      <w:r w:rsidR="008A25B9">
        <w:rPr>
          <w:rFonts w:ascii="Times New Roman" w:hAnsi="Times New Roman" w:cs="Times New Roman"/>
          <w:b/>
          <w:bCs/>
        </w:rPr>
        <w:t xml:space="preserve">&amp; </w:t>
      </w:r>
      <w:r>
        <w:rPr>
          <w:rFonts w:ascii="Times New Roman" w:hAnsi="Times New Roman" w:cs="Times New Roman"/>
          <w:b/>
          <w:bCs/>
        </w:rPr>
        <w:t>Visitation – AFCs – Children with Adverse Interests – Article</w:t>
      </w:r>
    </w:p>
    <w:p w14:paraId="6F595A9A" w14:textId="77777777" w:rsidR="00CC0A87" w:rsidRDefault="00CC0A87" w:rsidP="00027160">
      <w:pPr>
        <w:pStyle w:val="Heading2"/>
        <w:numPr>
          <w:ilvl w:val="0"/>
          <w:numId w:val="0"/>
        </w:numPr>
        <w:spacing w:line="240" w:lineRule="auto"/>
        <w:jc w:val="both"/>
        <w:rPr>
          <w:rFonts w:ascii="Times New Roman" w:hAnsi="Times New Roman" w:cs="Times New Roman"/>
          <w:b/>
          <w:bCs/>
        </w:rPr>
      </w:pPr>
    </w:p>
    <w:p w14:paraId="0FC0F698" w14:textId="11233653" w:rsidR="00CC0A87" w:rsidRDefault="00CC0A87" w:rsidP="00027160">
      <w:pPr>
        <w:pStyle w:val="Heading2"/>
        <w:numPr>
          <w:ilvl w:val="0"/>
          <w:numId w:val="0"/>
        </w:numPr>
        <w:spacing w:line="240" w:lineRule="auto"/>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For an informative article, </w:t>
      </w:r>
      <w:r w:rsidRPr="00EE56EE">
        <w:rPr>
          <w:rFonts w:ascii="Times New Roman" w:hAnsi="Times New Roman" w:cs="Times New Roman"/>
          <w:i/>
          <w:iCs/>
        </w:rPr>
        <w:t>see</w:t>
      </w:r>
      <w:r>
        <w:rPr>
          <w:rFonts w:ascii="Times New Roman" w:hAnsi="Times New Roman" w:cs="Times New Roman"/>
        </w:rPr>
        <w:t xml:space="preserve"> Philip Katz, “One Lawyer, Two Masters,” </w:t>
      </w:r>
      <w:r w:rsidRPr="00EE56EE">
        <w:rPr>
          <w:rFonts w:ascii="Times New Roman" w:hAnsi="Times New Roman" w:cs="Times New Roman"/>
          <w:i/>
          <w:iCs/>
        </w:rPr>
        <w:t>NY Law Journal</w:t>
      </w:r>
      <w:r>
        <w:rPr>
          <w:rFonts w:ascii="Times New Roman" w:hAnsi="Times New Roman" w:cs="Times New Roman"/>
        </w:rPr>
        <w:t xml:space="preserve"> June 2, 2026.</w:t>
      </w:r>
    </w:p>
    <w:p w14:paraId="087FE5DD" w14:textId="77777777" w:rsidR="00A95544" w:rsidRDefault="00A95544" w:rsidP="00027160">
      <w:pPr>
        <w:pStyle w:val="Heading2"/>
        <w:numPr>
          <w:ilvl w:val="0"/>
          <w:numId w:val="0"/>
        </w:numPr>
        <w:spacing w:line="240" w:lineRule="auto"/>
        <w:jc w:val="both"/>
        <w:rPr>
          <w:rFonts w:ascii="Times New Roman" w:hAnsi="Times New Roman" w:cs="Times New Roman"/>
        </w:rPr>
      </w:pPr>
    </w:p>
    <w:p w14:paraId="3E058558" w14:textId="1ADCEEC1" w:rsidR="00A95544" w:rsidRDefault="00A95544" w:rsidP="00027160">
      <w:pPr>
        <w:pStyle w:val="Heading2"/>
        <w:numPr>
          <w:ilvl w:val="0"/>
          <w:numId w:val="0"/>
        </w:numPr>
        <w:spacing w:line="240" w:lineRule="auto"/>
        <w:jc w:val="both"/>
        <w:rPr>
          <w:rFonts w:ascii="Times New Roman" w:hAnsi="Times New Roman" w:cs="Times New Roman"/>
          <w:b/>
          <w:bCs/>
        </w:rPr>
      </w:pPr>
      <w:r w:rsidRPr="00A95544">
        <w:rPr>
          <w:rFonts w:ascii="Times New Roman" w:hAnsi="Times New Roman" w:cs="Times New Roman"/>
          <w:b/>
          <w:bCs/>
        </w:rPr>
        <w:t xml:space="preserve">Custody </w:t>
      </w:r>
      <w:r w:rsidR="008A25B9">
        <w:rPr>
          <w:rFonts w:ascii="Times New Roman" w:hAnsi="Times New Roman" w:cs="Times New Roman"/>
          <w:b/>
          <w:bCs/>
        </w:rPr>
        <w:t xml:space="preserve">&amp; </w:t>
      </w:r>
      <w:r w:rsidRPr="00A95544">
        <w:rPr>
          <w:rFonts w:ascii="Times New Roman" w:hAnsi="Times New Roman" w:cs="Times New Roman"/>
          <w:b/>
          <w:bCs/>
        </w:rPr>
        <w:t xml:space="preserve">Visitation – Child’s Status </w:t>
      </w:r>
      <w:r>
        <w:rPr>
          <w:rFonts w:ascii="Times New Roman" w:hAnsi="Times New Roman" w:cs="Times New Roman"/>
          <w:b/>
          <w:bCs/>
        </w:rPr>
        <w:t>–</w:t>
      </w:r>
      <w:r w:rsidRPr="00A95544">
        <w:rPr>
          <w:rFonts w:ascii="Times New Roman" w:hAnsi="Times New Roman" w:cs="Times New Roman"/>
          <w:b/>
          <w:bCs/>
        </w:rPr>
        <w:t xml:space="preserve"> Article</w:t>
      </w:r>
    </w:p>
    <w:p w14:paraId="7675D0D9" w14:textId="77777777" w:rsidR="00A95544" w:rsidRDefault="00A95544" w:rsidP="00027160">
      <w:pPr>
        <w:pStyle w:val="Heading2"/>
        <w:numPr>
          <w:ilvl w:val="0"/>
          <w:numId w:val="0"/>
        </w:numPr>
        <w:spacing w:line="240" w:lineRule="auto"/>
        <w:jc w:val="both"/>
        <w:rPr>
          <w:rFonts w:ascii="Times New Roman" w:hAnsi="Times New Roman" w:cs="Times New Roman"/>
          <w:b/>
          <w:bCs/>
        </w:rPr>
      </w:pPr>
    </w:p>
    <w:p w14:paraId="5EA423A4" w14:textId="0CD1A961" w:rsidR="00A95544" w:rsidRDefault="00A95544" w:rsidP="00027160">
      <w:pPr>
        <w:pStyle w:val="Heading2"/>
        <w:numPr>
          <w:ilvl w:val="0"/>
          <w:numId w:val="0"/>
        </w:numPr>
        <w:spacing w:line="240" w:lineRule="auto"/>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For an informative article, </w:t>
      </w:r>
      <w:r w:rsidRPr="00F51D92">
        <w:rPr>
          <w:rFonts w:ascii="Times New Roman" w:hAnsi="Times New Roman" w:cs="Times New Roman"/>
          <w:i/>
          <w:iCs/>
        </w:rPr>
        <w:t>see</w:t>
      </w:r>
      <w:r>
        <w:rPr>
          <w:rFonts w:ascii="Times New Roman" w:hAnsi="Times New Roman" w:cs="Times New Roman"/>
        </w:rPr>
        <w:t xml:space="preserve"> Joel R. Brandes, “The Status of the Child in a Custody Case,” </w:t>
      </w:r>
      <w:r w:rsidRPr="00F51D92">
        <w:rPr>
          <w:rFonts w:ascii="Times New Roman" w:hAnsi="Times New Roman" w:cs="Times New Roman"/>
          <w:i/>
          <w:iCs/>
        </w:rPr>
        <w:t>NY Law Journal</w:t>
      </w:r>
      <w:r>
        <w:rPr>
          <w:rFonts w:ascii="Times New Roman" w:hAnsi="Times New Roman" w:cs="Times New Roman"/>
        </w:rPr>
        <w:t>, July 1, 2026.</w:t>
      </w:r>
    </w:p>
    <w:p w14:paraId="23B0BBD8" w14:textId="77777777" w:rsidR="00A95544" w:rsidRDefault="00A95544" w:rsidP="00027160">
      <w:pPr>
        <w:pStyle w:val="Heading2"/>
        <w:numPr>
          <w:ilvl w:val="0"/>
          <w:numId w:val="0"/>
        </w:numPr>
        <w:spacing w:line="240" w:lineRule="auto"/>
        <w:jc w:val="both"/>
        <w:rPr>
          <w:rFonts w:ascii="Times New Roman" w:hAnsi="Times New Roman" w:cs="Times New Roman"/>
        </w:rPr>
      </w:pPr>
    </w:p>
    <w:p w14:paraId="06A1D76E" w14:textId="2C1F7074" w:rsidR="00A95544" w:rsidRDefault="00A95544" w:rsidP="00827167">
      <w:pPr>
        <w:pStyle w:val="Heading2"/>
        <w:numPr>
          <w:ilvl w:val="0"/>
          <w:numId w:val="0"/>
        </w:numPr>
        <w:spacing w:line="240" w:lineRule="auto"/>
        <w:jc w:val="both"/>
        <w:rPr>
          <w:rFonts w:ascii="Times New Roman" w:hAnsi="Times New Roman" w:cs="Times New Roman"/>
          <w:b/>
          <w:bCs/>
        </w:rPr>
      </w:pPr>
      <w:r w:rsidRPr="00A95544">
        <w:rPr>
          <w:rFonts w:ascii="Times New Roman" w:hAnsi="Times New Roman" w:cs="Times New Roman"/>
          <w:b/>
          <w:bCs/>
        </w:rPr>
        <w:t>Custody</w:t>
      </w:r>
      <w:r w:rsidR="008A25B9">
        <w:rPr>
          <w:rFonts w:ascii="Times New Roman" w:hAnsi="Times New Roman" w:cs="Times New Roman"/>
          <w:b/>
          <w:bCs/>
        </w:rPr>
        <w:t xml:space="preserve"> &amp; </w:t>
      </w:r>
      <w:r w:rsidRPr="00A95544">
        <w:rPr>
          <w:rFonts w:ascii="Times New Roman" w:hAnsi="Times New Roman" w:cs="Times New Roman"/>
          <w:b/>
          <w:bCs/>
        </w:rPr>
        <w:t xml:space="preserve">Visitation </w:t>
      </w:r>
      <w:r w:rsidRPr="00827167">
        <w:rPr>
          <w:rFonts w:ascii="Times New Roman" w:hAnsi="Times New Roman" w:cs="Times New Roman"/>
          <w:b/>
          <w:bCs/>
        </w:rPr>
        <w:t>- Enforcement – Return of Children Upheld; Modification – Relocation (ME) – Denied</w:t>
      </w:r>
    </w:p>
    <w:p w14:paraId="71198B65" w14:textId="77777777" w:rsidR="00827167" w:rsidRPr="00C4290B" w:rsidRDefault="00827167" w:rsidP="00827167">
      <w:pPr>
        <w:pStyle w:val="Heading2"/>
        <w:numPr>
          <w:ilvl w:val="0"/>
          <w:numId w:val="0"/>
        </w:numPr>
        <w:spacing w:line="240" w:lineRule="auto"/>
        <w:jc w:val="both"/>
      </w:pPr>
    </w:p>
    <w:p w14:paraId="318BC2B5" w14:textId="47EAA969" w:rsidR="00A95544" w:rsidRPr="00A95544" w:rsidRDefault="00A95544" w:rsidP="00A95544">
      <w:pPr>
        <w:pStyle w:val="Heading2"/>
        <w:numPr>
          <w:ilvl w:val="0"/>
          <w:numId w:val="0"/>
        </w:numPr>
        <w:spacing w:line="240" w:lineRule="auto"/>
        <w:jc w:val="both"/>
        <w:rPr>
          <w:rFonts w:ascii="Times New Roman" w:hAnsi="Times New Roman" w:cs="Times New Roman"/>
          <w:b/>
          <w:bCs/>
        </w:rPr>
      </w:pPr>
      <w:r>
        <w:rPr>
          <w:rFonts w:ascii="Times New Roman" w:hAnsi="Times New Roman" w:cs="Times New Roman"/>
        </w:rPr>
        <w:tab/>
        <w:t xml:space="preserve">In </w:t>
      </w:r>
      <w:r w:rsidRPr="00827167">
        <w:rPr>
          <w:rFonts w:ascii="Times New Roman" w:hAnsi="Times New Roman" w:cs="Times New Roman"/>
          <w:b/>
          <w:bCs/>
          <w:i/>
          <w:iCs/>
        </w:rPr>
        <w:t xml:space="preserve">Matter of </w:t>
      </w:r>
      <w:proofErr w:type="spellStart"/>
      <w:r w:rsidRPr="00827167">
        <w:rPr>
          <w:rFonts w:ascii="Times New Roman" w:hAnsi="Times New Roman" w:cs="Times New Roman"/>
          <w:b/>
          <w:bCs/>
          <w:i/>
          <w:iCs/>
        </w:rPr>
        <w:t>Liebetreu</w:t>
      </w:r>
      <w:proofErr w:type="spellEnd"/>
      <w:r w:rsidRPr="00827167">
        <w:rPr>
          <w:rFonts w:ascii="Times New Roman" w:hAnsi="Times New Roman" w:cs="Times New Roman"/>
          <w:b/>
          <w:bCs/>
          <w:i/>
          <w:iCs/>
        </w:rPr>
        <w:t xml:space="preserve"> v. Sennett,</w:t>
      </w:r>
      <w:r>
        <w:rPr>
          <w:rFonts w:ascii="Times New Roman" w:hAnsi="Times New Roman" w:cs="Times New Roman"/>
        </w:rPr>
        <w:t xml:space="preserve"> 2026 Westlaw 1841907 (4</w:t>
      </w:r>
      <w:r w:rsidRPr="00C4290B">
        <w:rPr>
          <w:rFonts w:ascii="Times New Roman" w:hAnsi="Times New Roman" w:cs="Times New Roman"/>
          <w:vertAlign w:val="superscript"/>
        </w:rPr>
        <w:t>th</w:t>
      </w:r>
      <w:r>
        <w:rPr>
          <w:rFonts w:ascii="Times New Roman" w:hAnsi="Times New Roman" w:cs="Times New Roman"/>
        </w:rPr>
        <w:t xml:space="preserve"> Dept. June 26, 2026), the mother appealed from a March 2025 Family Court order which, after a hearing: (1) granted the father’s petition to enforce the custody provisions of the parties’ judgment of divorce and incorporated agreement (primary to mother, with equally shared time, no unilateral relocation from Jefferson County), to the extent of finding that she violated the same by unilaterally relocating to </w:t>
      </w:r>
      <w:r>
        <w:rPr>
          <w:rFonts w:ascii="Times New Roman" w:hAnsi="Times New Roman" w:cs="Times New Roman"/>
        </w:rPr>
        <w:lastRenderedPageBreak/>
        <w:t>Maine with the</w:t>
      </w:r>
      <w:r w:rsidR="0057221A">
        <w:rPr>
          <w:rFonts w:ascii="Times New Roman" w:hAnsi="Times New Roman" w:cs="Times New Roman"/>
        </w:rPr>
        <w:t xml:space="preserve"> children</w:t>
      </w:r>
      <w:r>
        <w:rPr>
          <w:rFonts w:ascii="Times New Roman" w:hAnsi="Times New Roman" w:cs="Times New Roman"/>
        </w:rPr>
        <w:t xml:space="preserve"> while the father was on military deployment in the Middle East; and (2) dismissed her cross-petition to modify the judgment to permit her to relocate to Maine with the children. The Fourth Department affirmed, holding “the father established that the mother’s conduct in unilaterally relocating with the subject children *** defeated, impaired, impeded or prejudiced a right or remedy of the father” under the judgment. The Appellate Division further held that Family Court “properly determined that the mother failed to meet her burden of establishing  *** that the proposed relocation from Jefferson County to Maine is in the children’s bests interests,” noting that while “the mother testified that she has family support and greater career opportunities in Maine, she failed to provide evidence that similar career opportunities did not exist in Jefferson County (citations omitted).”</w:t>
      </w:r>
    </w:p>
    <w:p w14:paraId="4AD13052" w14:textId="77777777" w:rsidR="00CC0A87" w:rsidRDefault="00CC0A87" w:rsidP="00027160">
      <w:pPr>
        <w:pStyle w:val="Heading2"/>
        <w:numPr>
          <w:ilvl w:val="0"/>
          <w:numId w:val="0"/>
        </w:numPr>
        <w:spacing w:line="240" w:lineRule="auto"/>
        <w:jc w:val="both"/>
        <w:rPr>
          <w:rFonts w:ascii="Times New Roman" w:hAnsi="Times New Roman" w:cs="Times New Roman"/>
        </w:rPr>
      </w:pPr>
    </w:p>
    <w:p w14:paraId="40F5E5E9" w14:textId="4562634C" w:rsidR="00CC0A87" w:rsidRDefault="00CC0A87" w:rsidP="00CC0A87">
      <w:pPr>
        <w:pStyle w:val="Heading2"/>
        <w:numPr>
          <w:ilvl w:val="0"/>
          <w:numId w:val="0"/>
        </w:numPr>
        <w:spacing w:line="240" w:lineRule="auto"/>
        <w:jc w:val="both"/>
        <w:rPr>
          <w:rFonts w:ascii="Times New Roman" w:hAnsi="Times New Roman" w:cs="Times New Roman"/>
          <w:b/>
          <w:bCs/>
        </w:rPr>
      </w:pPr>
      <w:r w:rsidRPr="00CC0A87">
        <w:rPr>
          <w:rFonts w:ascii="Times New Roman" w:hAnsi="Times New Roman" w:cs="Times New Roman"/>
          <w:b/>
          <w:bCs/>
        </w:rPr>
        <w:t>Custody</w:t>
      </w:r>
      <w:r w:rsidR="008A25B9">
        <w:rPr>
          <w:rFonts w:ascii="Times New Roman" w:hAnsi="Times New Roman" w:cs="Times New Roman"/>
          <w:b/>
          <w:bCs/>
        </w:rPr>
        <w:t xml:space="preserve"> &amp; </w:t>
      </w:r>
      <w:r w:rsidRPr="00CC0A87">
        <w:rPr>
          <w:rFonts w:ascii="Times New Roman" w:hAnsi="Times New Roman" w:cs="Times New Roman"/>
          <w:b/>
          <w:bCs/>
        </w:rPr>
        <w:t xml:space="preserve">Visitation - Modification – Joint to Final Decision Making to Mother; No </w:t>
      </w:r>
      <w:r w:rsidRPr="00CC0A87">
        <w:rPr>
          <w:rFonts w:ascii="Times New Roman" w:hAnsi="Times New Roman" w:cs="Times New Roman"/>
          <w:b/>
          <w:bCs/>
          <w:i/>
          <w:iCs/>
        </w:rPr>
        <w:t>Lincoln</w:t>
      </w:r>
      <w:r w:rsidRPr="00CC0A87">
        <w:rPr>
          <w:rFonts w:ascii="Times New Roman" w:hAnsi="Times New Roman" w:cs="Times New Roman"/>
          <w:b/>
          <w:bCs/>
        </w:rPr>
        <w:t xml:space="preserve"> Hearing; Remitted for Expanded Visitation</w:t>
      </w:r>
    </w:p>
    <w:p w14:paraId="41C9DE79" w14:textId="77777777" w:rsidR="00CC0A87" w:rsidRPr="00CC0A87" w:rsidRDefault="00CC0A87" w:rsidP="00CC0A87">
      <w:pPr>
        <w:pStyle w:val="Heading2"/>
        <w:numPr>
          <w:ilvl w:val="0"/>
          <w:numId w:val="0"/>
        </w:numPr>
        <w:spacing w:line="240" w:lineRule="auto"/>
        <w:jc w:val="both"/>
        <w:rPr>
          <w:b/>
          <w:bCs/>
        </w:rPr>
      </w:pPr>
    </w:p>
    <w:p w14:paraId="3057B46F" w14:textId="3481F27D" w:rsidR="00CC0A87" w:rsidRDefault="00CC0A87" w:rsidP="00CC0A87">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In </w:t>
      </w:r>
      <w:r w:rsidRPr="00CC0A87">
        <w:rPr>
          <w:rFonts w:ascii="Times New Roman" w:hAnsi="Times New Roman" w:cs="Times New Roman"/>
          <w:b/>
          <w:bCs/>
          <w:i/>
          <w:iCs/>
        </w:rPr>
        <w:t>Matter of Andrew O. v. Jessica P.</w:t>
      </w:r>
      <w:r>
        <w:rPr>
          <w:rFonts w:ascii="Times New Roman" w:hAnsi="Times New Roman" w:cs="Times New Roman"/>
        </w:rPr>
        <w:t xml:space="preserve">, 2026 Westlaw 1593415 (3d Dept. June 4, 2026), the father appealed from a November 2024 Family Court order which, after a hearing upon the parties’ 2021 petitions, modified a 2018 consent order (joint legal, primary to mother, alternate weekends, some weekday evenings to father), to provide “if the parties cannot agree on a major decision affecting the child [born in 2013] after discussion, appointment or assessment, the mother shall have final decision-making authority” and granted the father additional time on Father’s Day, but did not otherwise expand his time. The Third Department modified, </w:t>
      </w:r>
      <w:proofErr w:type="gramStart"/>
      <w:r>
        <w:rPr>
          <w:rFonts w:ascii="Times New Roman" w:hAnsi="Times New Roman" w:cs="Times New Roman"/>
        </w:rPr>
        <w:t>on</w:t>
      </w:r>
      <w:proofErr w:type="gramEnd"/>
      <w:r>
        <w:rPr>
          <w:rFonts w:ascii="Times New Roman" w:hAnsi="Times New Roman" w:cs="Times New Roman"/>
        </w:rPr>
        <w:t xml:space="preserve"> the law, by reversing so much of the order appealed from as declined to grant the father additional time and remitting to Family Court. The Appellate Division held that “the record belies the father’s contention that the parties are capable of jointly deciding *** core aspects of the child’s upbringing,” while noting that the parties “struggled to reach consensus about the child’s education and medical care,” namely, homeschooling or public school, religious instruction, and a dairy/egg allergy, “as demonstrated by the parties’ text messages reflecting unilateral decision-making and an inability to reach consensus.”  The Court rejected the father’s contention that Family Court erred in not conducting a </w:t>
      </w:r>
      <w:r w:rsidRPr="00DE4783">
        <w:rPr>
          <w:rFonts w:ascii="Times New Roman" w:hAnsi="Times New Roman" w:cs="Times New Roman"/>
          <w:i/>
          <w:iCs/>
        </w:rPr>
        <w:t>Lincoln</w:t>
      </w:r>
      <w:r>
        <w:rPr>
          <w:rFonts w:ascii="Times New Roman" w:hAnsi="Times New Roman" w:cs="Times New Roman"/>
        </w:rPr>
        <w:t xml:space="preserve"> hearing, observing that the father did not request the same and did not identify “any specific testimony or factual dispute that would have been clarified or corroborated by the child’s participation.” The Third Department concluded that Family Court erred in not expanding the father’s time with the </w:t>
      </w:r>
      <w:proofErr w:type="gramStart"/>
      <w:r>
        <w:rPr>
          <w:rFonts w:ascii="Times New Roman" w:hAnsi="Times New Roman" w:cs="Times New Roman"/>
        </w:rPr>
        <w:t>child, and</w:t>
      </w:r>
      <w:proofErr w:type="gramEnd"/>
      <w:r>
        <w:rPr>
          <w:rFonts w:ascii="Times New Roman" w:hAnsi="Times New Roman" w:cs="Times New Roman"/>
        </w:rPr>
        <w:t xml:space="preserve"> remitted to develop an appropriate schedule which “affords the father meaningful and frequent access, while taking into account the child’s extracurricular schedule and the father’s current living arrangements.”</w:t>
      </w:r>
    </w:p>
    <w:p w14:paraId="42382748" w14:textId="77777777" w:rsidR="00230DE0" w:rsidRDefault="00230DE0" w:rsidP="00CC0A87">
      <w:pPr>
        <w:pStyle w:val="Heading2"/>
        <w:numPr>
          <w:ilvl w:val="0"/>
          <w:numId w:val="0"/>
        </w:numPr>
        <w:spacing w:line="240" w:lineRule="auto"/>
        <w:jc w:val="both"/>
        <w:rPr>
          <w:rFonts w:ascii="Times New Roman" w:hAnsi="Times New Roman" w:cs="Times New Roman"/>
        </w:rPr>
      </w:pPr>
    </w:p>
    <w:p w14:paraId="284E9D9E" w14:textId="0B9ED4ED" w:rsidR="00230DE0" w:rsidRDefault="00230DE0" w:rsidP="00230DE0">
      <w:pPr>
        <w:pStyle w:val="Heading2"/>
        <w:numPr>
          <w:ilvl w:val="0"/>
          <w:numId w:val="0"/>
        </w:numPr>
        <w:spacing w:line="240" w:lineRule="auto"/>
        <w:jc w:val="both"/>
        <w:rPr>
          <w:rFonts w:ascii="Times New Roman" w:hAnsi="Times New Roman" w:cs="Times New Roman"/>
          <w:b/>
          <w:bCs/>
        </w:rPr>
      </w:pPr>
      <w:r w:rsidRPr="00230DE0">
        <w:rPr>
          <w:rFonts w:ascii="Times New Roman" w:hAnsi="Times New Roman" w:cs="Times New Roman"/>
          <w:b/>
          <w:bCs/>
        </w:rPr>
        <w:t xml:space="preserve">Custody &amp; Visitation </w:t>
      </w:r>
      <w:r>
        <w:rPr>
          <w:rFonts w:ascii="Times New Roman" w:hAnsi="Times New Roman" w:cs="Times New Roman"/>
          <w:b/>
          <w:bCs/>
        </w:rPr>
        <w:t>–</w:t>
      </w:r>
      <w:r w:rsidRPr="00230DE0">
        <w:rPr>
          <w:rFonts w:ascii="Times New Roman" w:hAnsi="Times New Roman" w:cs="Times New Roman"/>
          <w:b/>
          <w:bCs/>
        </w:rPr>
        <w:t xml:space="preserve"> Modification</w:t>
      </w:r>
      <w:r>
        <w:rPr>
          <w:rFonts w:ascii="Times New Roman" w:hAnsi="Times New Roman" w:cs="Times New Roman"/>
          <w:b/>
          <w:bCs/>
        </w:rPr>
        <w:t xml:space="preserve"> </w:t>
      </w:r>
      <w:r w:rsidRPr="00230DE0">
        <w:rPr>
          <w:rFonts w:ascii="Times New Roman" w:hAnsi="Times New Roman" w:cs="Times New Roman"/>
          <w:b/>
          <w:bCs/>
        </w:rPr>
        <w:t>–</w:t>
      </w:r>
      <w:r>
        <w:rPr>
          <w:rFonts w:ascii="Times New Roman" w:hAnsi="Times New Roman" w:cs="Times New Roman"/>
          <w:b/>
          <w:bCs/>
        </w:rPr>
        <w:t xml:space="preserve"> </w:t>
      </w:r>
      <w:r w:rsidRPr="00230DE0">
        <w:rPr>
          <w:rFonts w:ascii="Times New Roman" w:hAnsi="Times New Roman" w:cs="Times New Roman"/>
          <w:b/>
          <w:bCs/>
        </w:rPr>
        <w:t>Supervised Therapeutic Visits, Telephone, Video – Upheld</w:t>
      </w:r>
    </w:p>
    <w:p w14:paraId="57B6919B" w14:textId="77777777" w:rsidR="00230DE0" w:rsidRPr="00230DE0" w:rsidRDefault="00230DE0" w:rsidP="00230DE0">
      <w:pPr>
        <w:pStyle w:val="Heading2"/>
        <w:numPr>
          <w:ilvl w:val="0"/>
          <w:numId w:val="0"/>
        </w:numPr>
        <w:spacing w:line="240" w:lineRule="auto"/>
        <w:jc w:val="both"/>
        <w:rPr>
          <w:b/>
          <w:bCs/>
        </w:rPr>
      </w:pPr>
    </w:p>
    <w:p w14:paraId="7EF1546B" w14:textId="53582BBC" w:rsidR="00230DE0" w:rsidRDefault="00230DE0" w:rsidP="00230DE0">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In </w:t>
      </w:r>
      <w:r w:rsidRPr="00230DE0">
        <w:rPr>
          <w:rFonts w:ascii="Times New Roman" w:hAnsi="Times New Roman" w:cs="Times New Roman"/>
          <w:b/>
          <w:bCs/>
          <w:i/>
          <w:iCs/>
        </w:rPr>
        <w:t>Matter of S.P. v. T.B.</w:t>
      </w:r>
      <w:r>
        <w:rPr>
          <w:rFonts w:ascii="Times New Roman" w:hAnsi="Times New Roman" w:cs="Times New Roman"/>
        </w:rPr>
        <w:t>, 2026 Westlaw</w:t>
      </w:r>
      <w:r w:rsidR="00A81FD0">
        <w:rPr>
          <w:rFonts w:ascii="Times New Roman" w:hAnsi="Times New Roman" w:cs="Times New Roman"/>
        </w:rPr>
        <w:t xml:space="preserve"> 1751944</w:t>
      </w:r>
      <w:r>
        <w:rPr>
          <w:rFonts w:ascii="Times New Roman" w:hAnsi="Times New Roman" w:cs="Times New Roman"/>
        </w:rPr>
        <w:t xml:space="preserve"> (1</w:t>
      </w:r>
      <w:r w:rsidRPr="008860BC">
        <w:rPr>
          <w:rFonts w:ascii="Times New Roman" w:hAnsi="Times New Roman" w:cs="Times New Roman"/>
          <w:vertAlign w:val="superscript"/>
        </w:rPr>
        <w:t>st</w:t>
      </w:r>
      <w:r>
        <w:rPr>
          <w:rFonts w:ascii="Times New Roman" w:hAnsi="Times New Roman" w:cs="Times New Roman"/>
        </w:rPr>
        <w:t xml:space="preserve"> Dept. June 18, 2026), the mother appealed from a February 2025 Family Court order which, after a hearing, modified a September 2020 order to direct that she have supervised therapeutic visits once every 2 months and telephone and/or video time on Sundays. The First Department affirmed, noting that the mother did not avail herself of previously granted weekly telephone and video visits and “evidence in the record of the mother’s lapse of parental judgment demonstrated her inability to prioritize the child’s needs over her own (citation omitted).”</w:t>
      </w:r>
    </w:p>
    <w:p w14:paraId="71D836D7" w14:textId="77777777" w:rsidR="008A25B9" w:rsidRDefault="008A25B9" w:rsidP="00230DE0">
      <w:pPr>
        <w:pStyle w:val="Heading2"/>
        <w:numPr>
          <w:ilvl w:val="0"/>
          <w:numId w:val="0"/>
        </w:numPr>
        <w:spacing w:line="240" w:lineRule="auto"/>
        <w:jc w:val="both"/>
        <w:rPr>
          <w:rFonts w:ascii="Times New Roman" w:hAnsi="Times New Roman" w:cs="Times New Roman"/>
        </w:rPr>
      </w:pPr>
    </w:p>
    <w:p w14:paraId="6B3F7825" w14:textId="77777777" w:rsidR="008A25B9" w:rsidRPr="008A25B9" w:rsidRDefault="008A25B9" w:rsidP="008A25B9">
      <w:pPr>
        <w:pStyle w:val="Heading2"/>
        <w:numPr>
          <w:ilvl w:val="0"/>
          <w:numId w:val="0"/>
        </w:numPr>
        <w:jc w:val="both"/>
        <w:rPr>
          <w:b/>
          <w:bCs/>
        </w:rPr>
      </w:pPr>
      <w:r w:rsidRPr="008A25B9">
        <w:rPr>
          <w:rFonts w:ascii="Times New Roman" w:hAnsi="Times New Roman" w:cs="Times New Roman"/>
          <w:b/>
          <w:bCs/>
        </w:rPr>
        <w:lastRenderedPageBreak/>
        <w:t>Custody &amp; Visitation - Modification – Visitation Suspended</w:t>
      </w:r>
    </w:p>
    <w:p w14:paraId="7A06CE04" w14:textId="7CF11C26" w:rsidR="008A25B9" w:rsidRDefault="008A25B9" w:rsidP="008A25B9">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In </w:t>
      </w:r>
      <w:r w:rsidRPr="008A25B9">
        <w:rPr>
          <w:rFonts w:ascii="Times New Roman" w:hAnsi="Times New Roman" w:cs="Times New Roman"/>
          <w:b/>
          <w:bCs/>
          <w:i/>
          <w:iCs/>
        </w:rPr>
        <w:t>Matter of Jones v. Serna</w:t>
      </w:r>
      <w:r>
        <w:rPr>
          <w:rFonts w:ascii="Times New Roman" w:hAnsi="Times New Roman" w:cs="Times New Roman"/>
        </w:rPr>
        <w:t>, 2026 Westlaw 1841920 (4</w:t>
      </w:r>
      <w:r w:rsidRPr="00D80D6B">
        <w:rPr>
          <w:rFonts w:ascii="Times New Roman" w:hAnsi="Times New Roman" w:cs="Times New Roman"/>
          <w:vertAlign w:val="superscript"/>
        </w:rPr>
        <w:t>th</w:t>
      </w:r>
      <w:r>
        <w:rPr>
          <w:rFonts w:ascii="Times New Roman" w:hAnsi="Times New Roman" w:cs="Times New Roman"/>
        </w:rPr>
        <w:t xml:space="preserve"> Dept. June 26, 2026), the father appealed from an October 2024 Family Court order which, after a hearing, modified a prior order (sole legal and physical to mother, father’s time supervised), by suspending his time with and access to the subject child. The Fourth Department affirmed, holding Family Court’s determination has a sound and substantial basis in the record, while noting, among other things,  that: “the father did not exercise any visitation with the child for approximately five years between 2018 and 2023”; and although he resumed some supervised visitation in 2023, he “engaged in some inappropriate conversations ***, informing [the child] that the state profited from his child support and was the reason she did not get to see him.”</w:t>
      </w:r>
    </w:p>
    <w:p w14:paraId="4C15CB95" w14:textId="77777777" w:rsidR="00A81FD0" w:rsidRDefault="00A81FD0" w:rsidP="00230DE0">
      <w:pPr>
        <w:pStyle w:val="Heading2"/>
        <w:numPr>
          <w:ilvl w:val="0"/>
          <w:numId w:val="0"/>
        </w:numPr>
        <w:spacing w:line="240" w:lineRule="auto"/>
        <w:jc w:val="both"/>
        <w:rPr>
          <w:rFonts w:ascii="Times New Roman" w:hAnsi="Times New Roman" w:cs="Times New Roman"/>
        </w:rPr>
      </w:pPr>
    </w:p>
    <w:p w14:paraId="5AF39A24" w14:textId="4F078F21" w:rsidR="00A81FD0" w:rsidRPr="00A81FD0" w:rsidRDefault="00A81FD0" w:rsidP="00A81FD0">
      <w:pPr>
        <w:pStyle w:val="Heading2"/>
        <w:numPr>
          <w:ilvl w:val="0"/>
          <w:numId w:val="0"/>
        </w:numPr>
        <w:jc w:val="both"/>
        <w:rPr>
          <w:b/>
          <w:bCs/>
        </w:rPr>
      </w:pPr>
      <w:r w:rsidRPr="00A81FD0">
        <w:rPr>
          <w:rFonts w:ascii="Times New Roman" w:hAnsi="Times New Roman" w:cs="Times New Roman"/>
          <w:b/>
          <w:bCs/>
        </w:rPr>
        <w:t xml:space="preserve">Custody &amp; Visitation - </w:t>
      </w:r>
      <w:bookmarkStart w:id="0" w:name="_Hlk232934370"/>
      <w:r w:rsidRPr="00A81FD0">
        <w:rPr>
          <w:rFonts w:ascii="Times New Roman" w:hAnsi="Times New Roman" w:cs="Times New Roman"/>
          <w:b/>
          <w:bCs/>
        </w:rPr>
        <w:t>Relocation (TX) – Granted</w:t>
      </w:r>
      <w:bookmarkEnd w:id="0"/>
    </w:p>
    <w:p w14:paraId="78B1171E" w14:textId="746C20B2" w:rsidR="00A81FD0" w:rsidRDefault="00A81FD0" w:rsidP="00A81FD0">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In </w:t>
      </w:r>
      <w:r w:rsidRPr="00A81FD0">
        <w:rPr>
          <w:rFonts w:ascii="Times New Roman" w:hAnsi="Times New Roman" w:cs="Times New Roman"/>
          <w:b/>
          <w:bCs/>
          <w:i/>
          <w:iCs/>
        </w:rPr>
        <w:t>Matter of Ibarra v. Galceran</w:t>
      </w:r>
      <w:r>
        <w:rPr>
          <w:rFonts w:ascii="Times New Roman" w:hAnsi="Times New Roman" w:cs="Times New Roman"/>
        </w:rPr>
        <w:t xml:space="preserve">, </w:t>
      </w:r>
      <w:bookmarkStart w:id="1" w:name="_Hlk234094229"/>
      <w:r w:rsidR="00575333">
        <w:rPr>
          <w:rFonts w:ascii="Times New Roman" w:hAnsi="Times New Roman" w:cs="Times New Roman"/>
        </w:rPr>
        <w:t>256 NYS3d 697</w:t>
      </w:r>
      <w:bookmarkEnd w:id="1"/>
      <w:r w:rsidR="00575333">
        <w:rPr>
          <w:rFonts w:ascii="Times New Roman" w:hAnsi="Times New Roman" w:cs="Times New Roman"/>
        </w:rPr>
        <w:t xml:space="preserve"> </w:t>
      </w:r>
      <w:r>
        <w:rPr>
          <w:rFonts w:ascii="Times New Roman" w:hAnsi="Times New Roman" w:cs="Times New Roman"/>
        </w:rPr>
        <w:t xml:space="preserve">(2d Dept. June 17, 2026), the father appealed from a February 2025 Family Court order which, after a hearing, granted the mother’s 2021 petition for sole legal and residential custody of the parties’ child born in 2019 and permitted her to relocate to Texas with the child. The mother had moved to Texas following the parties’ 2021 separation due to domestic violence by the father against her. The Second Department affirmed, noting the mother’s credible testimony regarding domestic violence and </w:t>
      </w:r>
      <w:proofErr w:type="gramStart"/>
      <w:r>
        <w:rPr>
          <w:rFonts w:ascii="Times New Roman" w:hAnsi="Times New Roman" w:cs="Times New Roman"/>
        </w:rPr>
        <w:t>testimony</w:t>
      </w:r>
      <w:proofErr w:type="gramEnd"/>
      <w:r>
        <w:rPr>
          <w:rFonts w:ascii="Times New Roman" w:hAnsi="Times New Roman" w:cs="Times New Roman"/>
        </w:rPr>
        <w:t xml:space="preserve"> that she was more likely to both promote stability for the child and to foster the father’s relationship with the child.</w:t>
      </w:r>
    </w:p>
    <w:p w14:paraId="1A967B5C" w14:textId="77777777" w:rsidR="00A81FD0" w:rsidRDefault="00A81FD0" w:rsidP="00A81FD0">
      <w:pPr>
        <w:pStyle w:val="Heading2"/>
        <w:numPr>
          <w:ilvl w:val="0"/>
          <w:numId w:val="0"/>
        </w:numPr>
        <w:spacing w:line="240" w:lineRule="auto"/>
        <w:jc w:val="both"/>
        <w:rPr>
          <w:rFonts w:ascii="Times New Roman" w:hAnsi="Times New Roman" w:cs="Times New Roman"/>
        </w:rPr>
      </w:pPr>
    </w:p>
    <w:p w14:paraId="25CC7408" w14:textId="77777777" w:rsidR="00A81FD0" w:rsidRPr="00A81FD0" w:rsidRDefault="00A81FD0" w:rsidP="00A81FD0">
      <w:pPr>
        <w:pStyle w:val="Heading2"/>
        <w:numPr>
          <w:ilvl w:val="0"/>
          <w:numId w:val="0"/>
        </w:numPr>
        <w:jc w:val="both"/>
        <w:rPr>
          <w:b/>
          <w:bCs/>
        </w:rPr>
      </w:pPr>
      <w:r w:rsidRPr="00A81FD0">
        <w:rPr>
          <w:rFonts w:ascii="Times New Roman" w:hAnsi="Times New Roman" w:cs="Times New Roman"/>
          <w:b/>
          <w:bCs/>
        </w:rPr>
        <w:t>Custody &amp; Visitation - Third Party – Great Grandparent – No Standing – Dismissed</w:t>
      </w:r>
    </w:p>
    <w:p w14:paraId="2187B895" w14:textId="12EC11AE" w:rsidR="00A81FD0" w:rsidRDefault="00A81FD0" w:rsidP="00A81FD0">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In </w:t>
      </w:r>
      <w:r w:rsidRPr="00A81FD0">
        <w:rPr>
          <w:rFonts w:ascii="Times New Roman" w:hAnsi="Times New Roman" w:cs="Times New Roman"/>
          <w:b/>
          <w:bCs/>
          <w:i/>
          <w:iCs/>
        </w:rPr>
        <w:t>Matter of Michele D. v. Jessica F.</w:t>
      </w:r>
      <w:r>
        <w:rPr>
          <w:rFonts w:ascii="Times New Roman" w:hAnsi="Times New Roman" w:cs="Times New Roman"/>
        </w:rPr>
        <w:t>, 2026 Westlaw 1751965 (3d Dept. June 18, 2026), the paternal great grandmother appealed from an August 2024 Family Court order, which, without a hearing, granted the mother’s motion to dismiss her March 2024 petition seeking visitation and/or joint custody of a child born in 2020 who, pursuant to a March 2022 consent order was in the joint custody of the mother and father until his death in September 2024. The Third Department affirmed, noting that DRL 72 does not grant standing to great grandparents, and, further, the great grandmother failed to allege extraordinary circumstances</w:t>
      </w:r>
      <w:r w:rsidR="001530BF">
        <w:rPr>
          <w:rFonts w:ascii="Times New Roman" w:hAnsi="Times New Roman" w:cs="Times New Roman"/>
        </w:rPr>
        <w:t xml:space="preserve"> </w:t>
      </w:r>
      <w:r>
        <w:rPr>
          <w:rFonts w:ascii="Times New Roman" w:hAnsi="Times New Roman" w:cs="Times New Roman"/>
        </w:rPr>
        <w:t>in her petition</w:t>
      </w:r>
      <w:r w:rsidR="001530BF">
        <w:rPr>
          <w:rFonts w:ascii="Times New Roman" w:hAnsi="Times New Roman" w:cs="Times New Roman"/>
        </w:rPr>
        <w:t>,</w:t>
      </w:r>
      <w:r>
        <w:rPr>
          <w:rFonts w:ascii="Times New Roman" w:hAnsi="Times New Roman" w:cs="Times New Roman"/>
        </w:rPr>
        <w:t xml:space="preserve"> which merely stated she had psychologically bonded with the child before the father’s death, when the child had resided in her home every other week and for a time following the father’s death.</w:t>
      </w:r>
    </w:p>
    <w:p w14:paraId="071F18A8" w14:textId="77777777" w:rsidR="008A25B9" w:rsidRDefault="008A25B9" w:rsidP="00A81FD0">
      <w:pPr>
        <w:pStyle w:val="Heading2"/>
        <w:numPr>
          <w:ilvl w:val="0"/>
          <w:numId w:val="0"/>
        </w:numPr>
        <w:spacing w:line="240" w:lineRule="auto"/>
        <w:jc w:val="both"/>
        <w:rPr>
          <w:rFonts w:ascii="Times New Roman" w:hAnsi="Times New Roman" w:cs="Times New Roman"/>
        </w:rPr>
      </w:pPr>
    </w:p>
    <w:p w14:paraId="68F74EE7" w14:textId="77777777" w:rsidR="008A25B9" w:rsidRPr="008A25B9" w:rsidRDefault="008A25B9" w:rsidP="008A25B9">
      <w:pPr>
        <w:pStyle w:val="Heading2"/>
        <w:numPr>
          <w:ilvl w:val="0"/>
          <w:numId w:val="0"/>
        </w:numPr>
        <w:jc w:val="both"/>
        <w:rPr>
          <w:b/>
          <w:bCs/>
        </w:rPr>
      </w:pPr>
      <w:r w:rsidRPr="008A25B9">
        <w:rPr>
          <w:rFonts w:ascii="Times New Roman" w:hAnsi="Times New Roman" w:cs="Times New Roman"/>
          <w:b/>
          <w:bCs/>
        </w:rPr>
        <w:t>Custody &amp; Visitation – UCCJEA - Enforcement – No NY Jurisdiction</w:t>
      </w:r>
    </w:p>
    <w:p w14:paraId="0C91F5E6" w14:textId="729AD4DF" w:rsidR="008A25B9" w:rsidRDefault="008A25B9" w:rsidP="008A25B9">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In </w:t>
      </w:r>
      <w:r w:rsidRPr="008A25B9">
        <w:rPr>
          <w:rFonts w:ascii="Times New Roman" w:hAnsi="Times New Roman" w:cs="Times New Roman"/>
          <w:b/>
          <w:bCs/>
          <w:i/>
          <w:iCs/>
        </w:rPr>
        <w:t>Matter of J.V.B. v. H.E.</w:t>
      </w:r>
      <w:r>
        <w:rPr>
          <w:rFonts w:ascii="Times New Roman" w:hAnsi="Times New Roman" w:cs="Times New Roman"/>
        </w:rPr>
        <w:t>, 2026 Westlaw 1826200 (1</w:t>
      </w:r>
      <w:r w:rsidRPr="00E73CBC">
        <w:rPr>
          <w:rFonts w:ascii="Times New Roman" w:hAnsi="Times New Roman" w:cs="Times New Roman"/>
          <w:vertAlign w:val="superscript"/>
        </w:rPr>
        <w:t>st</w:t>
      </w:r>
      <w:r>
        <w:rPr>
          <w:rFonts w:ascii="Times New Roman" w:hAnsi="Times New Roman" w:cs="Times New Roman"/>
        </w:rPr>
        <w:t xml:space="preserve"> Dept. June 25, 2026), the mother appealed from a November 2024 Family Court order, which dismissed her petition to enforce a prior custody order with prejudice, upon the </w:t>
      </w:r>
      <w:proofErr w:type="gramStart"/>
      <w:r>
        <w:rPr>
          <w:rFonts w:ascii="Times New Roman" w:hAnsi="Times New Roman" w:cs="Times New Roman"/>
        </w:rPr>
        <w:t>ground</w:t>
      </w:r>
      <w:proofErr w:type="gramEnd"/>
      <w:r>
        <w:rPr>
          <w:rFonts w:ascii="Times New Roman" w:hAnsi="Times New Roman" w:cs="Times New Roman"/>
        </w:rPr>
        <w:t xml:space="preserve"> of lack of subject matter jurisdiction. The First Department affirmed, holding that “Family Court no longer has exclusive continuing jurisdiction over this matter under the Uniform Child Custody and Jurisdiction and Enforcement Act ***, as neither the children nor their parents presently live in this State (internal quotation marks and citations omitted),” while noting that “[t]here is no dispute that when the mother filed the enforcement petition against the father, she was living in New Jersey, and the father and the children were living in Alabama.”</w:t>
      </w:r>
    </w:p>
    <w:p w14:paraId="0753E95D" w14:textId="77777777" w:rsidR="00EB6701" w:rsidRDefault="00EB6701" w:rsidP="00EB6701">
      <w:pPr>
        <w:pStyle w:val="Heading2"/>
        <w:numPr>
          <w:ilvl w:val="0"/>
          <w:numId w:val="0"/>
        </w:numPr>
        <w:spacing w:line="240" w:lineRule="auto"/>
        <w:jc w:val="both"/>
        <w:rPr>
          <w:rFonts w:ascii="Times New Roman" w:hAnsi="Times New Roman" w:cs="Times New Roman"/>
          <w:b/>
          <w:bCs/>
        </w:rPr>
      </w:pPr>
      <w:r w:rsidRPr="00EB6701">
        <w:rPr>
          <w:rFonts w:ascii="Times New Roman" w:hAnsi="Times New Roman" w:cs="Times New Roman"/>
          <w:b/>
          <w:bCs/>
        </w:rPr>
        <w:lastRenderedPageBreak/>
        <w:t>Enforcement - Contempt – Custody – Duty to Inform &amp; Continue Same Health Care Provider – Found</w:t>
      </w:r>
    </w:p>
    <w:p w14:paraId="0B675A68" w14:textId="77777777" w:rsidR="00EB6701" w:rsidRPr="00EB6701" w:rsidRDefault="00EB6701" w:rsidP="00EB6701">
      <w:pPr>
        <w:pStyle w:val="Heading2"/>
        <w:numPr>
          <w:ilvl w:val="0"/>
          <w:numId w:val="0"/>
        </w:numPr>
        <w:spacing w:line="240" w:lineRule="auto"/>
        <w:jc w:val="both"/>
        <w:rPr>
          <w:b/>
          <w:bCs/>
        </w:rPr>
      </w:pPr>
    </w:p>
    <w:p w14:paraId="24AA4F5A" w14:textId="392C3CDF" w:rsidR="00EB6701" w:rsidRDefault="00EB6701" w:rsidP="00EB6701">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In </w:t>
      </w:r>
      <w:r w:rsidRPr="00EB6701">
        <w:rPr>
          <w:rFonts w:ascii="Times New Roman" w:hAnsi="Times New Roman" w:cs="Times New Roman"/>
          <w:b/>
          <w:bCs/>
          <w:i/>
          <w:iCs/>
        </w:rPr>
        <w:t xml:space="preserve">Matter of </w:t>
      </w:r>
      <w:proofErr w:type="spellStart"/>
      <w:r w:rsidRPr="00EB6701">
        <w:rPr>
          <w:rFonts w:ascii="Times New Roman" w:hAnsi="Times New Roman" w:cs="Times New Roman"/>
          <w:b/>
          <w:bCs/>
          <w:i/>
          <w:iCs/>
        </w:rPr>
        <w:t>Smallberg</w:t>
      </w:r>
      <w:proofErr w:type="spellEnd"/>
      <w:r w:rsidRPr="00EB6701">
        <w:rPr>
          <w:rFonts w:ascii="Times New Roman" w:hAnsi="Times New Roman" w:cs="Times New Roman"/>
          <w:b/>
          <w:bCs/>
          <w:i/>
          <w:iCs/>
        </w:rPr>
        <w:t xml:space="preserve"> v. </w:t>
      </w:r>
      <w:proofErr w:type="spellStart"/>
      <w:r w:rsidRPr="00EB6701">
        <w:rPr>
          <w:rFonts w:ascii="Times New Roman" w:hAnsi="Times New Roman" w:cs="Times New Roman"/>
          <w:b/>
          <w:bCs/>
          <w:i/>
          <w:iCs/>
        </w:rPr>
        <w:t>Meguira</w:t>
      </w:r>
      <w:proofErr w:type="spellEnd"/>
      <w:r>
        <w:rPr>
          <w:rFonts w:ascii="Times New Roman" w:hAnsi="Times New Roman" w:cs="Times New Roman"/>
        </w:rPr>
        <w:t>, 2026 Westlaw 1741389 (2d Dept. June 17, 2026), the mother appealed from a May 2024 Family Court order which, after a hearing, granted the father’s petition to hold the mother in contempt of a May 2023 order and fined her $500. The Second Department affirmed, holding that the father established through clear and convincing evidence that the mother violated an unequivocal order of which she was aware, “by failing to timely inform the father of a dental appointment and by scheduling an appointment with a dentist other than the one specified in the prior order, thereby causing the child to be subjected to a second round of X-rays in a 12-day period.” The mother failed to refute the father’s showing or offer a defense of inability to comply.</w:t>
      </w:r>
    </w:p>
    <w:p w14:paraId="2D26F403" w14:textId="77777777" w:rsidR="005F7310" w:rsidRDefault="005F7310" w:rsidP="00CC0A87">
      <w:pPr>
        <w:pStyle w:val="Heading2"/>
        <w:numPr>
          <w:ilvl w:val="0"/>
          <w:numId w:val="0"/>
        </w:numPr>
        <w:spacing w:line="240" w:lineRule="auto"/>
        <w:jc w:val="both"/>
        <w:rPr>
          <w:rFonts w:ascii="Times New Roman" w:hAnsi="Times New Roman" w:cs="Times New Roman"/>
        </w:rPr>
      </w:pPr>
    </w:p>
    <w:p w14:paraId="591087A0" w14:textId="77777777" w:rsidR="005F7310" w:rsidRDefault="005F7310" w:rsidP="005F7310">
      <w:pPr>
        <w:pStyle w:val="Heading2"/>
        <w:numPr>
          <w:ilvl w:val="0"/>
          <w:numId w:val="0"/>
        </w:numPr>
        <w:spacing w:line="240" w:lineRule="auto"/>
        <w:jc w:val="both"/>
        <w:rPr>
          <w:rFonts w:ascii="Times New Roman" w:hAnsi="Times New Roman" w:cs="Times New Roman"/>
          <w:b/>
          <w:bCs/>
        </w:rPr>
      </w:pPr>
      <w:r w:rsidRPr="005F7310">
        <w:rPr>
          <w:rFonts w:ascii="Times New Roman" w:hAnsi="Times New Roman" w:cs="Times New Roman"/>
          <w:b/>
          <w:bCs/>
        </w:rPr>
        <w:t>Equitable Distribution - Proportions – Marital Residence (50%); Retirement Accounts (10%)</w:t>
      </w:r>
    </w:p>
    <w:p w14:paraId="55E129EA" w14:textId="77777777" w:rsidR="005F7310" w:rsidRPr="005F7310" w:rsidRDefault="005F7310" w:rsidP="005F7310">
      <w:pPr>
        <w:pStyle w:val="Heading2"/>
        <w:numPr>
          <w:ilvl w:val="0"/>
          <w:numId w:val="0"/>
        </w:numPr>
        <w:spacing w:line="240" w:lineRule="auto"/>
        <w:jc w:val="both"/>
        <w:rPr>
          <w:rFonts w:ascii="Times New Roman" w:hAnsi="Times New Roman" w:cs="Times New Roman"/>
          <w:b/>
          <w:bCs/>
        </w:rPr>
      </w:pPr>
    </w:p>
    <w:p w14:paraId="26CDB140" w14:textId="6A2FFC1C" w:rsidR="005F7310" w:rsidRDefault="005F7310" w:rsidP="005F7310">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In </w:t>
      </w:r>
      <w:r w:rsidRPr="005F7310">
        <w:rPr>
          <w:rFonts w:ascii="Times New Roman" w:hAnsi="Times New Roman" w:cs="Times New Roman"/>
          <w:b/>
          <w:bCs/>
          <w:i/>
          <w:iCs/>
        </w:rPr>
        <w:t>Noel v. Noel</w:t>
      </w:r>
      <w:r>
        <w:rPr>
          <w:rFonts w:ascii="Times New Roman" w:hAnsi="Times New Roman" w:cs="Times New Roman"/>
        </w:rPr>
        <w:t>, 2026 Westlaw 1579985 (2d Dept. June 3, 2026), the parties were married in 1989 and have 2 emancipated children. The husband appealed from a January 2022 judgment of divorce which, upon an October 2021 decision following trial of his July 2014 action, found that: (1) 50% of the marital residence was marital property and awarded each party a 25% interest therein; and (2) awarded him 10% of the value of each of the wife’s retirement accounts. The Second Department affirmed, holding: (1) that the wife overcame the marital property presumption as to the residence and Supreme Court “had a sufficient basis to determine that 50% of the marital residence was marital property” and properly awarded the wife a 25% interest therein; and (2) “[n]</w:t>
      </w:r>
      <w:proofErr w:type="spellStart"/>
      <w:r>
        <w:rPr>
          <w:rFonts w:ascii="Times New Roman" w:hAnsi="Times New Roman" w:cs="Times New Roman"/>
        </w:rPr>
        <w:t>otwithstanding</w:t>
      </w:r>
      <w:proofErr w:type="spellEnd"/>
      <w:r>
        <w:rPr>
          <w:rFonts w:ascii="Times New Roman" w:hAnsi="Times New Roman" w:cs="Times New Roman"/>
        </w:rPr>
        <w:t xml:space="preserve"> the long duration of the parties’ marriage, there is no requirement that the distribution of each item of property be made on an equal basis (citations omitted).”</w:t>
      </w:r>
    </w:p>
    <w:p w14:paraId="4D342E29" w14:textId="77777777" w:rsidR="006E05BB" w:rsidRDefault="006E05BB" w:rsidP="005F7310">
      <w:pPr>
        <w:pStyle w:val="Heading2"/>
        <w:numPr>
          <w:ilvl w:val="0"/>
          <w:numId w:val="0"/>
        </w:numPr>
        <w:spacing w:line="240" w:lineRule="auto"/>
        <w:jc w:val="both"/>
        <w:rPr>
          <w:rFonts w:ascii="Times New Roman" w:hAnsi="Times New Roman" w:cs="Times New Roman"/>
        </w:rPr>
      </w:pPr>
    </w:p>
    <w:p w14:paraId="16043508" w14:textId="6F83E338" w:rsidR="008A25B9" w:rsidRDefault="008A25B9" w:rsidP="006E05BB">
      <w:pPr>
        <w:pStyle w:val="Heading2"/>
        <w:numPr>
          <w:ilvl w:val="0"/>
          <w:numId w:val="0"/>
        </w:numPr>
        <w:rPr>
          <w:rFonts w:ascii="Times New Roman" w:hAnsi="Times New Roman" w:cs="Times New Roman"/>
          <w:b/>
          <w:bCs/>
        </w:rPr>
      </w:pPr>
      <w:r>
        <w:rPr>
          <w:rFonts w:ascii="Times New Roman" w:hAnsi="Times New Roman" w:cs="Times New Roman"/>
          <w:b/>
          <w:bCs/>
        </w:rPr>
        <w:t>Evidence – Authentication – Article</w:t>
      </w:r>
    </w:p>
    <w:p w14:paraId="6BBC1812" w14:textId="1E73C66F" w:rsidR="008A25B9" w:rsidRDefault="008A25B9" w:rsidP="008A25B9">
      <w:pPr>
        <w:pStyle w:val="Heading2"/>
        <w:numPr>
          <w:ilvl w:val="0"/>
          <w:numId w:val="0"/>
        </w:numPr>
        <w:spacing w:line="240" w:lineRule="auto"/>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For an informative article, </w:t>
      </w:r>
      <w:r w:rsidRPr="00F51D92">
        <w:rPr>
          <w:rFonts w:ascii="Times New Roman" w:hAnsi="Times New Roman" w:cs="Times New Roman"/>
          <w:i/>
          <w:iCs/>
        </w:rPr>
        <w:t>see</w:t>
      </w:r>
      <w:r>
        <w:rPr>
          <w:rFonts w:ascii="Times New Roman" w:hAnsi="Times New Roman" w:cs="Times New Roman"/>
        </w:rPr>
        <w:t xml:space="preserve"> Robert D. Bannister, “When in Doubt, Always Authenticate!” </w:t>
      </w:r>
      <w:r w:rsidRPr="00F51D92">
        <w:rPr>
          <w:rFonts w:ascii="Times New Roman" w:hAnsi="Times New Roman" w:cs="Times New Roman"/>
          <w:i/>
          <w:iCs/>
        </w:rPr>
        <w:t>NY Law Journal</w:t>
      </w:r>
      <w:r>
        <w:rPr>
          <w:rFonts w:ascii="Times New Roman" w:hAnsi="Times New Roman" w:cs="Times New Roman"/>
        </w:rPr>
        <w:t>, June 29, 2026.</w:t>
      </w:r>
    </w:p>
    <w:p w14:paraId="73BC052F" w14:textId="77777777" w:rsidR="008A25B9" w:rsidRDefault="008A25B9" w:rsidP="008A25B9">
      <w:pPr>
        <w:pStyle w:val="Heading2"/>
        <w:numPr>
          <w:ilvl w:val="0"/>
          <w:numId w:val="0"/>
        </w:numPr>
        <w:spacing w:line="240" w:lineRule="auto"/>
        <w:jc w:val="both"/>
        <w:rPr>
          <w:rFonts w:ascii="Times New Roman" w:hAnsi="Times New Roman" w:cs="Times New Roman"/>
          <w:b/>
          <w:bCs/>
        </w:rPr>
      </w:pPr>
    </w:p>
    <w:p w14:paraId="70EC137F" w14:textId="03F62C0A" w:rsidR="006E05BB" w:rsidRPr="006E05BB" w:rsidRDefault="006E05BB" w:rsidP="006E05BB">
      <w:pPr>
        <w:pStyle w:val="Heading2"/>
        <w:numPr>
          <w:ilvl w:val="0"/>
          <w:numId w:val="0"/>
        </w:numPr>
        <w:rPr>
          <w:b/>
          <w:bCs/>
        </w:rPr>
      </w:pPr>
      <w:r w:rsidRPr="006E05BB">
        <w:rPr>
          <w:rFonts w:ascii="Times New Roman" w:hAnsi="Times New Roman" w:cs="Times New Roman"/>
          <w:b/>
          <w:bCs/>
        </w:rPr>
        <w:t>Evidence - Direct Examination of Witnesses – Article</w:t>
      </w:r>
    </w:p>
    <w:p w14:paraId="3B2F8542" w14:textId="2BB4F004" w:rsidR="006E05BB" w:rsidRDefault="006E05BB" w:rsidP="006E05BB">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For an informative article, </w:t>
      </w:r>
      <w:r w:rsidRPr="00C26563">
        <w:rPr>
          <w:rFonts w:ascii="Times New Roman" w:hAnsi="Times New Roman" w:cs="Times New Roman"/>
          <w:i/>
          <w:iCs/>
        </w:rPr>
        <w:t>see</w:t>
      </w:r>
      <w:r>
        <w:rPr>
          <w:rFonts w:ascii="Times New Roman" w:hAnsi="Times New Roman" w:cs="Times New Roman"/>
        </w:rPr>
        <w:t xml:space="preserve"> Prof. Michael J. Hutter, “Direct Examination of Witnesses: Some Basic Rules,” </w:t>
      </w:r>
      <w:r w:rsidRPr="00C26563">
        <w:rPr>
          <w:rFonts w:ascii="Times New Roman" w:hAnsi="Times New Roman" w:cs="Times New Roman"/>
          <w:i/>
          <w:iCs/>
        </w:rPr>
        <w:t>NY Law Journal</w:t>
      </w:r>
      <w:r>
        <w:rPr>
          <w:rFonts w:ascii="Times New Roman" w:hAnsi="Times New Roman" w:cs="Times New Roman"/>
        </w:rPr>
        <w:t>, June 15, 2026.</w:t>
      </w:r>
    </w:p>
    <w:p w14:paraId="4FDE01B8" w14:textId="77777777" w:rsidR="00EB6701" w:rsidRDefault="00EB6701" w:rsidP="005F7310">
      <w:pPr>
        <w:pStyle w:val="Heading2"/>
        <w:numPr>
          <w:ilvl w:val="0"/>
          <w:numId w:val="0"/>
        </w:numPr>
        <w:spacing w:line="240" w:lineRule="auto"/>
        <w:jc w:val="both"/>
        <w:rPr>
          <w:rFonts w:ascii="Times New Roman" w:hAnsi="Times New Roman" w:cs="Times New Roman"/>
        </w:rPr>
      </w:pPr>
    </w:p>
    <w:p w14:paraId="1AAEF249" w14:textId="77777777" w:rsidR="00EB6701" w:rsidRPr="00EB6701" w:rsidRDefault="00EB6701" w:rsidP="00EB6701">
      <w:pPr>
        <w:pStyle w:val="Heading2"/>
        <w:numPr>
          <w:ilvl w:val="0"/>
          <w:numId w:val="0"/>
        </w:numPr>
        <w:rPr>
          <w:b/>
          <w:bCs/>
        </w:rPr>
      </w:pPr>
      <w:r w:rsidRPr="00EB6701">
        <w:rPr>
          <w:rFonts w:ascii="Times New Roman" w:hAnsi="Times New Roman" w:cs="Times New Roman"/>
          <w:b/>
          <w:bCs/>
        </w:rPr>
        <w:t>Family Offense - AFC Has Standing to File</w:t>
      </w:r>
    </w:p>
    <w:p w14:paraId="571D4B63" w14:textId="449198B6" w:rsidR="00EB6701" w:rsidRDefault="00EB6701" w:rsidP="00EB6701">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In </w:t>
      </w:r>
      <w:r w:rsidRPr="00EB6701">
        <w:rPr>
          <w:rFonts w:ascii="Times New Roman" w:hAnsi="Times New Roman" w:cs="Times New Roman"/>
          <w:b/>
          <w:bCs/>
          <w:i/>
          <w:iCs/>
        </w:rPr>
        <w:t>Matter of Lockhart v. Monica</w:t>
      </w:r>
      <w:r>
        <w:rPr>
          <w:rFonts w:ascii="Times New Roman" w:hAnsi="Times New Roman" w:cs="Times New Roman"/>
        </w:rPr>
        <w:t>, 2026 Westlaw 1618423 (4</w:t>
      </w:r>
      <w:r w:rsidRPr="00831420">
        <w:rPr>
          <w:rFonts w:ascii="Times New Roman" w:hAnsi="Times New Roman" w:cs="Times New Roman"/>
          <w:vertAlign w:val="superscript"/>
        </w:rPr>
        <w:t>th</w:t>
      </w:r>
      <w:r>
        <w:rPr>
          <w:rFonts w:ascii="Times New Roman" w:hAnsi="Times New Roman" w:cs="Times New Roman"/>
        </w:rPr>
        <w:t xml:space="preserve"> Dept. June 5, 2026), the grandmother appealed from a July 2024 Family Court order which found that she had committed harassment 2d and directed her to stay away from the subject child. The grandmother moved to dismiss, among other things, upon the ground that the AFC lacked standing to file a family offense petition. The Fourth Department affirmed, holding that an AFC may file a family offense petition based upon the “duty to protect the child’s interests,” citing FCA 241 and 249(a).</w:t>
      </w:r>
    </w:p>
    <w:p w14:paraId="25B66717" w14:textId="77777777" w:rsidR="00223B80" w:rsidRDefault="00223B80" w:rsidP="0000346D">
      <w:pPr>
        <w:pStyle w:val="Heading2"/>
        <w:numPr>
          <w:ilvl w:val="0"/>
          <w:numId w:val="0"/>
        </w:numPr>
        <w:rPr>
          <w:rFonts w:ascii="Times New Roman" w:hAnsi="Times New Roman" w:cs="Times New Roman"/>
          <w:b/>
          <w:bCs/>
        </w:rPr>
      </w:pPr>
    </w:p>
    <w:p w14:paraId="17D21B1C" w14:textId="6D6DBB46" w:rsidR="0000346D" w:rsidRPr="00D94D1E" w:rsidRDefault="008A25B9" w:rsidP="0000346D">
      <w:pPr>
        <w:pStyle w:val="Heading2"/>
        <w:numPr>
          <w:ilvl w:val="0"/>
          <w:numId w:val="0"/>
        </w:numPr>
      </w:pPr>
      <w:r>
        <w:rPr>
          <w:rFonts w:ascii="Times New Roman" w:hAnsi="Times New Roman" w:cs="Times New Roman"/>
          <w:b/>
          <w:bCs/>
        </w:rPr>
        <w:lastRenderedPageBreak/>
        <w:t xml:space="preserve">Family </w:t>
      </w:r>
      <w:r w:rsidR="0000346D">
        <w:rPr>
          <w:rFonts w:ascii="Times New Roman" w:hAnsi="Times New Roman" w:cs="Times New Roman"/>
          <w:b/>
          <w:bCs/>
        </w:rPr>
        <w:t xml:space="preserve">Offense </w:t>
      </w:r>
      <w:r w:rsidR="0000346D" w:rsidRPr="0000346D">
        <w:rPr>
          <w:rFonts w:ascii="Times New Roman" w:hAnsi="Times New Roman" w:cs="Times New Roman"/>
          <w:b/>
          <w:bCs/>
        </w:rPr>
        <w:t>– Dismissal by Referee – Reversed</w:t>
      </w:r>
    </w:p>
    <w:p w14:paraId="13D9734F" w14:textId="7266BB8A" w:rsidR="0000346D" w:rsidRDefault="0000346D" w:rsidP="0000346D">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In </w:t>
      </w:r>
      <w:r w:rsidRPr="0000346D">
        <w:rPr>
          <w:rFonts w:ascii="Times New Roman" w:hAnsi="Times New Roman" w:cs="Times New Roman"/>
          <w:b/>
          <w:bCs/>
          <w:i/>
          <w:iCs/>
        </w:rPr>
        <w:t>Matter of Fournier v. Perez</w:t>
      </w:r>
      <w:r>
        <w:rPr>
          <w:rFonts w:ascii="Times New Roman" w:hAnsi="Times New Roman" w:cs="Times New Roman"/>
        </w:rPr>
        <w:t>, 2026 Westlaw 1840638 (4</w:t>
      </w:r>
      <w:r w:rsidRPr="00D94D1E">
        <w:rPr>
          <w:rFonts w:ascii="Times New Roman" w:hAnsi="Times New Roman" w:cs="Times New Roman"/>
          <w:vertAlign w:val="superscript"/>
        </w:rPr>
        <w:t>th</w:t>
      </w:r>
      <w:r>
        <w:rPr>
          <w:rFonts w:ascii="Times New Roman" w:hAnsi="Times New Roman" w:cs="Times New Roman"/>
        </w:rPr>
        <w:t xml:space="preserve"> Dept. June 26, 2026), the wife appealed from a December 2024 Family Court order which, without a hearing and at the first appearance, dismissed her family offense petition against the husband, based upon “insufficient evidence of a family offense.” The Fourth Department reversed, on the law, reinstated the petition, and </w:t>
      </w:r>
      <w:proofErr w:type="gramStart"/>
      <w:r>
        <w:rPr>
          <w:rFonts w:ascii="Times New Roman" w:hAnsi="Times New Roman" w:cs="Times New Roman"/>
        </w:rPr>
        <w:t>remitted</w:t>
      </w:r>
      <w:proofErr w:type="gramEnd"/>
      <w:r>
        <w:rPr>
          <w:rFonts w:ascii="Times New Roman" w:hAnsi="Times New Roman" w:cs="Times New Roman"/>
        </w:rPr>
        <w:t xml:space="preserve"> to Family Court. The Appellate Division noted that: the wife refused to consent to having the Referee hear and determine the matter; the husband was not present at the first appearance; the Referee therefore lacked jurisdiction to dismiss the petition pursuant to CPLR 4317(a), given that the lack of consent to “hear and determine” only permitted the Referee to “hear and report”; and none of the exceptions contained in CPLR 4317(b) [examination of a long account, damages separately triable and not requiring a jury trial, or otherwise authorized by law] applied. The Court concluded that reversal was also required because the Referee failed to inform the wife of her right to counsel and the right to </w:t>
      </w:r>
      <w:proofErr w:type="gramStart"/>
      <w:r>
        <w:rPr>
          <w:rFonts w:ascii="Times New Roman" w:hAnsi="Times New Roman" w:cs="Times New Roman"/>
        </w:rPr>
        <w:t>assigned</w:t>
      </w:r>
      <w:proofErr w:type="gramEnd"/>
      <w:r>
        <w:rPr>
          <w:rFonts w:ascii="Times New Roman" w:hAnsi="Times New Roman" w:cs="Times New Roman"/>
        </w:rPr>
        <w:t xml:space="preserve"> counsel pursuant to FCA 262(a)(ii).</w:t>
      </w:r>
    </w:p>
    <w:p w14:paraId="2E6B4127" w14:textId="77777777" w:rsidR="0000346D" w:rsidRDefault="0000346D" w:rsidP="0000346D">
      <w:pPr>
        <w:pStyle w:val="Heading2"/>
        <w:numPr>
          <w:ilvl w:val="0"/>
          <w:numId w:val="0"/>
        </w:numPr>
        <w:spacing w:line="240" w:lineRule="auto"/>
        <w:jc w:val="both"/>
        <w:rPr>
          <w:rFonts w:ascii="Times New Roman" w:hAnsi="Times New Roman" w:cs="Times New Roman"/>
        </w:rPr>
      </w:pPr>
    </w:p>
    <w:p w14:paraId="72D8C34E" w14:textId="77777777" w:rsidR="0000346D" w:rsidRPr="0000346D" w:rsidRDefault="0000346D" w:rsidP="0000346D">
      <w:pPr>
        <w:pStyle w:val="Heading2"/>
        <w:numPr>
          <w:ilvl w:val="0"/>
          <w:numId w:val="0"/>
        </w:numPr>
        <w:rPr>
          <w:b/>
          <w:bCs/>
        </w:rPr>
      </w:pPr>
      <w:r w:rsidRPr="0000346D">
        <w:rPr>
          <w:rFonts w:ascii="Times New Roman" w:hAnsi="Times New Roman" w:cs="Times New Roman"/>
          <w:b/>
          <w:bCs/>
        </w:rPr>
        <w:t>Family Offense - Extension of Order of Protection – Granted</w:t>
      </w:r>
    </w:p>
    <w:p w14:paraId="56E1581F" w14:textId="00C97449" w:rsidR="0000346D" w:rsidRDefault="0000346D" w:rsidP="0000346D">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In </w:t>
      </w:r>
      <w:r w:rsidRPr="0000346D">
        <w:rPr>
          <w:rFonts w:ascii="Times New Roman" w:hAnsi="Times New Roman" w:cs="Times New Roman"/>
          <w:b/>
          <w:bCs/>
          <w:i/>
          <w:iCs/>
        </w:rPr>
        <w:t xml:space="preserve">Matter of Chew v. </w:t>
      </w:r>
      <w:proofErr w:type="spellStart"/>
      <w:r w:rsidRPr="0000346D">
        <w:rPr>
          <w:rFonts w:ascii="Times New Roman" w:hAnsi="Times New Roman" w:cs="Times New Roman"/>
          <w:b/>
          <w:bCs/>
          <w:i/>
          <w:iCs/>
        </w:rPr>
        <w:t>Ihewkumere</w:t>
      </w:r>
      <w:proofErr w:type="spellEnd"/>
      <w:r>
        <w:rPr>
          <w:rFonts w:ascii="Times New Roman" w:hAnsi="Times New Roman" w:cs="Times New Roman"/>
        </w:rPr>
        <w:t>, 2026 Westlaw 1813387 (2d Dept. June 24, 2026), the father appealed from an August 2024 Family Court order, which extended a September 2022 (2-year) stay away order of protection in favor of the mother and the parties’ 2 children, until August 2026. The Second Department affirmed, holding that there was good cause pursuant to FCA 842 to extend the September 2022 order “based upon the father’s conduct, including repeatedly contacting the mother’s employer and co-workers and making false accusations about her (citations omitted).”</w:t>
      </w:r>
    </w:p>
    <w:p w14:paraId="054D06AC" w14:textId="77777777" w:rsidR="0000346D" w:rsidRDefault="0000346D" w:rsidP="0000346D">
      <w:pPr>
        <w:pStyle w:val="Heading2"/>
        <w:numPr>
          <w:ilvl w:val="0"/>
          <w:numId w:val="0"/>
        </w:numPr>
        <w:spacing w:line="240" w:lineRule="auto"/>
        <w:jc w:val="both"/>
        <w:rPr>
          <w:rFonts w:ascii="Times New Roman" w:hAnsi="Times New Roman" w:cs="Times New Roman"/>
          <w:b/>
          <w:bCs/>
        </w:rPr>
      </w:pPr>
    </w:p>
    <w:p w14:paraId="401DF69F" w14:textId="78C0B47F" w:rsidR="006E05BB" w:rsidRPr="006E05BB" w:rsidRDefault="006E05BB" w:rsidP="006E05BB">
      <w:pPr>
        <w:pStyle w:val="Heading2"/>
        <w:numPr>
          <w:ilvl w:val="0"/>
          <w:numId w:val="0"/>
        </w:numPr>
        <w:rPr>
          <w:b/>
          <w:bCs/>
        </w:rPr>
      </w:pPr>
      <w:r w:rsidRPr="006E05BB">
        <w:rPr>
          <w:rFonts w:ascii="Times New Roman" w:hAnsi="Times New Roman" w:cs="Times New Roman"/>
          <w:b/>
          <w:bCs/>
        </w:rPr>
        <w:t>Family Offense - Extreme Risk Order of Protection – Reversed and Dismissed – Hearsay</w:t>
      </w:r>
    </w:p>
    <w:p w14:paraId="48C54B61" w14:textId="588B0DB3" w:rsidR="006E05BB" w:rsidRDefault="006E05BB" w:rsidP="006E05BB">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In </w:t>
      </w:r>
      <w:r w:rsidRPr="006E05BB">
        <w:rPr>
          <w:rFonts w:ascii="Times New Roman" w:hAnsi="Times New Roman" w:cs="Times New Roman"/>
          <w:b/>
          <w:bCs/>
          <w:i/>
          <w:iCs/>
        </w:rPr>
        <w:t xml:space="preserve">Matter of Preller v. </w:t>
      </w:r>
      <w:proofErr w:type="spellStart"/>
      <w:r w:rsidRPr="006E05BB">
        <w:rPr>
          <w:rFonts w:ascii="Times New Roman" w:hAnsi="Times New Roman" w:cs="Times New Roman"/>
          <w:b/>
          <w:bCs/>
          <w:i/>
          <w:iCs/>
        </w:rPr>
        <w:t>Collesano</w:t>
      </w:r>
      <w:proofErr w:type="spellEnd"/>
      <w:r>
        <w:rPr>
          <w:rFonts w:ascii="Times New Roman" w:hAnsi="Times New Roman" w:cs="Times New Roman"/>
        </w:rPr>
        <w:t xml:space="preserve">, 2026 Westlaw 1741390 (2d Dept. June 17, 2026), the wife appealed from an August 2022 Supreme Court order which, after a hearing, granted police officer Preller’s July 2022 petition seeking an extreme risk order of protection against her and issued a 1-year order. The petition alleged that while intoxicated, the wife lunged at the husband, bit him in the arm, picked up a kitchen knife, and from 4 feet away, stated “I could kill you right now.” The husband had commenced a divorce action in May 2022.  The sole witness at the hearing was officer Amaya, who testified that he was dispatched to the hospital to interview the husband, who told him about the foregoing incident which occurred in the backyard of the parties’ home in the presence of the </w:t>
      </w:r>
      <w:proofErr w:type="gramStart"/>
      <w:r>
        <w:rPr>
          <w:rFonts w:ascii="Times New Roman" w:hAnsi="Times New Roman" w:cs="Times New Roman"/>
        </w:rPr>
        <w:t>parties’</w:t>
      </w:r>
      <w:proofErr w:type="gramEnd"/>
      <w:r>
        <w:rPr>
          <w:rFonts w:ascii="Times New Roman" w:hAnsi="Times New Roman" w:cs="Times New Roman"/>
        </w:rPr>
        <w:t xml:space="preserve"> 2 daughters. Officer Amaya further testified that he went to the parties’ home, spoke to the wife and she appeared to be intoxicated.  The Second Department reversed on the law and dismissed the petition, holding that the same was not supported by clear and convincing evidence, while noting that CPLR 6343(2) permits only 2 forms of hearsay: (1) the petition and (2) the background report a court may authorize at the time a temporary extreme risk order is issued. The Appellate Division observed that no documents were admitted into evidence at the hearing and concluded: “Here, Officer Amaya’s testimony provided two hearsay versions of the events: “[the husband’s] version and the [wife’s] version that it never happened” and “[t]he petitioner’s proof was based solely upon hearsay, which did not fall within any exception to the rules excluding hearsay from evidence.”</w:t>
      </w:r>
    </w:p>
    <w:p w14:paraId="62E96910" w14:textId="77777777" w:rsidR="0000346D" w:rsidRDefault="0000346D" w:rsidP="006E05BB">
      <w:pPr>
        <w:pStyle w:val="Heading2"/>
        <w:numPr>
          <w:ilvl w:val="0"/>
          <w:numId w:val="0"/>
        </w:numPr>
        <w:spacing w:line="240" w:lineRule="auto"/>
        <w:jc w:val="both"/>
        <w:rPr>
          <w:rFonts w:ascii="Times New Roman" w:hAnsi="Times New Roman" w:cs="Times New Roman"/>
        </w:rPr>
      </w:pPr>
    </w:p>
    <w:p w14:paraId="06BBE079" w14:textId="19C7FB46" w:rsidR="006E05BB" w:rsidRPr="00DB45D0" w:rsidRDefault="006E05BB" w:rsidP="006E05BB">
      <w:pPr>
        <w:pStyle w:val="Heading2"/>
        <w:numPr>
          <w:ilvl w:val="0"/>
          <w:numId w:val="0"/>
        </w:numPr>
      </w:pPr>
      <w:r w:rsidRPr="006E05BB">
        <w:rPr>
          <w:rFonts w:ascii="Times New Roman" w:hAnsi="Times New Roman" w:cs="Times New Roman"/>
          <w:b/>
          <w:bCs/>
        </w:rPr>
        <w:lastRenderedPageBreak/>
        <w:t>Parentage</w:t>
      </w:r>
      <w:r>
        <w:rPr>
          <w:rFonts w:ascii="Times New Roman" w:hAnsi="Times New Roman" w:cs="Times New Roman"/>
          <w:b/>
          <w:bCs/>
        </w:rPr>
        <w:t xml:space="preserve"> </w:t>
      </w:r>
      <w:r w:rsidRPr="006E05BB">
        <w:rPr>
          <w:rFonts w:ascii="Times New Roman" w:hAnsi="Times New Roman" w:cs="Times New Roman"/>
          <w:b/>
          <w:bCs/>
        </w:rPr>
        <w:t>- Judicial Discretion Under FCA 581-306 – Article</w:t>
      </w:r>
    </w:p>
    <w:p w14:paraId="133C46EB" w14:textId="709F2C37" w:rsidR="006E05BB" w:rsidRDefault="006E05BB" w:rsidP="006E05BB">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For an informative article, </w:t>
      </w:r>
      <w:r w:rsidRPr="006E05BB">
        <w:rPr>
          <w:rFonts w:ascii="Times New Roman" w:hAnsi="Times New Roman" w:cs="Times New Roman"/>
          <w:i/>
          <w:iCs/>
        </w:rPr>
        <w:t>see</w:t>
      </w:r>
      <w:r>
        <w:rPr>
          <w:rFonts w:ascii="Times New Roman" w:hAnsi="Times New Roman" w:cs="Times New Roman"/>
        </w:rPr>
        <w:t xml:space="preserve"> Lisa </w:t>
      </w:r>
      <w:proofErr w:type="spellStart"/>
      <w:r>
        <w:rPr>
          <w:rFonts w:ascii="Times New Roman" w:hAnsi="Times New Roman" w:cs="Times New Roman"/>
        </w:rPr>
        <w:t>Zeiderman</w:t>
      </w:r>
      <w:proofErr w:type="spellEnd"/>
      <w:r>
        <w:rPr>
          <w:rFonts w:ascii="Times New Roman" w:hAnsi="Times New Roman" w:cs="Times New Roman"/>
        </w:rPr>
        <w:t xml:space="preserve"> and Julia Rodgers, “When IVF Clinic Forms Are Not Enough: Judicial Discretion Under New York Family Court Act §581-306,” </w:t>
      </w:r>
      <w:r w:rsidRPr="00DB45D0">
        <w:rPr>
          <w:rFonts w:ascii="Times New Roman" w:hAnsi="Times New Roman" w:cs="Times New Roman"/>
          <w:i/>
          <w:iCs/>
        </w:rPr>
        <w:t>NY Law Journal</w:t>
      </w:r>
      <w:r>
        <w:rPr>
          <w:rFonts w:ascii="Times New Roman" w:hAnsi="Times New Roman" w:cs="Times New Roman"/>
        </w:rPr>
        <w:t>, June 5, 2026.</w:t>
      </w:r>
    </w:p>
    <w:p w14:paraId="4EC65723" w14:textId="77777777" w:rsidR="0000346D" w:rsidRDefault="0000346D" w:rsidP="006E05BB">
      <w:pPr>
        <w:pStyle w:val="Heading2"/>
        <w:numPr>
          <w:ilvl w:val="0"/>
          <w:numId w:val="0"/>
        </w:numPr>
        <w:spacing w:line="240" w:lineRule="auto"/>
        <w:jc w:val="both"/>
        <w:rPr>
          <w:rFonts w:ascii="Times New Roman" w:hAnsi="Times New Roman" w:cs="Times New Roman"/>
        </w:rPr>
      </w:pPr>
    </w:p>
    <w:p w14:paraId="59DAFF89" w14:textId="77777777" w:rsidR="00C979E0" w:rsidRPr="00C979E0" w:rsidRDefault="0000346D" w:rsidP="00C979E0">
      <w:pPr>
        <w:pStyle w:val="Heading2"/>
        <w:numPr>
          <w:ilvl w:val="0"/>
          <w:numId w:val="0"/>
        </w:numPr>
        <w:jc w:val="both"/>
        <w:rPr>
          <w:b/>
          <w:bCs/>
        </w:rPr>
      </w:pPr>
      <w:r w:rsidRPr="00C979E0">
        <w:rPr>
          <w:rFonts w:ascii="Times New Roman" w:hAnsi="Times New Roman" w:cs="Times New Roman"/>
          <w:b/>
          <w:bCs/>
        </w:rPr>
        <w:t>Pendente Lite</w:t>
      </w:r>
      <w:r w:rsidR="00C979E0" w:rsidRPr="00C979E0">
        <w:rPr>
          <w:rFonts w:ascii="Times New Roman" w:hAnsi="Times New Roman" w:cs="Times New Roman"/>
          <w:b/>
          <w:bCs/>
        </w:rPr>
        <w:t xml:space="preserve"> - Child Support – Denied – Prior Alienation Not Cured</w:t>
      </w:r>
    </w:p>
    <w:p w14:paraId="51B89A91" w14:textId="418A152B" w:rsidR="0000346D" w:rsidRPr="006E05BB" w:rsidRDefault="00C979E0" w:rsidP="00C979E0">
      <w:pPr>
        <w:pStyle w:val="Heading2"/>
        <w:numPr>
          <w:ilvl w:val="0"/>
          <w:numId w:val="0"/>
        </w:numPr>
        <w:spacing w:line="240" w:lineRule="auto"/>
        <w:jc w:val="both"/>
        <w:rPr>
          <w:rFonts w:ascii="Times New Roman" w:hAnsi="Times New Roman" w:cs="Times New Roman"/>
          <w:b/>
          <w:bCs/>
        </w:rPr>
      </w:pPr>
      <w:r>
        <w:rPr>
          <w:rFonts w:ascii="Times New Roman" w:hAnsi="Times New Roman" w:cs="Times New Roman"/>
        </w:rPr>
        <w:tab/>
        <w:t xml:space="preserve">In </w:t>
      </w:r>
      <w:r w:rsidRPr="00C979E0">
        <w:rPr>
          <w:rFonts w:ascii="Times New Roman" w:hAnsi="Times New Roman" w:cs="Times New Roman"/>
          <w:b/>
          <w:bCs/>
          <w:i/>
          <w:iCs/>
        </w:rPr>
        <w:t>Rosenfeld v. Rosenfeld</w:t>
      </w:r>
      <w:r>
        <w:rPr>
          <w:rFonts w:ascii="Times New Roman" w:hAnsi="Times New Roman" w:cs="Times New Roman"/>
        </w:rPr>
        <w:t>, 2026 Westlaw 1826860 (1</w:t>
      </w:r>
      <w:r w:rsidRPr="00F8070C">
        <w:rPr>
          <w:rFonts w:ascii="Times New Roman" w:hAnsi="Times New Roman" w:cs="Times New Roman"/>
          <w:vertAlign w:val="superscript"/>
        </w:rPr>
        <w:t>st</w:t>
      </w:r>
      <w:r>
        <w:rPr>
          <w:rFonts w:ascii="Times New Roman" w:hAnsi="Times New Roman" w:cs="Times New Roman"/>
        </w:rPr>
        <w:t xml:space="preserve"> Dept. June 25, 2026), the mother appealed from a June 2024 Supreme Court order which denied her motion for temporary child support of $25,000 per month and a $10,000 per month travel allowance. Supreme Court, following a 35-day trial, issued a December 2021 order wherein it “determined that the mother had deliberately and actively alienated the child from the father in one of the most clear-cut and disturbing examples of parental alienation that this court has observed through thousands of custody cases over many years (internal quotation marks omitted).” Supreme Court in December 2021 “decided the pendente lite motion by directing the father to pay 90% of the child’s unreimbursed medical and mental health expenses and otherwise suspended the father’s child support obligation until the child’s visitation with the father was meaningfully resumed or there is otherwise good cause to resume the support (internal quotation marks and citation omitted).” The mother claimed in her within motion, which resulted in the order appealed from, that she had “complied with the 2021 order and the father now had meaningful parenting time with the child.” Supreme Court noted that the present application “was essentially a motion to modify the earlier pendente lite award.” The First Department affirmed, holding: “the mother failed to present any facts establishing good cause or that visitation had meaningfully resumed, as required by the prior order, from which she never appealed”; and she did not “demonstrate exigent circumstances requiring modification of the earlier pendente lite award (citation omitted).”</w:t>
      </w:r>
    </w:p>
    <w:p w14:paraId="7DEEFF95" w14:textId="77777777" w:rsidR="00B84DAC" w:rsidRDefault="00B84DAC" w:rsidP="005F7310">
      <w:pPr>
        <w:pStyle w:val="Heading2"/>
        <w:numPr>
          <w:ilvl w:val="0"/>
          <w:numId w:val="0"/>
        </w:numPr>
        <w:spacing w:line="240" w:lineRule="auto"/>
        <w:jc w:val="both"/>
        <w:rPr>
          <w:rFonts w:ascii="Times New Roman" w:hAnsi="Times New Roman" w:cs="Times New Roman"/>
        </w:rPr>
      </w:pPr>
    </w:p>
    <w:p w14:paraId="585F9160" w14:textId="2CBFFCDE" w:rsidR="00B84DAC" w:rsidRPr="00B84DAC" w:rsidRDefault="00B84DAC" w:rsidP="00B84DAC">
      <w:pPr>
        <w:pStyle w:val="Heading2"/>
        <w:numPr>
          <w:ilvl w:val="0"/>
          <w:numId w:val="0"/>
        </w:numPr>
        <w:jc w:val="both"/>
        <w:rPr>
          <w:b/>
          <w:bCs/>
        </w:rPr>
      </w:pPr>
      <w:r w:rsidRPr="00B84DAC">
        <w:rPr>
          <w:rFonts w:ascii="Times New Roman" w:hAnsi="Times New Roman" w:cs="Times New Roman"/>
          <w:b/>
          <w:bCs/>
        </w:rPr>
        <w:t>Procedure – Appeals – Jurisdictional Considerations – Article</w:t>
      </w:r>
    </w:p>
    <w:p w14:paraId="49DA436B" w14:textId="6558FD1E" w:rsidR="00B84DAC" w:rsidRDefault="00B84DAC" w:rsidP="00B84DAC">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For an informative article, </w:t>
      </w:r>
      <w:r w:rsidRPr="00EE56EE">
        <w:rPr>
          <w:rFonts w:ascii="Times New Roman" w:hAnsi="Times New Roman" w:cs="Times New Roman"/>
          <w:i/>
          <w:iCs/>
        </w:rPr>
        <w:t>see</w:t>
      </w:r>
      <w:r>
        <w:rPr>
          <w:rFonts w:ascii="Times New Roman" w:hAnsi="Times New Roman" w:cs="Times New Roman"/>
        </w:rPr>
        <w:t xml:space="preserve"> Steven J. </w:t>
      </w:r>
      <w:proofErr w:type="spellStart"/>
      <w:r>
        <w:rPr>
          <w:rFonts w:ascii="Times New Roman" w:hAnsi="Times New Roman" w:cs="Times New Roman"/>
        </w:rPr>
        <w:t>Ahmuty</w:t>
      </w:r>
      <w:proofErr w:type="spellEnd"/>
      <w:r>
        <w:rPr>
          <w:rFonts w:ascii="Times New Roman" w:hAnsi="Times New Roman" w:cs="Times New Roman"/>
        </w:rPr>
        <w:t xml:space="preserve">, Jr. and Thomas R. Newman, “Avoiding Pitfalls: Jurisdictional Considerations for Appeals,” </w:t>
      </w:r>
      <w:r w:rsidRPr="00EE56EE">
        <w:rPr>
          <w:rFonts w:ascii="Times New Roman" w:hAnsi="Times New Roman" w:cs="Times New Roman"/>
          <w:i/>
          <w:iCs/>
        </w:rPr>
        <w:t>NY Law Journal</w:t>
      </w:r>
      <w:r>
        <w:rPr>
          <w:rFonts w:ascii="Times New Roman" w:hAnsi="Times New Roman" w:cs="Times New Roman"/>
        </w:rPr>
        <w:t>, June 2, 2026.</w:t>
      </w:r>
    </w:p>
    <w:p w14:paraId="1B9BF2BB" w14:textId="77777777" w:rsidR="00C979E0" w:rsidRDefault="00C979E0" w:rsidP="00B84DAC">
      <w:pPr>
        <w:pStyle w:val="Heading2"/>
        <w:numPr>
          <w:ilvl w:val="0"/>
          <w:numId w:val="0"/>
        </w:numPr>
        <w:spacing w:line="240" w:lineRule="auto"/>
        <w:jc w:val="both"/>
        <w:rPr>
          <w:rFonts w:ascii="Times New Roman" w:hAnsi="Times New Roman" w:cs="Times New Roman"/>
        </w:rPr>
      </w:pPr>
    </w:p>
    <w:p w14:paraId="2903C73E" w14:textId="77777777" w:rsidR="00C979E0" w:rsidRPr="00C979E0" w:rsidRDefault="00C979E0" w:rsidP="00C979E0">
      <w:pPr>
        <w:pStyle w:val="Heading2"/>
        <w:numPr>
          <w:ilvl w:val="0"/>
          <w:numId w:val="0"/>
        </w:numPr>
        <w:jc w:val="both"/>
        <w:rPr>
          <w:b/>
          <w:bCs/>
        </w:rPr>
      </w:pPr>
      <w:r w:rsidRPr="00C979E0">
        <w:rPr>
          <w:rFonts w:ascii="Times New Roman" w:hAnsi="Times New Roman" w:cs="Times New Roman"/>
          <w:b/>
          <w:bCs/>
        </w:rPr>
        <w:t xml:space="preserve">Procedure - Family Court – </w:t>
      </w:r>
      <w:r w:rsidRPr="00C979E0">
        <w:rPr>
          <w:rFonts w:ascii="Times New Roman" w:hAnsi="Times New Roman" w:cs="Times New Roman"/>
          <w:b/>
          <w:bCs/>
          <w:i/>
          <w:iCs/>
        </w:rPr>
        <w:t xml:space="preserve">Ex </w:t>
      </w:r>
      <w:proofErr w:type="spellStart"/>
      <w:r w:rsidRPr="00C979E0">
        <w:rPr>
          <w:rFonts w:ascii="Times New Roman" w:hAnsi="Times New Roman" w:cs="Times New Roman"/>
          <w:b/>
          <w:bCs/>
          <w:i/>
          <w:iCs/>
        </w:rPr>
        <w:t>Parte</w:t>
      </w:r>
      <w:proofErr w:type="spellEnd"/>
      <w:r w:rsidRPr="00C979E0">
        <w:rPr>
          <w:rFonts w:ascii="Times New Roman" w:hAnsi="Times New Roman" w:cs="Times New Roman"/>
          <w:b/>
          <w:bCs/>
        </w:rPr>
        <w:t xml:space="preserve"> Interim Relief – Article</w:t>
      </w:r>
    </w:p>
    <w:p w14:paraId="60C96CB4" w14:textId="10FF6BEB" w:rsidR="00C979E0" w:rsidRDefault="00C979E0" w:rsidP="00C979E0">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For an informative article, </w:t>
      </w:r>
      <w:r w:rsidRPr="00273AE5">
        <w:rPr>
          <w:rFonts w:ascii="Times New Roman" w:hAnsi="Times New Roman" w:cs="Times New Roman"/>
          <w:i/>
          <w:iCs/>
        </w:rPr>
        <w:t>see</w:t>
      </w:r>
      <w:r>
        <w:rPr>
          <w:rFonts w:ascii="Times New Roman" w:hAnsi="Times New Roman" w:cs="Times New Roman"/>
        </w:rPr>
        <w:t xml:space="preserve"> Philip Katz, “Family Court’s Missing Rule: Ex </w:t>
      </w:r>
      <w:proofErr w:type="spellStart"/>
      <w:r>
        <w:rPr>
          <w:rFonts w:ascii="Times New Roman" w:hAnsi="Times New Roman" w:cs="Times New Roman"/>
        </w:rPr>
        <w:t>Parte</w:t>
      </w:r>
      <w:proofErr w:type="spellEnd"/>
      <w:r>
        <w:rPr>
          <w:rFonts w:ascii="Times New Roman" w:hAnsi="Times New Roman" w:cs="Times New Roman"/>
        </w:rPr>
        <w:t xml:space="preserve"> Interim Relief and the Notice Gap,” </w:t>
      </w:r>
      <w:r w:rsidRPr="00273AE5">
        <w:rPr>
          <w:rFonts w:ascii="Times New Roman" w:hAnsi="Times New Roman" w:cs="Times New Roman"/>
          <w:i/>
          <w:iCs/>
        </w:rPr>
        <w:t>NY Law Journal</w:t>
      </w:r>
      <w:r>
        <w:rPr>
          <w:rFonts w:ascii="Times New Roman" w:hAnsi="Times New Roman" w:cs="Times New Roman"/>
        </w:rPr>
        <w:t>, June 25, 2026.</w:t>
      </w:r>
    </w:p>
    <w:p w14:paraId="71513F7B" w14:textId="77777777" w:rsidR="00C979E0" w:rsidRDefault="00C979E0" w:rsidP="00C979E0">
      <w:pPr>
        <w:pStyle w:val="Heading2"/>
        <w:numPr>
          <w:ilvl w:val="0"/>
          <w:numId w:val="0"/>
        </w:numPr>
        <w:spacing w:line="240" w:lineRule="auto"/>
        <w:jc w:val="both"/>
        <w:rPr>
          <w:rFonts w:ascii="Times New Roman" w:hAnsi="Times New Roman" w:cs="Times New Roman"/>
        </w:rPr>
      </w:pPr>
    </w:p>
    <w:p w14:paraId="2CBD637C" w14:textId="6E613B3D" w:rsidR="00C979E0" w:rsidRPr="00C979E0" w:rsidRDefault="00C979E0" w:rsidP="00C979E0">
      <w:pPr>
        <w:pStyle w:val="Heading2"/>
        <w:numPr>
          <w:ilvl w:val="0"/>
          <w:numId w:val="0"/>
        </w:numPr>
        <w:jc w:val="both"/>
        <w:rPr>
          <w:b/>
          <w:bCs/>
        </w:rPr>
      </w:pPr>
      <w:r w:rsidRPr="00C979E0">
        <w:rPr>
          <w:rFonts w:ascii="Times New Roman" w:hAnsi="Times New Roman" w:cs="Times New Roman"/>
          <w:b/>
          <w:bCs/>
        </w:rPr>
        <w:t>Procedure – Generative AI – Attorney and Law Firm – Sanctions</w:t>
      </w:r>
    </w:p>
    <w:p w14:paraId="15B6DDBA" w14:textId="49C31C03" w:rsidR="00C979E0" w:rsidRDefault="00C979E0" w:rsidP="00C979E0">
      <w:pPr>
        <w:pStyle w:val="Heading2"/>
        <w:numPr>
          <w:ilvl w:val="0"/>
          <w:numId w:val="0"/>
        </w:numPr>
        <w:spacing w:line="240" w:lineRule="auto"/>
        <w:jc w:val="both"/>
        <w:rPr>
          <w:rFonts w:ascii="Times New Roman" w:hAnsi="Times New Roman" w:cs="Times New Roman"/>
          <w:b/>
          <w:bCs/>
        </w:rPr>
      </w:pPr>
      <w:r>
        <w:rPr>
          <w:rFonts w:ascii="Times New Roman" w:hAnsi="Times New Roman" w:cs="Times New Roman"/>
        </w:rPr>
        <w:tab/>
        <w:t xml:space="preserve">In </w:t>
      </w:r>
      <w:r w:rsidRPr="00C979E0">
        <w:rPr>
          <w:rFonts w:ascii="Times New Roman" w:hAnsi="Times New Roman" w:cs="Times New Roman"/>
          <w:b/>
          <w:bCs/>
          <w:i/>
          <w:iCs/>
        </w:rPr>
        <w:t>Landberg v. City of New York</w:t>
      </w:r>
      <w:r>
        <w:rPr>
          <w:rFonts w:ascii="Times New Roman" w:hAnsi="Times New Roman" w:cs="Times New Roman"/>
        </w:rPr>
        <w:t xml:space="preserve">, 2026 Westlaw 1792016 (2d Dept. June 23, 2026), on appeal from a December 2024 Supreme Court determined by an order dated June 3, 2026, and upon the Court’s own motion by order to show cause dated May 20, 2026, the parties were directed to show why sanctions and/or costs should not be imposed against counsel for appellant and the law firm, for filing briefs containing fabricated and/or erroneous legal authority and/or citations. Citing </w:t>
      </w:r>
      <w:r w:rsidRPr="008E617A">
        <w:rPr>
          <w:rFonts w:ascii="Times New Roman" w:hAnsi="Times New Roman" w:cs="Times New Roman"/>
          <w:b/>
          <w:bCs/>
          <w:i/>
          <w:iCs/>
        </w:rPr>
        <w:t>Matter of Julien</w:t>
      </w:r>
      <w:r w:rsidR="00223B80">
        <w:rPr>
          <w:rFonts w:ascii="Times New Roman" w:hAnsi="Times New Roman" w:cs="Times New Roman"/>
        </w:rPr>
        <w:t xml:space="preserve"> [see June 2026 </w:t>
      </w:r>
      <w:r w:rsidR="00223B80" w:rsidRPr="00223B80">
        <w:rPr>
          <w:rFonts w:ascii="Times New Roman" w:hAnsi="Times New Roman" w:cs="Times New Roman"/>
          <w:b/>
          <w:bCs/>
          <w:i/>
          <w:iCs/>
        </w:rPr>
        <w:t>Bulletin</w:t>
      </w:r>
      <w:r w:rsidR="00223B80">
        <w:rPr>
          <w:rFonts w:ascii="Times New Roman" w:hAnsi="Times New Roman" w:cs="Times New Roman"/>
        </w:rPr>
        <w:t xml:space="preserve"> at 11]</w:t>
      </w:r>
      <w:r w:rsidR="007E518A">
        <w:rPr>
          <w:rFonts w:ascii="Times New Roman" w:hAnsi="Times New Roman" w:cs="Times New Roman"/>
        </w:rPr>
        <w:t xml:space="preserve"> </w:t>
      </w:r>
      <w:r>
        <w:rPr>
          <w:rFonts w:ascii="Times New Roman" w:hAnsi="Times New Roman" w:cs="Times New Roman"/>
        </w:rPr>
        <w:t xml:space="preserve">and </w:t>
      </w:r>
      <w:r w:rsidRPr="008E617A">
        <w:rPr>
          <w:rFonts w:ascii="Times New Roman" w:hAnsi="Times New Roman" w:cs="Times New Roman"/>
          <w:b/>
          <w:bCs/>
          <w:i/>
          <w:iCs/>
        </w:rPr>
        <w:t xml:space="preserve">Deutsche Bank v. </w:t>
      </w:r>
      <w:proofErr w:type="spellStart"/>
      <w:r w:rsidRPr="008E617A">
        <w:rPr>
          <w:rFonts w:ascii="Times New Roman" w:hAnsi="Times New Roman" w:cs="Times New Roman"/>
          <w:b/>
          <w:bCs/>
          <w:i/>
          <w:iCs/>
        </w:rPr>
        <w:t>LeTennier</w:t>
      </w:r>
      <w:proofErr w:type="spellEnd"/>
      <w:r>
        <w:rPr>
          <w:rFonts w:ascii="Times New Roman" w:hAnsi="Times New Roman" w:cs="Times New Roman"/>
        </w:rPr>
        <w:t xml:space="preserve"> [</w:t>
      </w:r>
      <w:r w:rsidR="00223B80">
        <w:rPr>
          <w:rFonts w:ascii="Times New Roman" w:hAnsi="Times New Roman" w:cs="Times New Roman"/>
        </w:rPr>
        <w:t xml:space="preserve">see </w:t>
      </w:r>
      <w:r w:rsidR="007E518A">
        <w:rPr>
          <w:rFonts w:ascii="Times New Roman" w:hAnsi="Times New Roman" w:cs="Times New Roman"/>
        </w:rPr>
        <w:t xml:space="preserve">February 2026 </w:t>
      </w:r>
      <w:r w:rsidR="00223B80" w:rsidRPr="007E518A">
        <w:rPr>
          <w:rFonts w:ascii="Times New Roman" w:hAnsi="Times New Roman" w:cs="Times New Roman"/>
          <w:b/>
          <w:bCs/>
          <w:i/>
          <w:iCs/>
        </w:rPr>
        <w:t>Bulletin</w:t>
      </w:r>
      <w:r w:rsidR="00223B80">
        <w:rPr>
          <w:rFonts w:ascii="Times New Roman" w:hAnsi="Times New Roman" w:cs="Times New Roman"/>
        </w:rPr>
        <w:t xml:space="preserve"> at </w:t>
      </w:r>
      <w:r w:rsidR="007E518A">
        <w:rPr>
          <w:rFonts w:ascii="Times New Roman" w:hAnsi="Times New Roman" w:cs="Times New Roman"/>
        </w:rPr>
        <w:t>11</w:t>
      </w:r>
      <w:r>
        <w:rPr>
          <w:rFonts w:ascii="Times New Roman" w:hAnsi="Times New Roman" w:cs="Times New Roman"/>
        </w:rPr>
        <w:t xml:space="preserve">], the Second Department imposed </w:t>
      </w:r>
      <w:proofErr w:type="gramStart"/>
      <w:r>
        <w:rPr>
          <w:rFonts w:ascii="Times New Roman" w:hAnsi="Times New Roman" w:cs="Times New Roman"/>
        </w:rPr>
        <w:t>an</w:t>
      </w:r>
      <w:proofErr w:type="gramEnd"/>
      <w:r>
        <w:rPr>
          <w:rFonts w:ascii="Times New Roman" w:hAnsi="Times New Roman" w:cs="Times New Roman"/>
        </w:rPr>
        <w:t xml:space="preserve"> $8,000 sanction upon the </w:t>
      </w:r>
      <w:r>
        <w:rPr>
          <w:rFonts w:ascii="Times New Roman" w:hAnsi="Times New Roman" w:cs="Times New Roman"/>
        </w:rPr>
        <w:lastRenderedPageBreak/>
        <w:t xml:space="preserve">attorney and $2,500 sanction upon the law firm. The Court noted: “*** when confronted about the fabricated cases cite in his brief at oral argument, [the attorney] declined the opportunity to take a 15-minute recess to discern where he had found the cases, and maintained that he had found them either on Westlaw or Lexis or in a book, a previous case, or another brief”; the attorney “later admitted in his affirmation, he was not being candid at the time of oral argument, as he should have said that the cases were hallucinated by artificial intelligence”; the attorney stated “his decision to be dishonest with the Court was due to being scared”; and concluded that “[the attorney’s] decision not to be honest with the Court during oral argument also demonstrated his professional immaturity, arrogance, and profound lack of respect for </w:t>
      </w:r>
      <w:proofErr w:type="spellStart"/>
      <w:r>
        <w:rPr>
          <w:rFonts w:ascii="Times New Roman" w:hAnsi="Times New Roman" w:cs="Times New Roman"/>
        </w:rPr>
        <w:t>he</w:t>
      </w:r>
      <w:proofErr w:type="spellEnd"/>
      <w:r>
        <w:rPr>
          <w:rFonts w:ascii="Times New Roman" w:hAnsi="Times New Roman" w:cs="Times New Roman"/>
        </w:rPr>
        <w:t xml:space="preserve"> judicial system.” For an informative article, </w:t>
      </w:r>
      <w:r w:rsidRPr="00C41881">
        <w:rPr>
          <w:rFonts w:ascii="Times New Roman" w:hAnsi="Times New Roman" w:cs="Times New Roman"/>
          <w:i/>
          <w:iCs/>
        </w:rPr>
        <w:t>see</w:t>
      </w:r>
      <w:r>
        <w:rPr>
          <w:rFonts w:ascii="Times New Roman" w:hAnsi="Times New Roman" w:cs="Times New Roman"/>
        </w:rPr>
        <w:t xml:space="preserve"> Alyssa Aquino, “Brooklyn-Based Appeals Court Orders Law Firm to Pay $2,500 Over AI Hallucinations,” </w:t>
      </w:r>
      <w:r w:rsidRPr="00C41881">
        <w:rPr>
          <w:rFonts w:ascii="Times New Roman" w:hAnsi="Times New Roman" w:cs="Times New Roman"/>
          <w:i/>
          <w:iCs/>
        </w:rPr>
        <w:t>NY Law Journal</w:t>
      </w:r>
      <w:r>
        <w:rPr>
          <w:rFonts w:ascii="Times New Roman" w:hAnsi="Times New Roman" w:cs="Times New Roman"/>
        </w:rPr>
        <w:t>, June 24, 2026.</w:t>
      </w:r>
    </w:p>
    <w:p w14:paraId="745F2144" w14:textId="77777777" w:rsidR="00961D8D" w:rsidRPr="0089226B" w:rsidRDefault="00961D8D" w:rsidP="0039601B">
      <w:pPr>
        <w:pStyle w:val="Heading2"/>
        <w:numPr>
          <w:ilvl w:val="0"/>
          <w:numId w:val="0"/>
        </w:numPr>
        <w:spacing w:line="240" w:lineRule="auto"/>
        <w:jc w:val="both"/>
      </w:pPr>
    </w:p>
    <w:p w14:paraId="7D099A19" w14:textId="598BAA68" w:rsidR="004F34EE" w:rsidRPr="00A43A59" w:rsidRDefault="005664BA" w:rsidP="00AA33D7">
      <w:pPr>
        <w:pStyle w:val="Heading2"/>
        <w:numPr>
          <w:ilvl w:val="0"/>
          <w:numId w:val="0"/>
        </w:numPr>
        <w:jc w:val="both"/>
        <w:rPr>
          <w:rFonts w:ascii="Times New Roman" w:hAnsi="Times New Roman" w:cs="Times New Roman"/>
          <w:b/>
          <w:bCs/>
          <w:u w:val="single"/>
        </w:rPr>
      </w:pPr>
      <w:r w:rsidRPr="00A43A59">
        <w:rPr>
          <w:rFonts w:ascii="Times New Roman" w:hAnsi="Times New Roman" w:cs="Times New Roman"/>
          <w:b/>
          <w:bCs/>
          <w:u w:val="single"/>
        </w:rPr>
        <w:t>LEGISLATIVE AND COURT RULE ITEMS</w:t>
      </w:r>
    </w:p>
    <w:p w14:paraId="3EB1DABA" w14:textId="3A2728A0" w:rsidR="00B84DAC" w:rsidRPr="00F6349E" w:rsidRDefault="005F4D8B" w:rsidP="00B84DAC">
      <w:pPr>
        <w:pStyle w:val="Heading2"/>
        <w:numPr>
          <w:ilvl w:val="0"/>
          <w:numId w:val="0"/>
        </w:numPr>
        <w:rPr>
          <w:b/>
          <w:bCs/>
        </w:rPr>
      </w:pPr>
      <w:r w:rsidRPr="00F6349E">
        <w:rPr>
          <w:rFonts w:ascii="Times New Roman" w:hAnsi="Times New Roman" w:cs="Times New Roman"/>
          <w:b/>
          <w:bCs/>
        </w:rPr>
        <w:t>Custody and Visitation – Kyra’s Law</w:t>
      </w:r>
      <w:r>
        <w:rPr>
          <w:rFonts w:ascii="Times New Roman" w:hAnsi="Times New Roman" w:cs="Times New Roman"/>
          <w:b/>
          <w:bCs/>
        </w:rPr>
        <w:t xml:space="preserve"> (</w:t>
      </w:r>
      <w:r w:rsidRPr="005F4D8B">
        <w:rPr>
          <w:rFonts w:ascii="Times New Roman" w:hAnsi="Times New Roman" w:cs="Times New Roman"/>
          <w:b/>
          <w:bCs/>
          <w:i/>
          <w:iCs/>
        </w:rPr>
        <w:t>see</w:t>
      </w:r>
      <w:r>
        <w:rPr>
          <w:rFonts w:ascii="Times New Roman" w:hAnsi="Times New Roman" w:cs="Times New Roman"/>
          <w:b/>
          <w:bCs/>
        </w:rPr>
        <w:t xml:space="preserve"> July 2025 </w:t>
      </w:r>
      <w:r w:rsidRPr="005F4D8B">
        <w:rPr>
          <w:rFonts w:ascii="Times New Roman" w:hAnsi="Times New Roman" w:cs="Times New Roman"/>
          <w:b/>
          <w:bCs/>
          <w:i/>
          <w:iCs/>
        </w:rPr>
        <w:t>Bulletin</w:t>
      </w:r>
      <w:r>
        <w:rPr>
          <w:rFonts w:ascii="Times New Roman" w:hAnsi="Times New Roman" w:cs="Times New Roman"/>
          <w:b/>
          <w:bCs/>
        </w:rPr>
        <w:t xml:space="preserve"> at 12</w:t>
      </w:r>
      <w:bookmarkStart w:id="2" w:name="_Hlk230955459"/>
      <w:r w:rsidR="00B84DAC">
        <w:rPr>
          <w:rFonts w:ascii="Times New Roman" w:hAnsi="Times New Roman" w:cs="Times New Roman"/>
          <w:b/>
          <w:bCs/>
        </w:rPr>
        <w:t>) - Passed Both Houses</w:t>
      </w:r>
    </w:p>
    <w:p w14:paraId="40D52D50" w14:textId="0281EB83" w:rsidR="005F4D8B" w:rsidRDefault="00B84DAC" w:rsidP="00B84DAC">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As reported previously, </w:t>
      </w:r>
      <w:r w:rsidR="00EB6701">
        <w:rPr>
          <w:rFonts w:ascii="Times New Roman" w:hAnsi="Times New Roman" w:cs="Times New Roman"/>
        </w:rPr>
        <w:t xml:space="preserve">a prior version of </w:t>
      </w:r>
      <w:r>
        <w:rPr>
          <w:rFonts w:ascii="Times New Roman" w:hAnsi="Times New Roman" w:cs="Times New Roman"/>
        </w:rPr>
        <w:t>t</w:t>
      </w:r>
      <w:r w:rsidRPr="00F6349E">
        <w:rPr>
          <w:rFonts w:ascii="Times New Roman" w:hAnsi="Times New Roman" w:cs="Times New Roman"/>
        </w:rPr>
        <w:t xml:space="preserve">his bill </w:t>
      </w:r>
      <w:r w:rsidRPr="00F6349E">
        <w:rPr>
          <w:rFonts w:ascii="Times New Roman" w:hAnsi="Times New Roman" w:cs="Times New Roman"/>
          <w:b/>
          <w:bCs/>
        </w:rPr>
        <w:t>passed in the Senate on June 13, 2025</w:t>
      </w:r>
      <w:r w:rsidRPr="00F6349E">
        <w:rPr>
          <w:rFonts w:ascii="Times New Roman" w:hAnsi="Times New Roman" w:cs="Times New Roman"/>
        </w:rPr>
        <w:t>, whereupon it was delivered to the Assembly and referred to its Judiciary Committee on the same date. S.05998B</w:t>
      </w:r>
      <w:r>
        <w:rPr>
          <w:rFonts w:ascii="Times New Roman" w:hAnsi="Times New Roman" w:cs="Times New Roman"/>
        </w:rPr>
        <w:t xml:space="preserve">/A.06194B. The bill was then referred to the Judiciary Committee in both houses on January 7, 2026. Another version was: introduced in both houses, </w:t>
      </w:r>
      <w:r w:rsidRPr="00F6349E">
        <w:rPr>
          <w:rFonts w:ascii="Times New Roman" w:hAnsi="Times New Roman" w:cs="Times New Roman"/>
        </w:rPr>
        <w:t>S.05998</w:t>
      </w:r>
      <w:r>
        <w:rPr>
          <w:rFonts w:ascii="Times New Roman" w:hAnsi="Times New Roman" w:cs="Times New Roman"/>
        </w:rPr>
        <w:t>C/A.06194C, amended on the third reading in the Senate on May 26, 2026, and amended and recommitted to the Assembly Judiciary Committee on May 20, 2026.</w:t>
      </w:r>
      <w:bookmarkEnd w:id="2"/>
      <w:r>
        <w:rPr>
          <w:rFonts w:ascii="Times New Roman" w:hAnsi="Times New Roman" w:cs="Times New Roman"/>
        </w:rPr>
        <w:t xml:space="preserve"> The bill </w:t>
      </w:r>
      <w:r w:rsidRPr="00B21387">
        <w:rPr>
          <w:rFonts w:ascii="Times New Roman" w:hAnsi="Times New Roman" w:cs="Times New Roman"/>
          <w:b/>
          <w:bCs/>
          <w:u w:val="single"/>
        </w:rPr>
        <w:t xml:space="preserve">passed in the Senate on June 4, </w:t>
      </w:r>
      <w:proofErr w:type="gramStart"/>
      <w:r w:rsidRPr="00B21387">
        <w:rPr>
          <w:rFonts w:ascii="Times New Roman" w:hAnsi="Times New Roman" w:cs="Times New Roman"/>
          <w:b/>
          <w:bCs/>
          <w:u w:val="single"/>
        </w:rPr>
        <w:t>202</w:t>
      </w:r>
      <w:r>
        <w:rPr>
          <w:rFonts w:ascii="Times New Roman" w:hAnsi="Times New Roman" w:cs="Times New Roman"/>
          <w:b/>
          <w:bCs/>
          <w:u w:val="single"/>
        </w:rPr>
        <w:t>6</w:t>
      </w:r>
      <w:proofErr w:type="gramEnd"/>
      <w:r w:rsidRPr="00B21387">
        <w:rPr>
          <w:rFonts w:ascii="Times New Roman" w:hAnsi="Times New Roman" w:cs="Times New Roman"/>
          <w:b/>
          <w:bCs/>
          <w:u w:val="single"/>
        </w:rPr>
        <w:t xml:space="preserve"> and passed in the Assembly on June 5, 2026</w:t>
      </w:r>
      <w:r>
        <w:rPr>
          <w:rFonts w:ascii="Times New Roman" w:hAnsi="Times New Roman" w:cs="Times New Roman"/>
        </w:rPr>
        <w:t xml:space="preserve">. If signed by the Governor, the law </w:t>
      </w:r>
      <w:r w:rsidRPr="00597666">
        <w:rPr>
          <w:rFonts w:ascii="Times New Roman" w:hAnsi="Times New Roman" w:cs="Times New Roman"/>
          <w:b/>
          <w:bCs/>
          <w:u w:val="single"/>
        </w:rPr>
        <w:t>would be effective 270 days after signing</w:t>
      </w:r>
      <w:r>
        <w:rPr>
          <w:rFonts w:ascii="Times New Roman" w:hAnsi="Times New Roman" w:cs="Times New Roman"/>
        </w:rPr>
        <w:t>.</w:t>
      </w:r>
    </w:p>
    <w:p w14:paraId="7DCF36E4" w14:textId="77777777" w:rsidR="005F4D8B" w:rsidRDefault="005F4D8B" w:rsidP="005F4D8B">
      <w:pPr>
        <w:pStyle w:val="Heading2"/>
        <w:numPr>
          <w:ilvl w:val="0"/>
          <w:numId w:val="0"/>
        </w:numPr>
        <w:spacing w:line="240" w:lineRule="auto"/>
        <w:jc w:val="both"/>
        <w:rPr>
          <w:rFonts w:ascii="Times New Roman" w:hAnsi="Times New Roman" w:cs="Times New Roman"/>
        </w:rPr>
      </w:pPr>
    </w:p>
    <w:p w14:paraId="481A4D13" w14:textId="4D382423" w:rsidR="00D82FF8" w:rsidRDefault="00D82FF8" w:rsidP="005F4D8B">
      <w:pPr>
        <w:pStyle w:val="Heading2"/>
        <w:numPr>
          <w:ilvl w:val="0"/>
          <w:numId w:val="0"/>
        </w:numPr>
        <w:spacing w:line="240" w:lineRule="auto"/>
        <w:jc w:val="both"/>
        <w:rPr>
          <w:rFonts w:ascii="Times New Roman" w:hAnsi="Times New Roman" w:cs="Times New Roman"/>
          <w:b/>
          <w:bCs/>
        </w:rPr>
      </w:pPr>
      <w:r w:rsidRPr="00D82FF8">
        <w:rPr>
          <w:rFonts w:ascii="Times New Roman" w:hAnsi="Times New Roman" w:cs="Times New Roman"/>
          <w:b/>
          <w:bCs/>
        </w:rPr>
        <w:t>Evidence – Rebuttable Presumption of Expenses in Matrimonial Actions – Proposed Legislation</w:t>
      </w:r>
    </w:p>
    <w:p w14:paraId="2548D3B3" w14:textId="77777777" w:rsidR="00D82FF8" w:rsidRDefault="00D82FF8" w:rsidP="007A5AC3">
      <w:pPr>
        <w:pStyle w:val="Heading2"/>
        <w:numPr>
          <w:ilvl w:val="0"/>
          <w:numId w:val="0"/>
        </w:numPr>
        <w:spacing w:line="240" w:lineRule="auto"/>
        <w:jc w:val="both"/>
        <w:rPr>
          <w:rFonts w:ascii="Times New Roman" w:hAnsi="Times New Roman" w:cs="Times New Roman"/>
          <w:b/>
          <w:bCs/>
        </w:rPr>
      </w:pPr>
    </w:p>
    <w:p w14:paraId="52EBFF21" w14:textId="37DB87BB" w:rsidR="00D82FF8" w:rsidRPr="00D82FF8" w:rsidRDefault="00D82FF8" w:rsidP="007A5AC3">
      <w:pPr>
        <w:pStyle w:val="Heading2"/>
        <w:numPr>
          <w:ilvl w:val="0"/>
          <w:numId w:val="0"/>
        </w:numPr>
        <w:spacing w:line="240" w:lineRule="auto"/>
        <w:jc w:val="both"/>
        <w:rPr>
          <w:rFonts w:ascii="Times New Roman" w:hAnsi="Times New Roman" w:cs="Times New Roman"/>
        </w:rPr>
      </w:pPr>
      <w:r>
        <w:rPr>
          <w:rFonts w:ascii="Times New Roman" w:hAnsi="Times New Roman" w:cs="Times New Roman"/>
          <w:b/>
          <w:bCs/>
        </w:rPr>
        <w:tab/>
      </w:r>
      <w:r w:rsidR="00F31414" w:rsidRPr="00F40DEE">
        <w:rPr>
          <w:rFonts w:ascii="Times New Roman" w:hAnsi="Times New Roman" w:cs="Times New Roman"/>
          <w:b/>
          <w:bCs/>
          <w:u w:val="single"/>
        </w:rPr>
        <w:t>Passed by both Houses as of April 22, 2026 and if signed by the Governor</w:t>
      </w:r>
      <w:r w:rsidR="00F31414">
        <w:rPr>
          <w:rFonts w:ascii="Times New Roman" w:hAnsi="Times New Roman" w:cs="Times New Roman"/>
          <w:b/>
          <w:bCs/>
        </w:rPr>
        <w:t xml:space="preserve">, </w:t>
      </w:r>
      <w:r w:rsidR="00F31414">
        <w:rPr>
          <w:rFonts w:ascii="Times New Roman" w:hAnsi="Times New Roman" w:cs="Times New Roman"/>
        </w:rPr>
        <w:t xml:space="preserve">CPLR Rule 4533-c </w:t>
      </w:r>
      <w:r w:rsidR="00F31414" w:rsidRPr="00D82FF8">
        <w:rPr>
          <w:rFonts w:ascii="Times New Roman" w:hAnsi="Times New Roman" w:cs="Times New Roman"/>
          <w:b/>
          <w:bCs/>
          <w:u w:val="single"/>
        </w:rPr>
        <w:t>would be added</w:t>
      </w:r>
      <w:r w:rsidR="00F31414">
        <w:rPr>
          <w:rFonts w:ascii="Times New Roman" w:hAnsi="Times New Roman" w:cs="Times New Roman"/>
        </w:rPr>
        <w:t xml:space="preserve">, to provide “a rebuttable presumption that an itemized bill or invoice, receipted or marked paid, for court-ordered obligations” and certain other expenses “not in excess of ten thousand dollars shall be admissible in evidence and establishes the necessity of and reasonable value [thereof] ***.” There would be requirements for an accompanying affirmation with specified content and for the proponent of the document(s) to serve the adverse party therewith no later than 30 days prior to trial. The adverse party may serve a notice of intent to rebut the presumption, with the basis for objection(s), no later than 15 days prior to trial. [This is </w:t>
      </w:r>
      <w:proofErr w:type="gramStart"/>
      <w:r w:rsidR="00F31414">
        <w:rPr>
          <w:rFonts w:ascii="Times New Roman" w:hAnsi="Times New Roman" w:cs="Times New Roman"/>
        </w:rPr>
        <w:t>similar to</w:t>
      </w:r>
      <w:proofErr w:type="gramEnd"/>
      <w:r w:rsidR="00F31414">
        <w:rPr>
          <w:rFonts w:ascii="Times New Roman" w:hAnsi="Times New Roman" w:cs="Times New Roman"/>
        </w:rPr>
        <w:t xml:space="preserve"> CPLR Rule 3122-a for certified business records, which is subject to 30 and 10-day periods before trial]. A.08305, </w:t>
      </w:r>
      <w:r w:rsidR="00F31414" w:rsidRPr="00917CA9">
        <w:rPr>
          <w:rFonts w:ascii="Times New Roman" w:hAnsi="Times New Roman" w:cs="Times New Roman"/>
          <w:b/>
          <w:bCs/>
          <w:u w:val="single"/>
        </w:rPr>
        <w:t>passed Assembly March 9, 2026</w:t>
      </w:r>
      <w:r w:rsidR="00F31414">
        <w:rPr>
          <w:rFonts w:ascii="Times New Roman" w:hAnsi="Times New Roman" w:cs="Times New Roman"/>
        </w:rPr>
        <w:t xml:space="preserve">. S.08372, </w:t>
      </w:r>
      <w:r w:rsidR="00F31414" w:rsidRPr="00F40DEE">
        <w:rPr>
          <w:rFonts w:ascii="Times New Roman" w:hAnsi="Times New Roman" w:cs="Times New Roman"/>
          <w:b/>
          <w:bCs/>
          <w:u w:val="single"/>
        </w:rPr>
        <w:t>passed Senate April 22, 2026</w:t>
      </w:r>
      <w:r w:rsidR="00F31414" w:rsidRPr="00F40DEE">
        <w:rPr>
          <w:rFonts w:ascii="Times New Roman" w:hAnsi="Times New Roman" w:cs="Times New Roman"/>
        </w:rPr>
        <w:t>.</w:t>
      </w:r>
      <w:r w:rsidR="00F31414">
        <w:rPr>
          <w:rFonts w:ascii="Times New Roman" w:hAnsi="Times New Roman" w:cs="Times New Roman"/>
        </w:rPr>
        <w:t xml:space="preserve"> </w:t>
      </w:r>
      <w:bookmarkStart w:id="3" w:name="_Hlk226715818"/>
      <w:r w:rsidR="00F31414">
        <w:rPr>
          <w:rFonts w:ascii="Times New Roman" w:hAnsi="Times New Roman" w:cs="Times New Roman"/>
        </w:rPr>
        <w:t xml:space="preserve">If enacted, the statute </w:t>
      </w:r>
      <w:r w:rsidR="00F31414" w:rsidRPr="00B84DAC">
        <w:rPr>
          <w:rFonts w:ascii="Times New Roman" w:hAnsi="Times New Roman" w:cs="Times New Roman"/>
          <w:b/>
          <w:bCs/>
          <w:u w:val="single"/>
        </w:rPr>
        <w:t>would take effect on the 60</w:t>
      </w:r>
      <w:r w:rsidR="00F31414" w:rsidRPr="00B84DAC">
        <w:rPr>
          <w:rFonts w:ascii="Times New Roman" w:hAnsi="Times New Roman" w:cs="Times New Roman"/>
          <w:b/>
          <w:bCs/>
          <w:u w:val="single"/>
          <w:vertAlign w:val="superscript"/>
        </w:rPr>
        <w:t>th</w:t>
      </w:r>
      <w:r w:rsidR="00F31414" w:rsidRPr="00B84DAC">
        <w:rPr>
          <w:rFonts w:ascii="Times New Roman" w:hAnsi="Times New Roman" w:cs="Times New Roman"/>
          <w:b/>
          <w:bCs/>
          <w:u w:val="single"/>
        </w:rPr>
        <w:t xml:space="preserve"> day thereafter</w:t>
      </w:r>
      <w:r w:rsidR="00F31414">
        <w:rPr>
          <w:rFonts w:ascii="Times New Roman" w:hAnsi="Times New Roman" w:cs="Times New Roman"/>
        </w:rPr>
        <w:t xml:space="preserve"> and would apply to matrimonial actions commenced on or after such date.</w:t>
      </w:r>
      <w:bookmarkEnd w:id="3"/>
    </w:p>
    <w:p w14:paraId="3FAB4C6E" w14:textId="77777777" w:rsidR="00D82FF8" w:rsidRDefault="00D82FF8" w:rsidP="007A5AC3">
      <w:pPr>
        <w:pStyle w:val="Heading2"/>
        <w:numPr>
          <w:ilvl w:val="0"/>
          <w:numId w:val="0"/>
        </w:numPr>
        <w:spacing w:line="240" w:lineRule="auto"/>
        <w:jc w:val="both"/>
        <w:rPr>
          <w:rFonts w:ascii="Times New Roman" w:hAnsi="Times New Roman" w:cs="Times New Roman"/>
        </w:rPr>
      </w:pPr>
    </w:p>
    <w:p w14:paraId="0D1DE2CC" w14:textId="77777777" w:rsidR="00D82FF8" w:rsidRPr="00275316" w:rsidRDefault="00D82FF8" w:rsidP="00D82FF8">
      <w:pPr>
        <w:pStyle w:val="Heading2"/>
        <w:numPr>
          <w:ilvl w:val="0"/>
          <w:numId w:val="0"/>
        </w:numPr>
        <w:rPr>
          <w:b/>
          <w:bCs/>
        </w:rPr>
      </w:pPr>
      <w:r w:rsidRPr="00275316">
        <w:rPr>
          <w:rFonts w:ascii="Times New Roman" w:hAnsi="Times New Roman" w:cs="Times New Roman"/>
          <w:b/>
          <w:bCs/>
        </w:rPr>
        <w:t>Fee Arbitration – Proposal</w:t>
      </w:r>
    </w:p>
    <w:p w14:paraId="40DC8B62" w14:textId="78939B67" w:rsidR="00F31414" w:rsidRDefault="00D82FF8" w:rsidP="00F31414">
      <w:pPr>
        <w:pStyle w:val="Heading2"/>
        <w:numPr>
          <w:ilvl w:val="0"/>
          <w:numId w:val="0"/>
        </w:numPr>
        <w:spacing w:line="240" w:lineRule="auto"/>
        <w:jc w:val="both"/>
        <w:rPr>
          <w:rFonts w:ascii="Times New Roman" w:hAnsi="Times New Roman" w:cs="Times New Roman"/>
        </w:rPr>
      </w:pPr>
      <w:r>
        <w:rPr>
          <w:rFonts w:ascii="Times New Roman" w:hAnsi="Times New Roman" w:cs="Times New Roman"/>
          <w:b/>
          <w:bCs/>
        </w:rPr>
        <w:tab/>
      </w:r>
      <w:r w:rsidRPr="00275316">
        <w:rPr>
          <w:rFonts w:ascii="Times New Roman" w:hAnsi="Times New Roman" w:cs="Times New Roman"/>
        </w:rPr>
        <w:t xml:space="preserve">“The Administrative Board of the Courts is seeking public comment on a proposal to amend 22 NYCRR Part 137 relating to New York State’s program for resolving attorney-client fee disputes: (1) to increase, from $50,000 to $75,000, the maximum amount that can be in dispute </w:t>
      </w:r>
      <w:r w:rsidRPr="00275316">
        <w:rPr>
          <w:rFonts w:ascii="Times New Roman" w:hAnsi="Times New Roman" w:cs="Times New Roman"/>
        </w:rPr>
        <w:lastRenderedPageBreak/>
        <w:t>(unless the parties have consented to a higher amount); and (2) to increase, from $10,000 to $20,000, the monetary threshold above which a panel of three arbitrators will be assigned</w:t>
      </w:r>
      <w:r>
        <w:rPr>
          <w:rFonts w:ascii="Times New Roman" w:hAnsi="Times New Roman" w:cs="Times New Roman"/>
        </w:rPr>
        <w:t>.” (</w:t>
      </w:r>
      <w:r w:rsidRPr="008D7D4C">
        <w:rPr>
          <w:rFonts w:ascii="Times New Roman" w:hAnsi="Times New Roman" w:cs="Times New Roman"/>
        </w:rPr>
        <w:t xml:space="preserve">Memorandum of David Nocenti, Esq., Counsel, NYS Unified Court System, dated </w:t>
      </w:r>
      <w:r>
        <w:rPr>
          <w:rFonts w:ascii="Times New Roman" w:hAnsi="Times New Roman" w:cs="Times New Roman"/>
        </w:rPr>
        <w:t xml:space="preserve">April 2, </w:t>
      </w:r>
      <w:proofErr w:type="gramStart"/>
      <w:r>
        <w:rPr>
          <w:rFonts w:ascii="Times New Roman" w:hAnsi="Times New Roman" w:cs="Times New Roman"/>
        </w:rPr>
        <w:t>2026</w:t>
      </w:r>
      <w:proofErr w:type="gramEnd"/>
      <w:r>
        <w:rPr>
          <w:rFonts w:ascii="Times New Roman" w:hAnsi="Times New Roman" w:cs="Times New Roman"/>
        </w:rPr>
        <w:t xml:space="preserve"> </w:t>
      </w:r>
      <w:r w:rsidRPr="008D7D4C">
        <w:rPr>
          <w:rFonts w:ascii="Times New Roman" w:hAnsi="Times New Roman" w:cs="Times New Roman"/>
        </w:rPr>
        <w:t>at 1).</w:t>
      </w:r>
      <w:r>
        <w:rPr>
          <w:rFonts w:ascii="Times New Roman" w:hAnsi="Times New Roman" w:cs="Times New Roman"/>
        </w:rPr>
        <w:t xml:space="preserve"> </w:t>
      </w:r>
      <w:r w:rsidRPr="008D7D4C">
        <w:rPr>
          <w:rFonts w:ascii="Times New Roman" w:hAnsi="Times New Roman" w:cs="Times New Roman"/>
        </w:rPr>
        <w:t>For the complete text and proposed amendments,</w:t>
      </w:r>
      <w:r>
        <w:rPr>
          <w:rFonts w:ascii="Times New Roman" w:hAnsi="Times New Roman" w:cs="Times New Roman"/>
        </w:rPr>
        <w:t xml:space="preserve"> see </w:t>
      </w:r>
      <w:hyperlink r:id="rId7" w:history="1">
        <w:r w:rsidRPr="00EF3DFD">
          <w:rPr>
            <w:rStyle w:val="Hyperlink"/>
            <w:rFonts w:ascii="Times New Roman" w:hAnsi="Times New Roman" w:cs="Times New Roman"/>
          </w:rPr>
          <w:t>Request for Public Comment</w:t>
        </w:r>
      </w:hyperlink>
      <w:r>
        <w:rPr>
          <w:rFonts w:ascii="Times New Roman" w:hAnsi="Times New Roman" w:cs="Times New Roman"/>
        </w:rPr>
        <w:t xml:space="preserve">. </w:t>
      </w:r>
      <w:r w:rsidRPr="008D7D4C">
        <w:rPr>
          <w:rFonts w:ascii="Times New Roman" w:hAnsi="Times New Roman" w:cs="Times New Roman"/>
          <w:b/>
          <w:bCs/>
          <w:u w:val="single"/>
        </w:rPr>
        <w:t xml:space="preserve">Public Comment </w:t>
      </w:r>
      <w:r w:rsidR="007131EC">
        <w:rPr>
          <w:rFonts w:ascii="Times New Roman" w:hAnsi="Times New Roman" w:cs="Times New Roman"/>
          <w:b/>
          <w:bCs/>
          <w:u w:val="single"/>
        </w:rPr>
        <w:t xml:space="preserve">was </w:t>
      </w:r>
      <w:r w:rsidRPr="008D7D4C">
        <w:rPr>
          <w:rFonts w:ascii="Times New Roman" w:hAnsi="Times New Roman" w:cs="Times New Roman"/>
          <w:b/>
          <w:bCs/>
          <w:u w:val="single"/>
        </w:rPr>
        <w:t xml:space="preserve">requested by </w:t>
      </w:r>
      <w:r>
        <w:rPr>
          <w:rFonts w:ascii="Times New Roman" w:hAnsi="Times New Roman" w:cs="Times New Roman"/>
          <w:b/>
          <w:bCs/>
          <w:u w:val="single"/>
        </w:rPr>
        <w:t>May 15</w:t>
      </w:r>
      <w:r w:rsidRPr="008D7D4C">
        <w:rPr>
          <w:rFonts w:ascii="Times New Roman" w:hAnsi="Times New Roman" w:cs="Times New Roman"/>
          <w:b/>
          <w:bCs/>
          <w:u w:val="single"/>
        </w:rPr>
        <w:t>, 202</w:t>
      </w:r>
      <w:r>
        <w:rPr>
          <w:rFonts w:ascii="Times New Roman" w:hAnsi="Times New Roman" w:cs="Times New Roman"/>
          <w:b/>
          <w:bCs/>
          <w:u w:val="single"/>
        </w:rPr>
        <w:t>6</w:t>
      </w:r>
      <w:r w:rsidRPr="008D7D4C">
        <w:rPr>
          <w:rFonts w:ascii="Times New Roman" w:hAnsi="Times New Roman" w:cs="Times New Roman"/>
          <w:b/>
          <w:bCs/>
          <w:u w:val="single"/>
        </w:rPr>
        <w:t>.</w:t>
      </w:r>
    </w:p>
    <w:p w14:paraId="7F25A9C1" w14:textId="77777777" w:rsidR="00F31414" w:rsidRDefault="00F31414" w:rsidP="00F31414">
      <w:pPr>
        <w:pStyle w:val="Heading2"/>
        <w:numPr>
          <w:ilvl w:val="0"/>
          <w:numId w:val="0"/>
        </w:numPr>
        <w:spacing w:line="240" w:lineRule="auto"/>
        <w:jc w:val="both"/>
        <w:rPr>
          <w:rFonts w:ascii="Times New Roman" w:hAnsi="Times New Roman" w:cs="Times New Roman"/>
        </w:rPr>
      </w:pPr>
    </w:p>
    <w:p w14:paraId="66D0039F" w14:textId="67DC07D7" w:rsidR="001A721B" w:rsidRDefault="001A721B" w:rsidP="00F31414">
      <w:pPr>
        <w:pStyle w:val="Heading2"/>
        <w:numPr>
          <w:ilvl w:val="0"/>
          <w:numId w:val="0"/>
        </w:numPr>
        <w:spacing w:line="240" w:lineRule="auto"/>
        <w:jc w:val="both"/>
        <w:rPr>
          <w:rFonts w:ascii="Times New Roman" w:hAnsi="Times New Roman" w:cs="Times New Roman"/>
          <w:b/>
          <w:bCs/>
        </w:rPr>
      </w:pPr>
      <w:r>
        <w:rPr>
          <w:rFonts w:ascii="Times New Roman" w:hAnsi="Times New Roman" w:cs="Times New Roman"/>
          <w:b/>
          <w:bCs/>
        </w:rPr>
        <w:t>Filing of Papers – Matrimonial Actions</w:t>
      </w:r>
    </w:p>
    <w:p w14:paraId="6AD22C42" w14:textId="77777777" w:rsidR="00F31414" w:rsidRPr="00F31414" w:rsidRDefault="00F31414" w:rsidP="00F31414">
      <w:pPr>
        <w:pStyle w:val="Heading2"/>
        <w:numPr>
          <w:ilvl w:val="0"/>
          <w:numId w:val="0"/>
        </w:numPr>
        <w:spacing w:line="240" w:lineRule="auto"/>
        <w:jc w:val="both"/>
        <w:rPr>
          <w:rFonts w:ascii="Times New Roman" w:hAnsi="Times New Roman" w:cs="Times New Roman"/>
        </w:rPr>
      </w:pPr>
    </w:p>
    <w:p w14:paraId="4421FC11" w14:textId="74A83894" w:rsidR="001A721B" w:rsidRDefault="001A721B" w:rsidP="001A721B">
      <w:pPr>
        <w:pStyle w:val="Heading2"/>
        <w:numPr>
          <w:ilvl w:val="0"/>
          <w:numId w:val="0"/>
        </w:numPr>
        <w:spacing w:line="240" w:lineRule="auto"/>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The Administrative Board of the Courts is seeking public </w:t>
      </w:r>
      <w:proofErr w:type="gramStart"/>
      <w:r>
        <w:rPr>
          <w:rFonts w:ascii="Times New Roman" w:hAnsi="Times New Roman" w:cs="Times New Roman"/>
        </w:rPr>
        <w:t>comment</w:t>
      </w:r>
      <w:proofErr w:type="gramEnd"/>
      <w:r>
        <w:rPr>
          <w:rFonts w:ascii="Times New Roman" w:hAnsi="Times New Roman" w:cs="Times New Roman"/>
        </w:rPr>
        <w:t xml:space="preserve"> on a proposed new court rule regarding the filing of papers in matrimonial actions with the County Clerks. New 22 NYCRR </w:t>
      </w:r>
      <w:r w:rsidRPr="00607E66">
        <w:rPr>
          <w:rFonts w:ascii="Times New Roman" w:hAnsi="Times New Roman" w:cs="Times New Roman"/>
        </w:rPr>
        <w:t xml:space="preserve"> </w:t>
      </w:r>
      <w:r w:rsidRPr="00F76AC6">
        <w:rPr>
          <w:rFonts w:ascii="Times New Roman" w:hAnsi="Times New Roman" w:cs="Times New Roman"/>
        </w:rPr>
        <w:t>§</w:t>
      </w:r>
      <w:r w:rsidRPr="00607E66">
        <w:rPr>
          <w:rFonts w:ascii="Times New Roman" w:hAnsi="Times New Roman" w:cs="Times New Roman"/>
        </w:rPr>
        <w:t xml:space="preserve">202.16-d </w:t>
      </w:r>
      <w:r>
        <w:rPr>
          <w:rFonts w:ascii="Times New Roman" w:hAnsi="Times New Roman" w:cs="Times New Roman"/>
        </w:rPr>
        <w:t xml:space="preserve"> </w:t>
      </w:r>
      <w:r w:rsidRPr="00275316">
        <w:rPr>
          <w:rFonts w:ascii="Times New Roman" w:hAnsi="Times New Roman" w:cs="Times New Roman"/>
          <w:b/>
          <w:bCs/>
          <w:u w:val="single"/>
        </w:rPr>
        <w:t>would be added</w:t>
      </w:r>
      <w:r w:rsidRPr="00607E66">
        <w:rPr>
          <w:rFonts w:ascii="Times New Roman" w:hAnsi="Times New Roman" w:cs="Times New Roman"/>
        </w:rPr>
        <w:t xml:space="preserve"> </w:t>
      </w:r>
      <w:r>
        <w:rPr>
          <w:rFonts w:ascii="Times New Roman" w:hAnsi="Times New Roman" w:cs="Times New Roman"/>
        </w:rPr>
        <w:t>“</w:t>
      </w:r>
      <w:r w:rsidRPr="00607E66">
        <w:rPr>
          <w:rFonts w:ascii="Times New Roman" w:hAnsi="Times New Roman" w:cs="Times New Roman"/>
        </w:rPr>
        <w:t>to require that in any matrimonial action, whether contested or uncontested, the Supreme Court must promptly deliver to the county clerk (either in original hard copy paper filings, or electronically in e-filed actions), the papers or orders in the action for divorce, as well as any ancillary or post-disposition documents, or documents filed in a plenary action for child support, custody or visitation, an order of protection pursuant to the Domestic Relations Law or the Child Parent Security Act.</w:t>
      </w:r>
      <w:r>
        <w:rPr>
          <w:rFonts w:ascii="Times New Roman" w:hAnsi="Times New Roman" w:cs="Times New Roman"/>
        </w:rPr>
        <w:t>” (</w:t>
      </w:r>
      <w:r w:rsidRPr="008D7D4C">
        <w:rPr>
          <w:rFonts w:ascii="Times New Roman" w:hAnsi="Times New Roman" w:cs="Times New Roman"/>
        </w:rPr>
        <w:t xml:space="preserve">Memorandum of David Nocenti, Esq., Counsel, NYS Unified Court System, dated </w:t>
      </w:r>
      <w:r>
        <w:rPr>
          <w:rFonts w:ascii="Times New Roman" w:hAnsi="Times New Roman" w:cs="Times New Roman"/>
        </w:rPr>
        <w:t xml:space="preserve">March 27, </w:t>
      </w:r>
      <w:proofErr w:type="gramStart"/>
      <w:r>
        <w:rPr>
          <w:rFonts w:ascii="Times New Roman" w:hAnsi="Times New Roman" w:cs="Times New Roman"/>
        </w:rPr>
        <w:t>2026</w:t>
      </w:r>
      <w:proofErr w:type="gramEnd"/>
      <w:r>
        <w:rPr>
          <w:rFonts w:ascii="Times New Roman" w:hAnsi="Times New Roman" w:cs="Times New Roman"/>
        </w:rPr>
        <w:t xml:space="preserve"> </w:t>
      </w:r>
      <w:r w:rsidRPr="008D7D4C">
        <w:rPr>
          <w:rFonts w:ascii="Times New Roman" w:hAnsi="Times New Roman" w:cs="Times New Roman"/>
        </w:rPr>
        <w:t>at 1).</w:t>
      </w:r>
      <w:r>
        <w:rPr>
          <w:rFonts w:ascii="Times New Roman" w:hAnsi="Times New Roman" w:cs="Times New Roman"/>
        </w:rPr>
        <w:t xml:space="preserve"> </w:t>
      </w:r>
      <w:r w:rsidRPr="008D7D4C">
        <w:rPr>
          <w:rFonts w:ascii="Times New Roman" w:hAnsi="Times New Roman" w:cs="Times New Roman"/>
        </w:rPr>
        <w:t>For the complete text and proposed amendments,</w:t>
      </w:r>
      <w:r>
        <w:rPr>
          <w:rFonts w:ascii="Times New Roman" w:hAnsi="Times New Roman" w:cs="Times New Roman"/>
        </w:rPr>
        <w:t xml:space="preserve"> see </w:t>
      </w:r>
      <w:hyperlink r:id="rId8" w:history="1">
        <w:r w:rsidRPr="00275316">
          <w:rPr>
            <w:rStyle w:val="Hyperlink"/>
            <w:rFonts w:ascii="Times New Roman" w:hAnsi="Times New Roman" w:cs="Times New Roman"/>
          </w:rPr>
          <w:t>Request for Public Comment-Matrimonial Action Filings</w:t>
        </w:r>
      </w:hyperlink>
      <w:r>
        <w:rPr>
          <w:rFonts w:ascii="Times New Roman" w:hAnsi="Times New Roman" w:cs="Times New Roman"/>
        </w:rPr>
        <w:t xml:space="preserve"> </w:t>
      </w:r>
      <w:r w:rsidRPr="008D7D4C">
        <w:rPr>
          <w:rFonts w:ascii="Times New Roman" w:hAnsi="Times New Roman" w:cs="Times New Roman"/>
          <w:b/>
          <w:bCs/>
          <w:u w:val="single"/>
        </w:rPr>
        <w:t xml:space="preserve">Public Comment </w:t>
      </w:r>
      <w:r w:rsidR="007131EC">
        <w:rPr>
          <w:rFonts w:ascii="Times New Roman" w:hAnsi="Times New Roman" w:cs="Times New Roman"/>
          <w:b/>
          <w:bCs/>
          <w:u w:val="single"/>
        </w:rPr>
        <w:t>was</w:t>
      </w:r>
      <w:r w:rsidRPr="008D7D4C">
        <w:rPr>
          <w:rFonts w:ascii="Times New Roman" w:hAnsi="Times New Roman" w:cs="Times New Roman"/>
          <w:b/>
          <w:bCs/>
          <w:u w:val="single"/>
        </w:rPr>
        <w:t xml:space="preserve"> requested by </w:t>
      </w:r>
      <w:r>
        <w:rPr>
          <w:rFonts w:ascii="Times New Roman" w:hAnsi="Times New Roman" w:cs="Times New Roman"/>
          <w:b/>
          <w:bCs/>
          <w:u w:val="single"/>
        </w:rPr>
        <w:t>May 8</w:t>
      </w:r>
      <w:r w:rsidRPr="008D7D4C">
        <w:rPr>
          <w:rFonts w:ascii="Times New Roman" w:hAnsi="Times New Roman" w:cs="Times New Roman"/>
          <w:b/>
          <w:bCs/>
          <w:u w:val="single"/>
        </w:rPr>
        <w:t>, 202</w:t>
      </w:r>
      <w:r>
        <w:rPr>
          <w:rFonts w:ascii="Times New Roman" w:hAnsi="Times New Roman" w:cs="Times New Roman"/>
          <w:b/>
          <w:bCs/>
          <w:u w:val="single"/>
        </w:rPr>
        <w:t>6</w:t>
      </w:r>
      <w:r w:rsidRPr="008D7D4C">
        <w:rPr>
          <w:rFonts w:ascii="Times New Roman" w:hAnsi="Times New Roman" w:cs="Times New Roman"/>
          <w:b/>
          <w:bCs/>
          <w:u w:val="single"/>
        </w:rPr>
        <w:t>.</w:t>
      </w:r>
    </w:p>
    <w:p w14:paraId="19E1625D" w14:textId="0BF50E9C" w:rsidR="0098271F" w:rsidRDefault="0098271F" w:rsidP="007A5AC3">
      <w:pPr>
        <w:pStyle w:val="Heading2"/>
        <w:numPr>
          <w:ilvl w:val="0"/>
          <w:numId w:val="0"/>
        </w:numPr>
        <w:spacing w:line="240" w:lineRule="auto"/>
        <w:jc w:val="both"/>
        <w:rPr>
          <w:rFonts w:ascii="Times New Roman" w:hAnsi="Times New Roman" w:cs="Times New Roman"/>
        </w:rPr>
      </w:pPr>
    </w:p>
    <w:p w14:paraId="4AAB40A0" w14:textId="3684758D" w:rsidR="006E05BB" w:rsidRPr="00C20D06" w:rsidRDefault="006E05BB" w:rsidP="006E05BB">
      <w:pPr>
        <w:pStyle w:val="Heading2"/>
        <w:numPr>
          <w:ilvl w:val="0"/>
          <w:numId w:val="0"/>
        </w:numPr>
        <w:jc w:val="both"/>
        <w:rPr>
          <w:b/>
          <w:bCs/>
        </w:rPr>
      </w:pPr>
      <w:bookmarkStart w:id="4" w:name="_Hlk232941928"/>
      <w:r>
        <w:rPr>
          <w:rFonts w:ascii="Times New Roman" w:hAnsi="Times New Roman" w:cs="Times New Roman"/>
          <w:b/>
          <w:bCs/>
        </w:rPr>
        <w:t xml:space="preserve">Paternity – Amendments to Change to </w:t>
      </w:r>
      <w:r w:rsidR="00EF1C8B">
        <w:rPr>
          <w:rFonts w:ascii="Times New Roman" w:hAnsi="Times New Roman" w:cs="Times New Roman"/>
          <w:b/>
          <w:bCs/>
        </w:rPr>
        <w:t>“</w:t>
      </w:r>
      <w:r>
        <w:rPr>
          <w:rFonts w:ascii="Times New Roman" w:hAnsi="Times New Roman" w:cs="Times New Roman"/>
          <w:b/>
          <w:bCs/>
        </w:rPr>
        <w:t>Parentage</w:t>
      </w:r>
      <w:r w:rsidR="00EF1C8B">
        <w:rPr>
          <w:rFonts w:ascii="Times New Roman" w:hAnsi="Times New Roman" w:cs="Times New Roman"/>
          <w:b/>
          <w:bCs/>
        </w:rPr>
        <w:t>”</w:t>
      </w:r>
      <w:r>
        <w:rPr>
          <w:rFonts w:ascii="Times New Roman" w:hAnsi="Times New Roman" w:cs="Times New Roman"/>
          <w:b/>
          <w:bCs/>
        </w:rPr>
        <w:t xml:space="preserve"> and Gender-Neutral Language</w:t>
      </w:r>
      <w:bookmarkEnd w:id="4"/>
    </w:p>
    <w:p w14:paraId="15286B5B" w14:textId="2A15EE62" w:rsidR="006E05BB" w:rsidRDefault="006E05BB" w:rsidP="006E05BB">
      <w:pPr>
        <w:pStyle w:val="Heading2"/>
        <w:numPr>
          <w:ilvl w:val="0"/>
          <w:numId w:val="0"/>
        </w:numPr>
        <w:spacing w:line="240" w:lineRule="auto"/>
        <w:jc w:val="both"/>
        <w:rPr>
          <w:rFonts w:ascii="Times New Roman" w:hAnsi="Times New Roman" w:cs="Times New Roman"/>
        </w:rPr>
      </w:pPr>
      <w:r>
        <w:rPr>
          <w:rFonts w:ascii="Times New Roman" w:hAnsi="Times New Roman" w:cs="Times New Roman"/>
          <w:b/>
          <w:bCs/>
        </w:rPr>
        <w:tab/>
      </w:r>
      <w:r w:rsidRPr="00C20D06">
        <w:rPr>
          <w:rFonts w:ascii="Times New Roman" w:hAnsi="Times New Roman" w:cs="Times New Roman"/>
          <w:b/>
          <w:bCs/>
          <w:u w:val="single"/>
        </w:rPr>
        <w:t xml:space="preserve">Passed by both houses as of June 2, 2026 </w:t>
      </w:r>
      <w:r>
        <w:rPr>
          <w:rFonts w:ascii="Times New Roman" w:hAnsi="Times New Roman" w:cs="Times New Roman"/>
        </w:rPr>
        <w:t>and if signed by the Governor, this bill would, effective November 1, 2026, amend various provisions of the FCA, CPLR, DRL, Executive Law, Judiciary Law, SSL, GOL, ABC, and the Education Law, to substitute “parentage” for “paternity” and “filiation” and, among other things, and to substitute “gestating parent” for “mother,” “non-gestating parent” for father, and “alleged parent” for “putative father.”</w:t>
      </w:r>
      <w:r w:rsidR="00E8671E">
        <w:rPr>
          <w:rFonts w:ascii="Times New Roman" w:hAnsi="Times New Roman" w:cs="Times New Roman"/>
        </w:rPr>
        <w:t xml:space="preserve"> </w:t>
      </w:r>
      <w:bookmarkStart w:id="5" w:name="_Hlk234186979"/>
      <w:r w:rsidR="00E8671E">
        <w:rPr>
          <w:rFonts w:ascii="Times New Roman" w:hAnsi="Times New Roman" w:cs="Times New Roman"/>
        </w:rPr>
        <w:t>A.08382A/S.09316.</w:t>
      </w:r>
      <w:bookmarkEnd w:id="5"/>
    </w:p>
    <w:p w14:paraId="61567FEF" w14:textId="77777777" w:rsidR="00C979E0" w:rsidRDefault="00C979E0" w:rsidP="006E05BB">
      <w:pPr>
        <w:pStyle w:val="Heading2"/>
        <w:numPr>
          <w:ilvl w:val="0"/>
          <w:numId w:val="0"/>
        </w:numPr>
        <w:spacing w:line="240" w:lineRule="auto"/>
        <w:jc w:val="both"/>
        <w:rPr>
          <w:rFonts w:ascii="Times New Roman" w:hAnsi="Times New Roman" w:cs="Times New Roman"/>
        </w:rPr>
      </w:pPr>
    </w:p>
    <w:p w14:paraId="4E690AD8" w14:textId="5C29047B" w:rsidR="00C979E0" w:rsidRDefault="00C979E0" w:rsidP="00C979E0">
      <w:pPr>
        <w:pStyle w:val="Heading2"/>
        <w:numPr>
          <w:ilvl w:val="0"/>
          <w:numId w:val="0"/>
        </w:numPr>
        <w:spacing w:line="240" w:lineRule="auto"/>
        <w:rPr>
          <w:rFonts w:ascii="Times New Roman" w:hAnsi="Times New Roman" w:cs="Times New Roman"/>
          <w:b/>
          <w:bCs/>
          <w:u w:val="single"/>
        </w:rPr>
      </w:pPr>
      <w:r w:rsidRPr="00C979E0">
        <w:rPr>
          <w:rFonts w:ascii="Times New Roman" w:hAnsi="Times New Roman" w:cs="Times New Roman"/>
          <w:b/>
          <w:bCs/>
        </w:rPr>
        <w:t>Rules of Professional Conduct -</w:t>
      </w:r>
      <w:r>
        <w:rPr>
          <w:rFonts w:ascii="Times New Roman" w:hAnsi="Times New Roman" w:cs="Times New Roman"/>
        </w:rPr>
        <w:t xml:space="preserve"> </w:t>
      </w:r>
      <w:r w:rsidRPr="00627D30">
        <w:rPr>
          <w:rFonts w:ascii="Times New Roman" w:hAnsi="Times New Roman" w:cs="Times New Roman"/>
          <w:b/>
          <w:bCs/>
        </w:rPr>
        <w:t xml:space="preserve">Attorney Advertising and Solicitation – NYSBA Proposal – </w:t>
      </w:r>
      <w:r w:rsidRPr="00627D30">
        <w:rPr>
          <w:rFonts w:ascii="Times New Roman" w:hAnsi="Times New Roman" w:cs="Times New Roman"/>
          <w:b/>
          <w:bCs/>
          <w:u w:val="single"/>
        </w:rPr>
        <w:t>Adopted</w:t>
      </w:r>
    </w:p>
    <w:p w14:paraId="2FD3FB8F" w14:textId="77777777" w:rsidR="00C979E0" w:rsidRPr="00627D30" w:rsidRDefault="00C979E0" w:rsidP="00C979E0">
      <w:pPr>
        <w:pStyle w:val="Heading2"/>
        <w:numPr>
          <w:ilvl w:val="0"/>
          <w:numId w:val="0"/>
        </w:numPr>
        <w:spacing w:line="240" w:lineRule="auto"/>
        <w:rPr>
          <w:b/>
          <w:bCs/>
        </w:rPr>
      </w:pPr>
    </w:p>
    <w:p w14:paraId="4099EEF6" w14:textId="1EA78B97" w:rsidR="00C979E0" w:rsidRDefault="00C979E0" w:rsidP="00C979E0">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A NYSBA proposal to amend Rules 1.0, 7.1, 7.2, 7.3 and 7.4 of the Rules of Professional Conduct relating to attorney advertising and solicitation, </w:t>
      </w:r>
      <w:r w:rsidRPr="00627D30">
        <w:rPr>
          <w:rFonts w:ascii="Times New Roman" w:hAnsi="Times New Roman" w:cs="Times New Roman"/>
          <w:b/>
          <w:bCs/>
          <w:u w:val="single"/>
        </w:rPr>
        <w:t xml:space="preserve">was adopted, by joint Order of the Appellate Division dated May 27, </w:t>
      </w:r>
      <w:proofErr w:type="gramStart"/>
      <w:r w:rsidRPr="00627D30">
        <w:rPr>
          <w:rFonts w:ascii="Times New Roman" w:hAnsi="Times New Roman" w:cs="Times New Roman"/>
          <w:b/>
          <w:bCs/>
          <w:u w:val="single"/>
        </w:rPr>
        <w:t>2026</w:t>
      </w:r>
      <w:proofErr w:type="gramEnd"/>
      <w:r w:rsidRPr="00627D30">
        <w:rPr>
          <w:rFonts w:ascii="Times New Roman" w:hAnsi="Times New Roman" w:cs="Times New Roman"/>
          <w:b/>
          <w:bCs/>
          <w:u w:val="single"/>
        </w:rPr>
        <w:t xml:space="preserve"> and effective June 1, 2026</w:t>
      </w:r>
      <w:r>
        <w:rPr>
          <w:rFonts w:ascii="Times New Roman" w:hAnsi="Times New Roman" w:cs="Times New Roman"/>
        </w:rPr>
        <w:t xml:space="preserve">. </w:t>
      </w:r>
      <w:hyperlink r:id="rId9" w:history="1">
        <w:r w:rsidRPr="002177DE">
          <w:rPr>
            <w:rStyle w:val="Hyperlink"/>
            <w:rFonts w:ascii="Times New Roman" w:hAnsi="Times New Roman" w:cs="Times New Roman"/>
          </w:rPr>
          <w:t>AO - Joint App Div Order</w:t>
        </w:r>
      </w:hyperlink>
      <w:r>
        <w:rPr>
          <w:rFonts w:ascii="Times New Roman" w:hAnsi="Times New Roman" w:cs="Times New Roman"/>
        </w:rPr>
        <w:t xml:space="preserve"> (</w:t>
      </w:r>
      <w:r w:rsidRPr="00CB0AE2">
        <w:rPr>
          <w:rFonts w:ascii="Times New Roman" w:hAnsi="Times New Roman" w:cs="Times New Roman"/>
          <w:i/>
          <w:iCs/>
        </w:rPr>
        <w:t>See</w:t>
      </w:r>
      <w:r>
        <w:rPr>
          <w:rFonts w:ascii="Times New Roman" w:hAnsi="Times New Roman" w:cs="Times New Roman"/>
        </w:rPr>
        <w:t xml:space="preserve"> </w:t>
      </w:r>
      <w:r w:rsidRPr="008D7D4C">
        <w:rPr>
          <w:rFonts w:ascii="Times New Roman" w:hAnsi="Times New Roman" w:cs="Times New Roman"/>
        </w:rPr>
        <w:t xml:space="preserve">Memorandum of David </w:t>
      </w:r>
      <w:proofErr w:type="spellStart"/>
      <w:r w:rsidRPr="008D7D4C">
        <w:rPr>
          <w:rFonts w:ascii="Times New Roman" w:hAnsi="Times New Roman" w:cs="Times New Roman"/>
        </w:rPr>
        <w:t>Nocenti</w:t>
      </w:r>
      <w:proofErr w:type="spellEnd"/>
      <w:r w:rsidRPr="008D7D4C">
        <w:rPr>
          <w:rFonts w:ascii="Times New Roman" w:hAnsi="Times New Roman" w:cs="Times New Roman"/>
        </w:rPr>
        <w:t xml:space="preserve">, Esq., Counsel, NYS Unified Court System, dated </w:t>
      </w:r>
      <w:r>
        <w:rPr>
          <w:rFonts w:ascii="Times New Roman" w:hAnsi="Times New Roman" w:cs="Times New Roman"/>
        </w:rPr>
        <w:t>December 30</w:t>
      </w:r>
      <w:r w:rsidRPr="008D7D4C">
        <w:rPr>
          <w:rFonts w:ascii="Times New Roman" w:hAnsi="Times New Roman" w:cs="Times New Roman"/>
        </w:rPr>
        <w:t xml:space="preserve">, </w:t>
      </w:r>
      <w:proofErr w:type="gramStart"/>
      <w:r w:rsidRPr="008D7D4C">
        <w:rPr>
          <w:rFonts w:ascii="Times New Roman" w:hAnsi="Times New Roman" w:cs="Times New Roman"/>
        </w:rPr>
        <w:t>2025</w:t>
      </w:r>
      <w:proofErr w:type="gramEnd"/>
      <w:r w:rsidRPr="008D7D4C">
        <w:rPr>
          <w:rFonts w:ascii="Times New Roman" w:hAnsi="Times New Roman" w:cs="Times New Roman"/>
        </w:rPr>
        <w:t xml:space="preserve"> at 1). For the complete text and proposed amendments</w:t>
      </w:r>
      <w:r>
        <w:rPr>
          <w:rFonts w:ascii="Times New Roman" w:hAnsi="Times New Roman" w:cs="Times New Roman"/>
        </w:rPr>
        <w:t xml:space="preserve"> showing all revisions</w:t>
      </w:r>
      <w:r w:rsidRPr="008D7D4C">
        <w:rPr>
          <w:rFonts w:ascii="Times New Roman" w:hAnsi="Times New Roman" w:cs="Times New Roman"/>
        </w:rPr>
        <w:t>,</w:t>
      </w:r>
      <w:r>
        <w:rPr>
          <w:rFonts w:ascii="Times New Roman" w:hAnsi="Times New Roman" w:cs="Times New Roman"/>
        </w:rPr>
        <w:t xml:space="preserve"> see </w:t>
      </w:r>
      <w:hyperlink r:id="rId10" w:history="1">
        <w:r w:rsidRPr="00CB0AE2">
          <w:rPr>
            <w:rStyle w:val="Hyperlink"/>
            <w:rFonts w:ascii="Times New Roman" w:hAnsi="Times New Roman" w:cs="Times New Roman"/>
          </w:rPr>
          <w:t>RequestForPublicComment-RulesOfProfessionalConduct-AttorneyAdvertising-123025.pdf</w:t>
        </w:r>
      </w:hyperlink>
      <w:r>
        <w:rPr>
          <w:rFonts w:ascii="Times New Roman" w:hAnsi="Times New Roman" w:cs="Times New Roman"/>
        </w:rPr>
        <w:t xml:space="preserve">. For an informative article, </w:t>
      </w:r>
      <w:r w:rsidRPr="002177DE">
        <w:rPr>
          <w:rFonts w:ascii="Times New Roman" w:hAnsi="Times New Roman" w:cs="Times New Roman"/>
          <w:i/>
          <w:iCs/>
        </w:rPr>
        <w:t>see</w:t>
      </w:r>
      <w:r>
        <w:rPr>
          <w:rFonts w:ascii="Times New Roman" w:hAnsi="Times New Roman" w:cs="Times New Roman"/>
        </w:rPr>
        <w:t xml:space="preserve"> Emily Sawicki, “NY Rule Rewrite Drops 30-Day Pause for Atty Soliciting,” </w:t>
      </w:r>
      <w:r w:rsidRPr="002177DE">
        <w:rPr>
          <w:rFonts w:ascii="Times New Roman" w:hAnsi="Times New Roman" w:cs="Times New Roman"/>
          <w:i/>
          <w:iCs/>
        </w:rPr>
        <w:t>NY Law Journal</w:t>
      </w:r>
      <w:r>
        <w:rPr>
          <w:rFonts w:ascii="Times New Roman" w:hAnsi="Times New Roman" w:cs="Times New Roman"/>
        </w:rPr>
        <w:t xml:space="preserve"> June 23, 2026.</w:t>
      </w:r>
    </w:p>
    <w:p w14:paraId="0F544F3F" w14:textId="77777777" w:rsidR="00195C82" w:rsidRDefault="00195C82" w:rsidP="00C979E0">
      <w:pPr>
        <w:pStyle w:val="Heading2"/>
        <w:numPr>
          <w:ilvl w:val="0"/>
          <w:numId w:val="0"/>
        </w:numPr>
        <w:spacing w:line="240" w:lineRule="auto"/>
        <w:jc w:val="both"/>
        <w:rPr>
          <w:rFonts w:ascii="Times New Roman" w:hAnsi="Times New Roman" w:cs="Times New Roman"/>
        </w:rPr>
      </w:pPr>
    </w:p>
    <w:p w14:paraId="6D66689A" w14:textId="77777777" w:rsidR="00195C82" w:rsidRDefault="00195C82" w:rsidP="00195C82">
      <w:pPr>
        <w:pStyle w:val="Heading2"/>
        <w:numPr>
          <w:ilvl w:val="0"/>
          <w:numId w:val="0"/>
        </w:numPr>
        <w:spacing w:line="240" w:lineRule="auto"/>
        <w:jc w:val="both"/>
        <w:rPr>
          <w:rFonts w:ascii="Times New Roman" w:hAnsi="Times New Roman" w:cs="Times New Roman"/>
          <w:b/>
          <w:bCs/>
        </w:rPr>
      </w:pPr>
      <w:bookmarkStart w:id="6" w:name="_Hlk234096049"/>
      <w:r w:rsidRPr="00CB0AE2">
        <w:rPr>
          <w:rFonts w:ascii="Times New Roman" w:hAnsi="Times New Roman" w:cs="Times New Roman"/>
          <w:b/>
          <w:bCs/>
        </w:rPr>
        <w:t>Rules of Professional Conduct – Duty of Inquiry When Accepting, Declining or Terminating an Engagement – NYSBA Proposal</w:t>
      </w:r>
    </w:p>
    <w:p w14:paraId="0AB5B8CB" w14:textId="77777777" w:rsidR="00195C82" w:rsidRPr="00CB0AE2" w:rsidRDefault="00195C82" w:rsidP="00195C82">
      <w:pPr>
        <w:pStyle w:val="Heading2"/>
        <w:numPr>
          <w:ilvl w:val="0"/>
          <w:numId w:val="0"/>
        </w:numPr>
        <w:spacing w:line="240" w:lineRule="auto"/>
        <w:jc w:val="both"/>
        <w:rPr>
          <w:b/>
          <w:bCs/>
        </w:rPr>
      </w:pPr>
    </w:p>
    <w:p w14:paraId="766720E8" w14:textId="2B31BD3F" w:rsidR="00195C82" w:rsidRDefault="00195C82" w:rsidP="00195C82">
      <w:pPr>
        <w:pStyle w:val="Heading2"/>
        <w:numPr>
          <w:ilvl w:val="0"/>
          <w:numId w:val="0"/>
        </w:numPr>
        <w:spacing w:line="240" w:lineRule="auto"/>
        <w:jc w:val="both"/>
        <w:rPr>
          <w:rFonts w:ascii="Times New Roman" w:hAnsi="Times New Roman" w:cs="Times New Roman"/>
        </w:rPr>
      </w:pPr>
      <w:r>
        <w:rPr>
          <w:rFonts w:ascii="Times New Roman" w:hAnsi="Times New Roman" w:cs="Times New Roman"/>
          <w:b/>
          <w:bCs/>
        </w:rPr>
        <w:tab/>
        <w:t>A</w:t>
      </w:r>
      <w:r>
        <w:rPr>
          <w:rFonts w:ascii="Times New Roman" w:hAnsi="Times New Roman" w:cs="Times New Roman"/>
        </w:rPr>
        <w:t xml:space="preserve"> NYSBA proposal to amend Rule 1.16 of the Rules of Professional Conduct relating to imposing “a duty of inquiry, including a risk assessment, regarding the propriety of each engagement, when a lawyer (or law firm) is determining whether to take on or continue the </w:t>
      </w:r>
      <w:r>
        <w:rPr>
          <w:rFonts w:ascii="Times New Roman" w:hAnsi="Times New Roman" w:cs="Times New Roman"/>
        </w:rPr>
        <w:lastRenderedPageBreak/>
        <w:t xml:space="preserve">engagement” </w:t>
      </w:r>
      <w:r w:rsidRPr="00627D30">
        <w:rPr>
          <w:rFonts w:ascii="Times New Roman" w:hAnsi="Times New Roman" w:cs="Times New Roman"/>
          <w:b/>
          <w:bCs/>
          <w:u w:val="single"/>
        </w:rPr>
        <w:t xml:space="preserve">was adopted, by joint Order of the Appellate Division dated </w:t>
      </w:r>
      <w:r>
        <w:rPr>
          <w:rFonts w:ascii="Times New Roman" w:hAnsi="Times New Roman" w:cs="Times New Roman"/>
          <w:b/>
          <w:bCs/>
          <w:u w:val="single"/>
        </w:rPr>
        <w:t>June 1,</w:t>
      </w:r>
      <w:r w:rsidRPr="00627D30">
        <w:rPr>
          <w:rFonts w:ascii="Times New Roman" w:hAnsi="Times New Roman" w:cs="Times New Roman"/>
          <w:b/>
          <w:bCs/>
          <w:u w:val="single"/>
        </w:rPr>
        <w:t xml:space="preserve"> 2026 and effective Ju</w:t>
      </w:r>
      <w:r>
        <w:rPr>
          <w:rFonts w:ascii="Times New Roman" w:hAnsi="Times New Roman" w:cs="Times New Roman"/>
          <w:b/>
          <w:bCs/>
          <w:u w:val="single"/>
        </w:rPr>
        <w:t>ly</w:t>
      </w:r>
      <w:r w:rsidRPr="00627D30">
        <w:rPr>
          <w:rFonts w:ascii="Times New Roman" w:hAnsi="Times New Roman" w:cs="Times New Roman"/>
          <w:b/>
          <w:bCs/>
          <w:u w:val="single"/>
        </w:rPr>
        <w:t xml:space="preserve"> 1, 2026</w:t>
      </w:r>
      <w:r>
        <w:rPr>
          <w:rFonts w:ascii="Times New Roman" w:hAnsi="Times New Roman" w:cs="Times New Roman"/>
        </w:rPr>
        <w:t xml:space="preserve">. </w:t>
      </w:r>
      <w:hyperlink r:id="rId11" w:history="1">
        <w:r w:rsidRPr="00195C82">
          <w:rPr>
            <w:rStyle w:val="Hyperlink"/>
            <w:rFonts w:ascii="Times New Roman" w:hAnsi="Times New Roman" w:cs="Times New Roman"/>
          </w:rPr>
          <w:t>Administrative Order</w:t>
        </w:r>
      </w:hyperlink>
      <w:r>
        <w:rPr>
          <w:rFonts w:ascii="Times New Roman" w:hAnsi="Times New Roman" w:cs="Times New Roman"/>
        </w:rPr>
        <w:t xml:space="preserve"> (</w:t>
      </w:r>
      <w:r w:rsidRPr="00195C82">
        <w:rPr>
          <w:rFonts w:ascii="Times New Roman" w:hAnsi="Times New Roman" w:cs="Times New Roman"/>
          <w:i/>
          <w:iCs/>
        </w:rPr>
        <w:t>See</w:t>
      </w:r>
      <w:r>
        <w:rPr>
          <w:rFonts w:ascii="Times New Roman" w:hAnsi="Times New Roman" w:cs="Times New Roman"/>
        </w:rPr>
        <w:t xml:space="preserve"> </w:t>
      </w:r>
      <w:r w:rsidRPr="008D7D4C">
        <w:rPr>
          <w:rFonts w:ascii="Times New Roman" w:hAnsi="Times New Roman" w:cs="Times New Roman"/>
        </w:rPr>
        <w:t xml:space="preserve">Memorandum of David </w:t>
      </w:r>
      <w:proofErr w:type="spellStart"/>
      <w:r w:rsidRPr="008D7D4C">
        <w:rPr>
          <w:rFonts w:ascii="Times New Roman" w:hAnsi="Times New Roman" w:cs="Times New Roman"/>
        </w:rPr>
        <w:t>Nocenti</w:t>
      </w:r>
      <w:proofErr w:type="spellEnd"/>
      <w:r w:rsidRPr="008D7D4C">
        <w:rPr>
          <w:rFonts w:ascii="Times New Roman" w:hAnsi="Times New Roman" w:cs="Times New Roman"/>
        </w:rPr>
        <w:t xml:space="preserve">, Esq., Counsel, NYS Unified Court System, dated </w:t>
      </w:r>
      <w:r>
        <w:rPr>
          <w:rFonts w:ascii="Times New Roman" w:hAnsi="Times New Roman" w:cs="Times New Roman"/>
        </w:rPr>
        <w:t>December 30</w:t>
      </w:r>
      <w:r w:rsidRPr="008D7D4C">
        <w:rPr>
          <w:rFonts w:ascii="Times New Roman" w:hAnsi="Times New Roman" w:cs="Times New Roman"/>
        </w:rPr>
        <w:t xml:space="preserve">, </w:t>
      </w:r>
      <w:proofErr w:type="gramStart"/>
      <w:r w:rsidRPr="008D7D4C">
        <w:rPr>
          <w:rFonts w:ascii="Times New Roman" w:hAnsi="Times New Roman" w:cs="Times New Roman"/>
        </w:rPr>
        <w:t>2025</w:t>
      </w:r>
      <w:proofErr w:type="gramEnd"/>
      <w:r w:rsidRPr="008D7D4C">
        <w:rPr>
          <w:rFonts w:ascii="Times New Roman" w:hAnsi="Times New Roman" w:cs="Times New Roman"/>
        </w:rPr>
        <w:t xml:space="preserve"> at 1). For the complete text and proposed amendments,</w:t>
      </w:r>
      <w:r>
        <w:rPr>
          <w:rFonts w:ascii="Times New Roman" w:hAnsi="Times New Roman" w:cs="Times New Roman"/>
        </w:rPr>
        <w:t xml:space="preserve"> see </w:t>
      </w:r>
      <w:hyperlink r:id="rId12" w:history="1">
        <w:r w:rsidRPr="00CB0AE2">
          <w:rPr>
            <w:rStyle w:val="Hyperlink"/>
            <w:rFonts w:ascii="Times New Roman" w:hAnsi="Times New Roman" w:cs="Times New Roman"/>
          </w:rPr>
          <w:t>RequestForPublicComment-RulesOfProfessionalConduct-RiskAssessments-123025.pdf</w:t>
        </w:r>
      </w:hyperlink>
      <w:r>
        <w:rPr>
          <w:rFonts w:ascii="Times New Roman" w:hAnsi="Times New Roman" w:cs="Times New Roman"/>
        </w:rPr>
        <w:t>.</w:t>
      </w:r>
      <w:bookmarkEnd w:id="6"/>
    </w:p>
    <w:p w14:paraId="1AF8A4EB" w14:textId="77777777" w:rsidR="004C18EA" w:rsidRDefault="004C18EA" w:rsidP="006E05BB">
      <w:pPr>
        <w:pStyle w:val="Heading2"/>
        <w:numPr>
          <w:ilvl w:val="0"/>
          <w:numId w:val="0"/>
        </w:numPr>
        <w:spacing w:line="240" w:lineRule="auto"/>
        <w:jc w:val="both"/>
        <w:rPr>
          <w:rFonts w:ascii="Times New Roman" w:hAnsi="Times New Roman" w:cs="Times New Roman"/>
        </w:rPr>
      </w:pPr>
    </w:p>
    <w:p w14:paraId="2169BF69" w14:textId="77777777" w:rsidR="004C18EA" w:rsidRPr="004C18EA" w:rsidRDefault="004C18EA" w:rsidP="004C18EA">
      <w:pPr>
        <w:pStyle w:val="Heading2"/>
        <w:numPr>
          <w:ilvl w:val="0"/>
          <w:numId w:val="0"/>
        </w:numPr>
        <w:rPr>
          <w:b/>
          <w:bCs/>
        </w:rPr>
      </w:pPr>
      <w:r w:rsidRPr="004C18EA">
        <w:rPr>
          <w:rFonts w:ascii="Times New Roman" w:hAnsi="Times New Roman" w:cs="Times New Roman"/>
          <w:b/>
          <w:bCs/>
        </w:rPr>
        <w:t>Supervised Visitation</w:t>
      </w:r>
    </w:p>
    <w:p w14:paraId="3666D0EC" w14:textId="70E0D22B" w:rsidR="004C18EA" w:rsidRDefault="004C18EA" w:rsidP="004C18EA">
      <w:pPr>
        <w:pStyle w:val="Heading2"/>
        <w:numPr>
          <w:ilvl w:val="0"/>
          <w:numId w:val="0"/>
        </w:numPr>
        <w:spacing w:line="240" w:lineRule="auto"/>
        <w:jc w:val="both"/>
        <w:rPr>
          <w:rFonts w:ascii="Times New Roman" w:hAnsi="Times New Roman" w:cs="Times New Roman"/>
        </w:rPr>
      </w:pPr>
      <w:r>
        <w:rPr>
          <w:rFonts w:ascii="Times New Roman" w:hAnsi="Times New Roman" w:cs="Times New Roman"/>
          <w:b/>
          <w:bCs/>
        </w:rPr>
        <w:tab/>
      </w:r>
      <w:r w:rsidRPr="00EB5D65">
        <w:rPr>
          <w:rFonts w:ascii="Times New Roman" w:hAnsi="Times New Roman" w:cs="Times New Roman"/>
          <w:b/>
          <w:bCs/>
          <w:u w:val="single"/>
        </w:rPr>
        <w:t>Passed by both Houses as of June 4, 2026</w:t>
      </w:r>
      <w:r>
        <w:rPr>
          <w:rFonts w:ascii="Times New Roman" w:hAnsi="Times New Roman" w:cs="Times New Roman"/>
        </w:rPr>
        <w:t xml:space="preserve">, and if signed by the Governor, this bill would add a new Social Services Law 398-g, </w:t>
      </w:r>
      <w:r w:rsidRPr="00EB5D65">
        <w:rPr>
          <w:rFonts w:ascii="Times New Roman" w:hAnsi="Times New Roman" w:cs="Times New Roman"/>
          <w:b/>
          <w:bCs/>
          <w:u w:val="single"/>
        </w:rPr>
        <w:t>effective 180 days after signing</w:t>
      </w:r>
      <w:r>
        <w:rPr>
          <w:rFonts w:ascii="Times New Roman" w:hAnsi="Times New Roman" w:cs="Times New Roman"/>
        </w:rPr>
        <w:t xml:space="preserve"> and would </w:t>
      </w:r>
      <w:r w:rsidRPr="00EB5D65">
        <w:rPr>
          <w:rFonts w:ascii="Times New Roman" w:hAnsi="Times New Roman" w:cs="Times New Roman"/>
        </w:rPr>
        <w:t>direct the Office of Children and Family Services, in consultation</w:t>
      </w:r>
      <w:r>
        <w:rPr>
          <w:rFonts w:ascii="Times New Roman" w:hAnsi="Times New Roman" w:cs="Times New Roman"/>
        </w:rPr>
        <w:t xml:space="preserve"> </w:t>
      </w:r>
      <w:r w:rsidRPr="00EB5D65">
        <w:rPr>
          <w:rFonts w:ascii="Times New Roman" w:hAnsi="Times New Roman" w:cs="Times New Roman"/>
        </w:rPr>
        <w:t>with the Office for the Prevention of Domestic Violence</w:t>
      </w:r>
      <w:r>
        <w:rPr>
          <w:rFonts w:ascii="Times New Roman" w:hAnsi="Times New Roman" w:cs="Times New Roman"/>
        </w:rPr>
        <w:t>,</w:t>
      </w:r>
      <w:r w:rsidRPr="00EB5D65">
        <w:rPr>
          <w:rFonts w:ascii="Times New Roman" w:hAnsi="Times New Roman" w:cs="Times New Roman"/>
        </w:rPr>
        <w:t xml:space="preserve"> to administer supervised visitation services throughout the state and require each county and New York City to submit annual assessments of local needs for such services.</w:t>
      </w:r>
      <w:r>
        <w:rPr>
          <w:rFonts w:ascii="Times New Roman" w:hAnsi="Times New Roman" w:cs="Times New Roman"/>
        </w:rPr>
        <w:t xml:space="preserve"> A.65B/S.9498B.</w:t>
      </w:r>
    </w:p>
    <w:p w14:paraId="4F4132A4" w14:textId="77777777" w:rsidR="007B3E6E" w:rsidRDefault="007B3E6E" w:rsidP="0098271F">
      <w:pPr>
        <w:pStyle w:val="Heading2"/>
        <w:numPr>
          <w:ilvl w:val="0"/>
          <w:numId w:val="0"/>
        </w:numPr>
        <w:spacing w:line="240" w:lineRule="auto"/>
        <w:jc w:val="both"/>
        <w:rPr>
          <w:rFonts w:ascii="Times New Roman" w:hAnsi="Times New Roman" w:cs="Times New Roman"/>
        </w:rPr>
      </w:pPr>
    </w:p>
    <w:p w14:paraId="56D78978" w14:textId="2F4BFDE3" w:rsidR="007A5AC3" w:rsidRDefault="007A5AC3" w:rsidP="007A5AC3">
      <w:pPr>
        <w:pStyle w:val="Heading2"/>
        <w:numPr>
          <w:ilvl w:val="0"/>
          <w:numId w:val="0"/>
        </w:numPr>
        <w:spacing w:line="240" w:lineRule="auto"/>
        <w:jc w:val="both"/>
        <w:rPr>
          <w:rFonts w:ascii="Times New Roman" w:hAnsi="Times New Roman" w:cs="Times New Roman"/>
        </w:rPr>
      </w:pPr>
    </w:p>
    <w:sectPr w:rsidR="007A5AC3" w:rsidSect="0000028D">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ABD8E" w14:textId="77777777" w:rsidR="00990D77" w:rsidRDefault="00990D77" w:rsidP="0013568D">
      <w:pPr>
        <w:spacing w:after="0" w:line="240" w:lineRule="auto"/>
      </w:pPr>
      <w:r>
        <w:separator/>
      </w:r>
    </w:p>
  </w:endnote>
  <w:endnote w:type="continuationSeparator" w:id="0">
    <w:p w14:paraId="79ADBE33" w14:textId="77777777" w:rsidR="00990D77" w:rsidRDefault="00990D77" w:rsidP="00135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533471"/>
      <w:docPartObj>
        <w:docPartGallery w:val="Page Numbers (Bottom of Page)"/>
        <w:docPartUnique/>
      </w:docPartObj>
    </w:sdtPr>
    <w:sdtEndPr/>
    <w:sdtContent>
      <w:sdt>
        <w:sdtPr>
          <w:id w:val="-1769616900"/>
          <w:docPartObj>
            <w:docPartGallery w:val="Page Numbers (Top of Page)"/>
            <w:docPartUnique/>
          </w:docPartObj>
        </w:sdtPr>
        <w:sdtEndPr/>
        <w:sdtContent>
          <w:p w14:paraId="550BA402" w14:textId="6161CC36" w:rsidR="0013568D" w:rsidRDefault="00E774F4">
            <w:pPr>
              <w:pStyle w:val="Footer"/>
              <w:jc w:val="right"/>
            </w:pPr>
            <w:r w:rsidRPr="00E774F4">
              <w:rPr>
                <w:b/>
                <w:bCs/>
                <w:i/>
                <w:iCs/>
              </w:rPr>
              <w:t>NYSBA Family Law Section Update</w:t>
            </w:r>
            <w:r w:rsidR="00434674" w:rsidRPr="00E774F4">
              <w:rPr>
                <w:b/>
                <w:bCs/>
                <w:i/>
                <w:iCs/>
              </w:rPr>
              <w:t>,</w:t>
            </w:r>
            <w:r w:rsidR="00013D0E" w:rsidRPr="00351E36">
              <w:rPr>
                <w:b/>
                <w:bCs/>
                <w:i/>
                <w:iCs/>
              </w:rPr>
              <w:t xml:space="preserve"> </w:t>
            </w:r>
            <w:r w:rsidR="008455D8">
              <w:rPr>
                <w:b/>
                <w:bCs/>
                <w:i/>
                <w:iCs/>
              </w:rPr>
              <w:t>Ju</w:t>
            </w:r>
            <w:r w:rsidR="00CC0A87">
              <w:rPr>
                <w:b/>
                <w:bCs/>
                <w:i/>
                <w:iCs/>
              </w:rPr>
              <w:t>ly</w:t>
            </w:r>
            <w:r w:rsidR="008455D8">
              <w:rPr>
                <w:b/>
                <w:bCs/>
                <w:i/>
                <w:iCs/>
              </w:rPr>
              <w:t xml:space="preserve"> </w:t>
            </w:r>
            <w:r w:rsidR="00013D0E" w:rsidRPr="00351E36">
              <w:rPr>
                <w:b/>
                <w:bCs/>
                <w:i/>
                <w:iCs/>
              </w:rPr>
              <w:t>202</w:t>
            </w:r>
            <w:r w:rsidR="00445087">
              <w:rPr>
                <w:b/>
                <w:bCs/>
                <w:i/>
                <w:iCs/>
              </w:rPr>
              <w:t>6</w:t>
            </w:r>
            <w:r w:rsidR="00434674">
              <w:t xml:space="preserve">        </w:t>
            </w:r>
            <w:r w:rsidR="0013568D">
              <w:t xml:space="preserve">Page </w:t>
            </w:r>
            <w:r w:rsidR="0013568D">
              <w:rPr>
                <w:b/>
                <w:bCs/>
                <w:sz w:val="24"/>
                <w:szCs w:val="24"/>
              </w:rPr>
              <w:fldChar w:fldCharType="begin"/>
            </w:r>
            <w:r w:rsidR="0013568D">
              <w:rPr>
                <w:b/>
                <w:bCs/>
              </w:rPr>
              <w:instrText xml:space="preserve"> PAGE </w:instrText>
            </w:r>
            <w:r w:rsidR="0013568D">
              <w:rPr>
                <w:b/>
                <w:bCs/>
                <w:sz w:val="24"/>
                <w:szCs w:val="24"/>
              </w:rPr>
              <w:fldChar w:fldCharType="separate"/>
            </w:r>
            <w:r w:rsidR="0013568D">
              <w:rPr>
                <w:b/>
                <w:bCs/>
                <w:noProof/>
              </w:rPr>
              <w:t>2</w:t>
            </w:r>
            <w:r w:rsidR="0013568D">
              <w:rPr>
                <w:b/>
                <w:bCs/>
                <w:sz w:val="24"/>
                <w:szCs w:val="24"/>
              </w:rPr>
              <w:fldChar w:fldCharType="end"/>
            </w:r>
            <w:r w:rsidR="0013568D">
              <w:t xml:space="preserve"> of </w:t>
            </w:r>
            <w:r w:rsidR="0013568D">
              <w:rPr>
                <w:b/>
                <w:bCs/>
                <w:sz w:val="24"/>
                <w:szCs w:val="24"/>
              </w:rPr>
              <w:fldChar w:fldCharType="begin"/>
            </w:r>
            <w:r w:rsidR="0013568D">
              <w:rPr>
                <w:b/>
                <w:bCs/>
              </w:rPr>
              <w:instrText xml:space="preserve"> NUMPAGES  </w:instrText>
            </w:r>
            <w:r w:rsidR="0013568D">
              <w:rPr>
                <w:b/>
                <w:bCs/>
                <w:sz w:val="24"/>
                <w:szCs w:val="24"/>
              </w:rPr>
              <w:fldChar w:fldCharType="separate"/>
            </w:r>
            <w:r w:rsidR="0013568D">
              <w:rPr>
                <w:b/>
                <w:bCs/>
                <w:noProof/>
              </w:rPr>
              <w:t>2</w:t>
            </w:r>
            <w:r w:rsidR="0013568D">
              <w:rPr>
                <w:b/>
                <w:bCs/>
                <w:sz w:val="24"/>
                <w:szCs w:val="24"/>
              </w:rPr>
              <w:fldChar w:fldCharType="end"/>
            </w:r>
          </w:p>
        </w:sdtContent>
      </w:sdt>
    </w:sdtContent>
  </w:sdt>
  <w:p w14:paraId="1E4FB95E" w14:textId="77777777" w:rsidR="0013568D" w:rsidRDefault="001356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5DE0F" w14:textId="77777777" w:rsidR="00990D77" w:rsidRDefault="00990D77" w:rsidP="0013568D">
      <w:pPr>
        <w:spacing w:after="0" w:line="240" w:lineRule="auto"/>
      </w:pPr>
      <w:r>
        <w:separator/>
      </w:r>
    </w:p>
  </w:footnote>
  <w:footnote w:type="continuationSeparator" w:id="0">
    <w:p w14:paraId="2A7F13A2" w14:textId="77777777" w:rsidR="00990D77" w:rsidRDefault="00990D77" w:rsidP="001356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802E490"/>
    <w:name w:val="AutoList1"/>
    <w:lvl w:ilvl="0">
      <w:start w:val="1"/>
      <w:numFmt w:val="upperRoman"/>
      <w:pStyle w:val="Heading1"/>
      <w:lvlText w:val="%1."/>
      <w:lvlJc w:val="left"/>
      <w:rPr>
        <w:rFonts w:ascii="Courier New" w:hAnsi="Courier New" w:cs="Courier New" w:hint="default"/>
        <w:b/>
      </w:rPr>
    </w:lvl>
    <w:lvl w:ilvl="1">
      <w:start w:val="1"/>
      <w:numFmt w:val="upperLetter"/>
      <w:pStyle w:val="Heading2"/>
      <w:lvlText w:val="%2."/>
      <w:lvlJc w:val="left"/>
      <w:rPr>
        <w:b/>
        <w:i w:val="0"/>
        <w:sz w:val="24"/>
        <w:szCs w:val="24"/>
      </w:rPr>
    </w:lvl>
    <w:lvl w:ilvl="2">
      <w:start w:val="1"/>
      <w:numFmt w:val="upperRoman"/>
      <w:lvlText w:val="%3."/>
      <w:lvlJc w:val="left"/>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num w:numId="1" w16cid:durableId="782381646">
    <w:abstractNumId w:val="0"/>
  </w:num>
  <w:num w:numId="2" w16cid:durableId="12019435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3" w16cid:durableId="1882209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4" w16cid:durableId="13855253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5" w16cid:durableId="10170784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6" w16cid:durableId="17510036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7" w16cid:durableId="2006346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446"/>
    <w:rsid w:val="00000225"/>
    <w:rsid w:val="00000250"/>
    <w:rsid w:val="0000028D"/>
    <w:rsid w:val="00002FED"/>
    <w:rsid w:val="0000346D"/>
    <w:rsid w:val="00013D0E"/>
    <w:rsid w:val="00025061"/>
    <w:rsid w:val="000254B3"/>
    <w:rsid w:val="00027160"/>
    <w:rsid w:val="00030E7B"/>
    <w:rsid w:val="000322B8"/>
    <w:rsid w:val="00032EA3"/>
    <w:rsid w:val="00033C3A"/>
    <w:rsid w:val="00037206"/>
    <w:rsid w:val="000404FD"/>
    <w:rsid w:val="00041C00"/>
    <w:rsid w:val="00047F89"/>
    <w:rsid w:val="000514B2"/>
    <w:rsid w:val="00051512"/>
    <w:rsid w:val="00052C0D"/>
    <w:rsid w:val="000540AA"/>
    <w:rsid w:val="000551E0"/>
    <w:rsid w:val="0005543C"/>
    <w:rsid w:val="00055B6F"/>
    <w:rsid w:val="00057703"/>
    <w:rsid w:val="000625A6"/>
    <w:rsid w:val="00062CD7"/>
    <w:rsid w:val="000654AE"/>
    <w:rsid w:val="00066217"/>
    <w:rsid w:val="00066226"/>
    <w:rsid w:val="000662E8"/>
    <w:rsid w:val="00066D9F"/>
    <w:rsid w:val="0006780C"/>
    <w:rsid w:val="000700E4"/>
    <w:rsid w:val="00070E30"/>
    <w:rsid w:val="00071082"/>
    <w:rsid w:val="00071B05"/>
    <w:rsid w:val="0007559B"/>
    <w:rsid w:val="00076A51"/>
    <w:rsid w:val="00076AAD"/>
    <w:rsid w:val="000772CB"/>
    <w:rsid w:val="000827AF"/>
    <w:rsid w:val="00085BF5"/>
    <w:rsid w:val="000865DE"/>
    <w:rsid w:val="00091F6C"/>
    <w:rsid w:val="00093E1C"/>
    <w:rsid w:val="00096BC4"/>
    <w:rsid w:val="000A116B"/>
    <w:rsid w:val="000A6E42"/>
    <w:rsid w:val="000B032A"/>
    <w:rsid w:val="000B21E3"/>
    <w:rsid w:val="000B536B"/>
    <w:rsid w:val="000B64E3"/>
    <w:rsid w:val="000C5DFF"/>
    <w:rsid w:val="000D0CED"/>
    <w:rsid w:val="000D0EE5"/>
    <w:rsid w:val="000D110E"/>
    <w:rsid w:val="000D1406"/>
    <w:rsid w:val="000D2940"/>
    <w:rsid w:val="000D4808"/>
    <w:rsid w:val="000D69D6"/>
    <w:rsid w:val="000D6BCA"/>
    <w:rsid w:val="000D7ADC"/>
    <w:rsid w:val="000E242F"/>
    <w:rsid w:val="000F050B"/>
    <w:rsid w:val="000F1214"/>
    <w:rsid w:val="000F2339"/>
    <w:rsid w:val="000F286B"/>
    <w:rsid w:val="000F3158"/>
    <w:rsid w:val="000F3A58"/>
    <w:rsid w:val="000F47EE"/>
    <w:rsid w:val="0010284B"/>
    <w:rsid w:val="00104C6B"/>
    <w:rsid w:val="00105D6C"/>
    <w:rsid w:val="00107716"/>
    <w:rsid w:val="00110B69"/>
    <w:rsid w:val="00111B35"/>
    <w:rsid w:val="0011428F"/>
    <w:rsid w:val="00116A8B"/>
    <w:rsid w:val="001248D2"/>
    <w:rsid w:val="0012568F"/>
    <w:rsid w:val="001270FF"/>
    <w:rsid w:val="0013228F"/>
    <w:rsid w:val="001334B5"/>
    <w:rsid w:val="00133775"/>
    <w:rsid w:val="00135004"/>
    <w:rsid w:val="0013568D"/>
    <w:rsid w:val="001365BF"/>
    <w:rsid w:val="00137E75"/>
    <w:rsid w:val="0014019F"/>
    <w:rsid w:val="00142D95"/>
    <w:rsid w:val="00144E14"/>
    <w:rsid w:val="001530BF"/>
    <w:rsid w:val="001541D8"/>
    <w:rsid w:val="001611AD"/>
    <w:rsid w:val="001626DE"/>
    <w:rsid w:val="00162DC8"/>
    <w:rsid w:val="00164362"/>
    <w:rsid w:val="00164586"/>
    <w:rsid w:val="00166C26"/>
    <w:rsid w:val="00171E6E"/>
    <w:rsid w:val="00172614"/>
    <w:rsid w:val="001758DF"/>
    <w:rsid w:val="00177866"/>
    <w:rsid w:val="0018302A"/>
    <w:rsid w:val="00186704"/>
    <w:rsid w:val="001903F1"/>
    <w:rsid w:val="00191BDF"/>
    <w:rsid w:val="00191C80"/>
    <w:rsid w:val="00192EA0"/>
    <w:rsid w:val="00195367"/>
    <w:rsid w:val="00195C82"/>
    <w:rsid w:val="00196B70"/>
    <w:rsid w:val="00197828"/>
    <w:rsid w:val="001A41F3"/>
    <w:rsid w:val="001A721B"/>
    <w:rsid w:val="001A729B"/>
    <w:rsid w:val="001B09C1"/>
    <w:rsid w:val="001B1566"/>
    <w:rsid w:val="001B15E5"/>
    <w:rsid w:val="001B19AC"/>
    <w:rsid w:val="001B28C0"/>
    <w:rsid w:val="001B67A5"/>
    <w:rsid w:val="001C238D"/>
    <w:rsid w:val="001D2A73"/>
    <w:rsid w:val="001D32E2"/>
    <w:rsid w:val="001D3CE2"/>
    <w:rsid w:val="001D4720"/>
    <w:rsid w:val="001D4E49"/>
    <w:rsid w:val="001D5634"/>
    <w:rsid w:val="001D5F96"/>
    <w:rsid w:val="001D7603"/>
    <w:rsid w:val="001E1071"/>
    <w:rsid w:val="001E10DB"/>
    <w:rsid w:val="001E2FFF"/>
    <w:rsid w:val="001E5734"/>
    <w:rsid w:val="001E60EC"/>
    <w:rsid w:val="001E6ACC"/>
    <w:rsid w:val="001E6C91"/>
    <w:rsid w:val="001F1D15"/>
    <w:rsid w:val="001F1EAC"/>
    <w:rsid w:val="001F3A03"/>
    <w:rsid w:val="001F4407"/>
    <w:rsid w:val="001F4CBA"/>
    <w:rsid w:val="00200A25"/>
    <w:rsid w:val="00200D26"/>
    <w:rsid w:val="0020544D"/>
    <w:rsid w:val="00211262"/>
    <w:rsid w:val="00211575"/>
    <w:rsid w:val="00212037"/>
    <w:rsid w:val="002140D9"/>
    <w:rsid w:val="0021690E"/>
    <w:rsid w:val="00222428"/>
    <w:rsid w:val="00223B80"/>
    <w:rsid w:val="00230DE0"/>
    <w:rsid w:val="00231ABD"/>
    <w:rsid w:val="002366B4"/>
    <w:rsid w:val="00236893"/>
    <w:rsid w:val="002418FB"/>
    <w:rsid w:val="002442F7"/>
    <w:rsid w:val="00245175"/>
    <w:rsid w:val="00250A16"/>
    <w:rsid w:val="00250F9D"/>
    <w:rsid w:val="002527B6"/>
    <w:rsid w:val="002539EE"/>
    <w:rsid w:val="00254A28"/>
    <w:rsid w:val="00255048"/>
    <w:rsid w:val="0025748D"/>
    <w:rsid w:val="00260F81"/>
    <w:rsid w:val="00263553"/>
    <w:rsid w:val="002635EA"/>
    <w:rsid w:val="002640C3"/>
    <w:rsid w:val="00264B31"/>
    <w:rsid w:val="00264D9B"/>
    <w:rsid w:val="00264DB3"/>
    <w:rsid w:val="00265320"/>
    <w:rsid w:val="00265850"/>
    <w:rsid w:val="0026604F"/>
    <w:rsid w:val="00266CF4"/>
    <w:rsid w:val="00274E69"/>
    <w:rsid w:val="0027645F"/>
    <w:rsid w:val="00277304"/>
    <w:rsid w:val="00277940"/>
    <w:rsid w:val="002809A4"/>
    <w:rsid w:val="002844E5"/>
    <w:rsid w:val="00285163"/>
    <w:rsid w:val="0028627A"/>
    <w:rsid w:val="00286DA7"/>
    <w:rsid w:val="002875C4"/>
    <w:rsid w:val="00287C90"/>
    <w:rsid w:val="0029176C"/>
    <w:rsid w:val="00293192"/>
    <w:rsid w:val="00295975"/>
    <w:rsid w:val="00296312"/>
    <w:rsid w:val="002A0635"/>
    <w:rsid w:val="002A378A"/>
    <w:rsid w:val="002A417E"/>
    <w:rsid w:val="002B2655"/>
    <w:rsid w:val="002B3C7F"/>
    <w:rsid w:val="002C0242"/>
    <w:rsid w:val="002C0F9A"/>
    <w:rsid w:val="002C1D9B"/>
    <w:rsid w:val="002C34BB"/>
    <w:rsid w:val="002C371B"/>
    <w:rsid w:val="002C38DD"/>
    <w:rsid w:val="002C408C"/>
    <w:rsid w:val="002C4256"/>
    <w:rsid w:val="002D194C"/>
    <w:rsid w:val="002D21B9"/>
    <w:rsid w:val="002D45D9"/>
    <w:rsid w:val="002D4C74"/>
    <w:rsid w:val="002D6348"/>
    <w:rsid w:val="002D78E1"/>
    <w:rsid w:val="002E01D4"/>
    <w:rsid w:val="002E2596"/>
    <w:rsid w:val="002E5766"/>
    <w:rsid w:val="002F03B1"/>
    <w:rsid w:val="002F23FB"/>
    <w:rsid w:val="002F473E"/>
    <w:rsid w:val="002F50D8"/>
    <w:rsid w:val="002F7615"/>
    <w:rsid w:val="00302F0A"/>
    <w:rsid w:val="00303952"/>
    <w:rsid w:val="00304190"/>
    <w:rsid w:val="00316AE4"/>
    <w:rsid w:val="00316B46"/>
    <w:rsid w:val="003208C8"/>
    <w:rsid w:val="0032713C"/>
    <w:rsid w:val="00331173"/>
    <w:rsid w:val="003374BD"/>
    <w:rsid w:val="003415F7"/>
    <w:rsid w:val="00341AB2"/>
    <w:rsid w:val="003433C5"/>
    <w:rsid w:val="00344411"/>
    <w:rsid w:val="003463D5"/>
    <w:rsid w:val="00351E36"/>
    <w:rsid w:val="0035418D"/>
    <w:rsid w:val="0035715C"/>
    <w:rsid w:val="00362AAA"/>
    <w:rsid w:val="0036502B"/>
    <w:rsid w:val="00365549"/>
    <w:rsid w:val="0037175C"/>
    <w:rsid w:val="00371823"/>
    <w:rsid w:val="00375AF9"/>
    <w:rsid w:val="00375E4B"/>
    <w:rsid w:val="00381CBC"/>
    <w:rsid w:val="0038342C"/>
    <w:rsid w:val="003861E9"/>
    <w:rsid w:val="00387D11"/>
    <w:rsid w:val="0039326A"/>
    <w:rsid w:val="0039379B"/>
    <w:rsid w:val="00393A13"/>
    <w:rsid w:val="0039601B"/>
    <w:rsid w:val="003A0196"/>
    <w:rsid w:val="003A3A37"/>
    <w:rsid w:val="003A4E0D"/>
    <w:rsid w:val="003A521A"/>
    <w:rsid w:val="003A58AF"/>
    <w:rsid w:val="003A6BEC"/>
    <w:rsid w:val="003A73BE"/>
    <w:rsid w:val="003B1027"/>
    <w:rsid w:val="003B3D44"/>
    <w:rsid w:val="003B533E"/>
    <w:rsid w:val="003B7088"/>
    <w:rsid w:val="003C022E"/>
    <w:rsid w:val="003C0C3C"/>
    <w:rsid w:val="003C2789"/>
    <w:rsid w:val="003C531D"/>
    <w:rsid w:val="003C5858"/>
    <w:rsid w:val="003D151D"/>
    <w:rsid w:val="003D2FB1"/>
    <w:rsid w:val="003D3C67"/>
    <w:rsid w:val="003D7C08"/>
    <w:rsid w:val="003E12C1"/>
    <w:rsid w:val="003E5A82"/>
    <w:rsid w:val="003E5E58"/>
    <w:rsid w:val="003F2751"/>
    <w:rsid w:val="003F3EFE"/>
    <w:rsid w:val="003F4BBA"/>
    <w:rsid w:val="00401CF6"/>
    <w:rsid w:val="00402074"/>
    <w:rsid w:val="004027AB"/>
    <w:rsid w:val="00403DB6"/>
    <w:rsid w:val="004055E6"/>
    <w:rsid w:val="00405D6A"/>
    <w:rsid w:val="00406B54"/>
    <w:rsid w:val="00412122"/>
    <w:rsid w:val="00412E43"/>
    <w:rsid w:val="0042070D"/>
    <w:rsid w:val="0042173F"/>
    <w:rsid w:val="004232AE"/>
    <w:rsid w:val="00423B86"/>
    <w:rsid w:val="00424D96"/>
    <w:rsid w:val="00426AAF"/>
    <w:rsid w:val="0043007A"/>
    <w:rsid w:val="00433165"/>
    <w:rsid w:val="00434674"/>
    <w:rsid w:val="00436002"/>
    <w:rsid w:val="00436C6A"/>
    <w:rsid w:val="004403EA"/>
    <w:rsid w:val="00441764"/>
    <w:rsid w:val="0044182D"/>
    <w:rsid w:val="00442B12"/>
    <w:rsid w:val="00442E95"/>
    <w:rsid w:val="00443DF1"/>
    <w:rsid w:val="00445087"/>
    <w:rsid w:val="00445701"/>
    <w:rsid w:val="00447881"/>
    <w:rsid w:val="00455A34"/>
    <w:rsid w:val="00456862"/>
    <w:rsid w:val="00460089"/>
    <w:rsid w:val="0046490D"/>
    <w:rsid w:val="00466410"/>
    <w:rsid w:val="00474065"/>
    <w:rsid w:val="004773F0"/>
    <w:rsid w:val="00480909"/>
    <w:rsid w:val="0048175B"/>
    <w:rsid w:val="00487D28"/>
    <w:rsid w:val="00490C4F"/>
    <w:rsid w:val="0049268A"/>
    <w:rsid w:val="004972D7"/>
    <w:rsid w:val="004A1A7F"/>
    <w:rsid w:val="004A26C8"/>
    <w:rsid w:val="004A40BC"/>
    <w:rsid w:val="004A6B44"/>
    <w:rsid w:val="004B1E3E"/>
    <w:rsid w:val="004B23DB"/>
    <w:rsid w:val="004B5BF7"/>
    <w:rsid w:val="004B6E26"/>
    <w:rsid w:val="004B725B"/>
    <w:rsid w:val="004C11F7"/>
    <w:rsid w:val="004C1402"/>
    <w:rsid w:val="004C18EA"/>
    <w:rsid w:val="004C1B2A"/>
    <w:rsid w:val="004C6309"/>
    <w:rsid w:val="004C6FEA"/>
    <w:rsid w:val="004D122F"/>
    <w:rsid w:val="004D1831"/>
    <w:rsid w:val="004D1B2F"/>
    <w:rsid w:val="004D2AAD"/>
    <w:rsid w:val="004D348C"/>
    <w:rsid w:val="004D3CD1"/>
    <w:rsid w:val="004D5479"/>
    <w:rsid w:val="004D7DA4"/>
    <w:rsid w:val="004E0119"/>
    <w:rsid w:val="004E02BA"/>
    <w:rsid w:val="004E304C"/>
    <w:rsid w:val="004E3DE2"/>
    <w:rsid w:val="004E578D"/>
    <w:rsid w:val="004F183D"/>
    <w:rsid w:val="004F1E58"/>
    <w:rsid w:val="004F2B31"/>
    <w:rsid w:val="004F34EE"/>
    <w:rsid w:val="0050045E"/>
    <w:rsid w:val="0050101D"/>
    <w:rsid w:val="00503467"/>
    <w:rsid w:val="00504AA4"/>
    <w:rsid w:val="00521884"/>
    <w:rsid w:val="00523DA5"/>
    <w:rsid w:val="005244CF"/>
    <w:rsid w:val="005254EB"/>
    <w:rsid w:val="00525DC5"/>
    <w:rsid w:val="0052614B"/>
    <w:rsid w:val="00531535"/>
    <w:rsid w:val="00532B1B"/>
    <w:rsid w:val="00532BC6"/>
    <w:rsid w:val="00534D55"/>
    <w:rsid w:val="00534ECF"/>
    <w:rsid w:val="005409A9"/>
    <w:rsid w:val="00540FC7"/>
    <w:rsid w:val="005428A6"/>
    <w:rsid w:val="0054330B"/>
    <w:rsid w:val="00543D1C"/>
    <w:rsid w:val="005513E8"/>
    <w:rsid w:val="00553AD2"/>
    <w:rsid w:val="005547A4"/>
    <w:rsid w:val="00555FA9"/>
    <w:rsid w:val="00557CD2"/>
    <w:rsid w:val="00561B60"/>
    <w:rsid w:val="005636F9"/>
    <w:rsid w:val="0056461A"/>
    <w:rsid w:val="005664BA"/>
    <w:rsid w:val="0057221A"/>
    <w:rsid w:val="0057264C"/>
    <w:rsid w:val="00574051"/>
    <w:rsid w:val="00574618"/>
    <w:rsid w:val="005750C3"/>
    <w:rsid w:val="00575333"/>
    <w:rsid w:val="005764AE"/>
    <w:rsid w:val="005767B5"/>
    <w:rsid w:val="005834BD"/>
    <w:rsid w:val="0058461B"/>
    <w:rsid w:val="00587C83"/>
    <w:rsid w:val="00590397"/>
    <w:rsid w:val="00591B5A"/>
    <w:rsid w:val="00593428"/>
    <w:rsid w:val="005941DF"/>
    <w:rsid w:val="0059627F"/>
    <w:rsid w:val="0059679A"/>
    <w:rsid w:val="005A14E6"/>
    <w:rsid w:val="005A1C85"/>
    <w:rsid w:val="005A20B1"/>
    <w:rsid w:val="005A43BD"/>
    <w:rsid w:val="005A63C9"/>
    <w:rsid w:val="005B0F11"/>
    <w:rsid w:val="005B40E1"/>
    <w:rsid w:val="005B4A10"/>
    <w:rsid w:val="005C0C8C"/>
    <w:rsid w:val="005C1216"/>
    <w:rsid w:val="005C3139"/>
    <w:rsid w:val="005C5D5A"/>
    <w:rsid w:val="005C75EE"/>
    <w:rsid w:val="005C7917"/>
    <w:rsid w:val="005D1A9A"/>
    <w:rsid w:val="005D528C"/>
    <w:rsid w:val="005D7B18"/>
    <w:rsid w:val="005E3BFD"/>
    <w:rsid w:val="005F11C0"/>
    <w:rsid w:val="005F20BD"/>
    <w:rsid w:val="005F2219"/>
    <w:rsid w:val="005F4375"/>
    <w:rsid w:val="005F4D8B"/>
    <w:rsid w:val="005F4E5A"/>
    <w:rsid w:val="005F523E"/>
    <w:rsid w:val="005F53C7"/>
    <w:rsid w:val="005F7310"/>
    <w:rsid w:val="006001EC"/>
    <w:rsid w:val="006008DC"/>
    <w:rsid w:val="006041F0"/>
    <w:rsid w:val="00604BBE"/>
    <w:rsid w:val="006074D7"/>
    <w:rsid w:val="00617452"/>
    <w:rsid w:val="006207B6"/>
    <w:rsid w:val="0062357A"/>
    <w:rsid w:val="006244B6"/>
    <w:rsid w:val="00624BFB"/>
    <w:rsid w:val="006250E1"/>
    <w:rsid w:val="00625BE6"/>
    <w:rsid w:val="00626431"/>
    <w:rsid w:val="006268E6"/>
    <w:rsid w:val="006275BD"/>
    <w:rsid w:val="00631D12"/>
    <w:rsid w:val="00631E50"/>
    <w:rsid w:val="00632DF8"/>
    <w:rsid w:val="00633F7B"/>
    <w:rsid w:val="0063482D"/>
    <w:rsid w:val="00637907"/>
    <w:rsid w:val="0064076C"/>
    <w:rsid w:val="0064131D"/>
    <w:rsid w:val="00641967"/>
    <w:rsid w:val="006446D9"/>
    <w:rsid w:val="00646820"/>
    <w:rsid w:val="006503C8"/>
    <w:rsid w:val="00652EDA"/>
    <w:rsid w:val="00653C6D"/>
    <w:rsid w:val="00654971"/>
    <w:rsid w:val="00655DF5"/>
    <w:rsid w:val="00660DA3"/>
    <w:rsid w:val="0066211F"/>
    <w:rsid w:val="00662C8E"/>
    <w:rsid w:val="00673005"/>
    <w:rsid w:val="00673F9E"/>
    <w:rsid w:val="00674FBC"/>
    <w:rsid w:val="006768D4"/>
    <w:rsid w:val="0067755D"/>
    <w:rsid w:val="00681041"/>
    <w:rsid w:val="00681FF3"/>
    <w:rsid w:val="00682416"/>
    <w:rsid w:val="00682F58"/>
    <w:rsid w:val="00684C18"/>
    <w:rsid w:val="00686C98"/>
    <w:rsid w:val="00687A35"/>
    <w:rsid w:val="006909C0"/>
    <w:rsid w:val="00690AAF"/>
    <w:rsid w:val="00691C58"/>
    <w:rsid w:val="006930CE"/>
    <w:rsid w:val="00693AB6"/>
    <w:rsid w:val="00695392"/>
    <w:rsid w:val="00696AF5"/>
    <w:rsid w:val="006976EF"/>
    <w:rsid w:val="006976F6"/>
    <w:rsid w:val="0069775F"/>
    <w:rsid w:val="006A1E72"/>
    <w:rsid w:val="006A279A"/>
    <w:rsid w:val="006A51E4"/>
    <w:rsid w:val="006A543B"/>
    <w:rsid w:val="006A5A7F"/>
    <w:rsid w:val="006B4BE8"/>
    <w:rsid w:val="006B7D1D"/>
    <w:rsid w:val="006C650A"/>
    <w:rsid w:val="006D0E76"/>
    <w:rsid w:val="006D181B"/>
    <w:rsid w:val="006E05BB"/>
    <w:rsid w:val="006E457A"/>
    <w:rsid w:val="006E4AE6"/>
    <w:rsid w:val="006E5D5C"/>
    <w:rsid w:val="006E64B0"/>
    <w:rsid w:val="006F28E2"/>
    <w:rsid w:val="006F2B5D"/>
    <w:rsid w:val="006F39E4"/>
    <w:rsid w:val="006F4972"/>
    <w:rsid w:val="006F6113"/>
    <w:rsid w:val="00704457"/>
    <w:rsid w:val="0070449D"/>
    <w:rsid w:val="007058D9"/>
    <w:rsid w:val="00711785"/>
    <w:rsid w:val="00712602"/>
    <w:rsid w:val="007131EC"/>
    <w:rsid w:val="00713918"/>
    <w:rsid w:val="007165EB"/>
    <w:rsid w:val="00722019"/>
    <w:rsid w:val="00722A55"/>
    <w:rsid w:val="007246D9"/>
    <w:rsid w:val="00724D2F"/>
    <w:rsid w:val="00725AFA"/>
    <w:rsid w:val="007261F7"/>
    <w:rsid w:val="00726C77"/>
    <w:rsid w:val="00727088"/>
    <w:rsid w:val="007333D3"/>
    <w:rsid w:val="00734B55"/>
    <w:rsid w:val="00741F62"/>
    <w:rsid w:val="00743824"/>
    <w:rsid w:val="00743A4B"/>
    <w:rsid w:val="00746892"/>
    <w:rsid w:val="007479BB"/>
    <w:rsid w:val="00750118"/>
    <w:rsid w:val="00750B3D"/>
    <w:rsid w:val="00752151"/>
    <w:rsid w:val="007522E2"/>
    <w:rsid w:val="00753F42"/>
    <w:rsid w:val="00754F0F"/>
    <w:rsid w:val="00755DD0"/>
    <w:rsid w:val="0075779E"/>
    <w:rsid w:val="007604D9"/>
    <w:rsid w:val="007627B6"/>
    <w:rsid w:val="00772BC3"/>
    <w:rsid w:val="0077356F"/>
    <w:rsid w:val="007741D3"/>
    <w:rsid w:val="00774719"/>
    <w:rsid w:val="0077478E"/>
    <w:rsid w:val="007773D2"/>
    <w:rsid w:val="00783A91"/>
    <w:rsid w:val="00783B98"/>
    <w:rsid w:val="00792C72"/>
    <w:rsid w:val="00793B25"/>
    <w:rsid w:val="0079413E"/>
    <w:rsid w:val="0079600E"/>
    <w:rsid w:val="007A12A9"/>
    <w:rsid w:val="007A2D12"/>
    <w:rsid w:val="007A3CEE"/>
    <w:rsid w:val="007A5AC3"/>
    <w:rsid w:val="007B0927"/>
    <w:rsid w:val="007B1F53"/>
    <w:rsid w:val="007B398A"/>
    <w:rsid w:val="007B3E6E"/>
    <w:rsid w:val="007B599D"/>
    <w:rsid w:val="007B7631"/>
    <w:rsid w:val="007C746B"/>
    <w:rsid w:val="007C7ACA"/>
    <w:rsid w:val="007D26EF"/>
    <w:rsid w:val="007D43E5"/>
    <w:rsid w:val="007D47A8"/>
    <w:rsid w:val="007D64B6"/>
    <w:rsid w:val="007D66D6"/>
    <w:rsid w:val="007D6956"/>
    <w:rsid w:val="007D7789"/>
    <w:rsid w:val="007E0AFE"/>
    <w:rsid w:val="007E518A"/>
    <w:rsid w:val="007E5221"/>
    <w:rsid w:val="007E7E51"/>
    <w:rsid w:val="007E7ECB"/>
    <w:rsid w:val="007F0353"/>
    <w:rsid w:val="007F0FAA"/>
    <w:rsid w:val="007F0FE7"/>
    <w:rsid w:val="007F1901"/>
    <w:rsid w:val="007F2E6D"/>
    <w:rsid w:val="007F367F"/>
    <w:rsid w:val="007F36DF"/>
    <w:rsid w:val="007F3A6D"/>
    <w:rsid w:val="007F4061"/>
    <w:rsid w:val="00801E66"/>
    <w:rsid w:val="00802BC6"/>
    <w:rsid w:val="00805174"/>
    <w:rsid w:val="0080674A"/>
    <w:rsid w:val="008076B1"/>
    <w:rsid w:val="00813A43"/>
    <w:rsid w:val="00815927"/>
    <w:rsid w:val="00817ADB"/>
    <w:rsid w:val="0082192F"/>
    <w:rsid w:val="00822735"/>
    <w:rsid w:val="008256BC"/>
    <w:rsid w:val="00827167"/>
    <w:rsid w:val="00831BF4"/>
    <w:rsid w:val="0083296D"/>
    <w:rsid w:val="00832EE4"/>
    <w:rsid w:val="0083549F"/>
    <w:rsid w:val="008368B0"/>
    <w:rsid w:val="008370E9"/>
    <w:rsid w:val="00837EF3"/>
    <w:rsid w:val="00840290"/>
    <w:rsid w:val="0084153B"/>
    <w:rsid w:val="00841F77"/>
    <w:rsid w:val="00844D77"/>
    <w:rsid w:val="008455D8"/>
    <w:rsid w:val="00845B5C"/>
    <w:rsid w:val="00846723"/>
    <w:rsid w:val="00850E04"/>
    <w:rsid w:val="008539B2"/>
    <w:rsid w:val="00855452"/>
    <w:rsid w:val="00857BC9"/>
    <w:rsid w:val="00862943"/>
    <w:rsid w:val="00863C44"/>
    <w:rsid w:val="0087792D"/>
    <w:rsid w:val="0089226B"/>
    <w:rsid w:val="00893F63"/>
    <w:rsid w:val="00897F14"/>
    <w:rsid w:val="00897F26"/>
    <w:rsid w:val="008A11BF"/>
    <w:rsid w:val="008A25B9"/>
    <w:rsid w:val="008B0051"/>
    <w:rsid w:val="008B0BE8"/>
    <w:rsid w:val="008B2B87"/>
    <w:rsid w:val="008B4AF2"/>
    <w:rsid w:val="008B56BA"/>
    <w:rsid w:val="008C05AE"/>
    <w:rsid w:val="008C189C"/>
    <w:rsid w:val="008C2582"/>
    <w:rsid w:val="008C651D"/>
    <w:rsid w:val="008C715C"/>
    <w:rsid w:val="008D5F44"/>
    <w:rsid w:val="008D5F89"/>
    <w:rsid w:val="008E4B3B"/>
    <w:rsid w:val="008E617A"/>
    <w:rsid w:val="008F1A67"/>
    <w:rsid w:val="008F23F2"/>
    <w:rsid w:val="008F5B45"/>
    <w:rsid w:val="00900466"/>
    <w:rsid w:val="00900D3C"/>
    <w:rsid w:val="00900E49"/>
    <w:rsid w:val="0090215F"/>
    <w:rsid w:val="00902870"/>
    <w:rsid w:val="009048AC"/>
    <w:rsid w:val="009055B2"/>
    <w:rsid w:val="00905997"/>
    <w:rsid w:val="00914349"/>
    <w:rsid w:val="00915DEF"/>
    <w:rsid w:val="00917CA9"/>
    <w:rsid w:val="00920A8F"/>
    <w:rsid w:val="00922813"/>
    <w:rsid w:val="00925C96"/>
    <w:rsid w:val="00926438"/>
    <w:rsid w:val="00926952"/>
    <w:rsid w:val="00932F6F"/>
    <w:rsid w:val="0094100B"/>
    <w:rsid w:val="0094307B"/>
    <w:rsid w:val="009448B9"/>
    <w:rsid w:val="009463C2"/>
    <w:rsid w:val="00946656"/>
    <w:rsid w:val="009479C7"/>
    <w:rsid w:val="00952D57"/>
    <w:rsid w:val="00954676"/>
    <w:rsid w:val="00955C58"/>
    <w:rsid w:val="00956A11"/>
    <w:rsid w:val="009573A3"/>
    <w:rsid w:val="00960F1C"/>
    <w:rsid w:val="00961D8D"/>
    <w:rsid w:val="00963446"/>
    <w:rsid w:val="009636EE"/>
    <w:rsid w:val="009646B0"/>
    <w:rsid w:val="009719A3"/>
    <w:rsid w:val="0097513C"/>
    <w:rsid w:val="0097558D"/>
    <w:rsid w:val="00975A07"/>
    <w:rsid w:val="009775DF"/>
    <w:rsid w:val="0098271F"/>
    <w:rsid w:val="00983212"/>
    <w:rsid w:val="0098400E"/>
    <w:rsid w:val="00990D77"/>
    <w:rsid w:val="00994215"/>
    <w:rsid w:val="0099446A"/>
    <w:rsid w:val="00994F89"/>
    <w:rsid w:val="00997FA9"/>
    <w:rsid w:val="009A29BF"/>
    <w:rsid w:val="009A4576"/>
    <w:rsid w:val="009A5971"/>
    <w:rsid w:val="009A5A55"/>
    <w:rsid w:val="009A5BA5"/>
    <w:rsid w:val="009A6839"/>
    <w:rsid w:val="009A6AD5"/>
    <w:rsid w:val="009B1427"/>
    <w:rsid w:val="009B457C"/>
    <w:rsid w:val="009C25D9"/>
    <w:rsid w:val="009C2B63"/>
    <w:rsid w:val="009C2EF5"/>
    <w:rsid w:val="009C649E"/>
    <w:rsid w:val="009D16C6"/>
    <w:rsid w:val="009E304D"/>
    <w:rsid w:val="009E6855"/>
    <w:rsid w:val="009F0FA5"/>
    <w:rsid w:val="009F1F13"/>
    <w:rsid w:val="009F2E33"/>
    <w:rsid w:val="009F3787"/>
    <w:rsid w:val="009F379D"/>
    <w:rsid w:val="009F71BA"/>
    <w:rsid w:val="009F786C"/>
    <w:rsid w:val="00A0076E"/>
    <w:rsid w:val="00A01BE5"/>
    <w:rsid w:val="00A04C4B"/>
    <w:rsid w:val="00A06B07"/>
    <w:rsid w:val="00A06DC6"/>
    <w:rsid w:val="00A06E64"/>
    <w:rsid w:val="00A0753F"/>
    <w:rsid w:val="00A10259"/>
    <w:rsid w:val="00A11264"/>
    <w:rsid w:val="00A13967"/>
    <w:rsid w:val="00A1542F"/>
    <w:rsid w:val="00A16892"/>
    <w:rsid w:val="00A16C7D"/>
    <w:rsid w:val="00A22355"/>
    <w:rsid w:val="00A2262D"/>
    <w:rsid w:val="00A22728"/>
    <w:rsid w:val="00A25D6D"/>
    <w:rsid w:val="00A279E6"/>
    <w:rsid w:val="00A350A3"/>
    <w:rsid w:val="00A37F0F"/>
    <w:rsid w:val="00A43A59"/>
    <w:rsid w:val="00A43B3B"/>
    <w:rsid w:val="00A43ED8"/>
    <w:rsid w:val="00A43FC9"/>
    <w:rsid w:val="00A50142"/>
    <w:rsid w:val="00A54CD2"/>
    <w:rsid w:val="00A55554"/>
    <w:rsid w:val="00A65503"/>
    <w:rsid w:val="00A6648F"/>
    <w:rsid w:val="00A669A6"/>
    <w:rsid w:val="00A6729A"/>
    <w:rsid w:val="00A73D94"/>
    <w:rsid w:val="00A746FC"/>
    <w:rsid w:val="00A81FD0"/>
    <w:rsid w:val="00A83271"/>
    <w:rsid w:val="00A83FEB"/>
    <w:rsid w:val="00A84907"/>
    <w:rsid w:val="00A85C88"/>
    <w:rsid w:val="00A87A92"/>
    <w:rsid w:val="00A9259B"/>
    <w:rsid w:val="00A94CEF"/>
    <w:rsid w:val="00A95544"/>
    <w:rsid w:val="00A95835"/>
    <w:rsid w:val="00A960E9"/>
    <w:rsid w:val="00AA008A"/>
    <w:rsid w:val="00AA2CD2"/>
    <w:rsid w:val="00AA33D7"/>
    <w:rsid w:val="00AA40AC"/>
    <w:rsid w:val="00AA6304"/>
    <w:rsid w:val="00AA6D49"/>
    <w:rsid w:val="00AB0549"/>
    <w:rsid w:val="00AB0F3D"/>
    <w:rsid w:val="00AB1981"/>
    <w:rsid w:val="00AB1F18"/>
    <w:rsid w:val="00AB2F6E"/>
    <w:rsid w:val="00AB36FD"/>
    <w:rsid w:val="00AB425B"/>
    <w:rsid w:val="00AB43F7"/>
    <w:rsid w:val="00AB482C"/>
    <w:rsid w:val="00AC33A6"/>
    <w:rsid w:val="00AC3598"/>
    <w:rsid w:val="00AC35F3"/>
    <w:rsid w:val="00AC39FC"/>
    <w:rsid w:val="00AD31F0"/>
    <w:rsid w:val="00AD57BF"/>
    <w:rsid w:val="00AD608C"/>
    <w:rsid w:val="00AD6936"/>
    <w:rsid w:val="00AD7210"/>
    <w:rsid w:val="00AE1154"/>
    <w:rsid w:val="00AE237E"/>
    <w:rsid w:val="00AE248F"/>
    <w:rsid w:val="00AE3480"/>
    <w:rsid w:val="00AE36CB"/>
    <w:rsid w:val="00AE49C5"/>
    <w:rsid w:val="00AE4D2C"/>
    <w:rsid w:val="00AE5B72"/>
    <w:rsid w:val="00AE5B98"/>
    <w:rsid w:val="00AE6954"/>
    <w:rsid w:val="00AF0EA9"/>
    <w:rsid w:val="00AF39B5"/>
    <w:rsid w:val="00AF3FD6"/>
    <w:rsid w:val="00AF692C"/>
    <w:rsid w:val="00B01E70"/>
    <w:rsid w:val="00B028AF"/>
    <w:rsid w:val="00B143A4"/>
    <w:rsid w:val="00B171AD"/>
    <w:rsid w:val="00B202DF"/>
    <w:rsid w:val="00B216E7"/>
    <w:rsid w:val="00B22226"/>
    <w:rsid w:val="00B242AA"/>
    <w:rsid w:val="00B25785"/>
    <w:rsid w:val="00B25DA7"/>
    <w:rsid w:val="00B26FC4"/>
    <w:rsid w:val="00B27F87"/>
    <w:rsid w:val="00B3015D"/>
    <w:rsid w:val="00B30C6F"/>
    <w:rsid w:val="00B32344"/>
    <w:rsid w:val="00B32773"/>
    <w:rsid w:val="00B32B93"/>
    <w:rsid w:val="00B3339D"/>
    <w:rsid w:val="00B3400D"/>
    <w:rsid w:val="00B35C64"/>
    <w:rsid w:val="00B36613"/>
    <w:rsid w:val="00B41978"/>
    <w:rsid w:val="00B41FD6"/>
    <w:rsid w:val="00B460B4"/>
    <w:rsid w:val="00B47334"/>
    <w:rsid w:val="00B503C8"/>
    <w:rsid w:val="00B53C1F"/>
    <w:rsid w:val="00B563D4"/>
    <w:rsid w:val="00B56BA2"/>
    <w:rsid w:val="00B6127A"/>
    <w:rsid w:val="00B633FB"/>
    <w:rsid w:val="00B649AA"/>
    <w:rsid w:val="00B65207"/>
    <w:rsid w:val="00B66DCF"/>
    <w:rsid w:val="00B71142"/>
    <w:rsid w:val="00B726B2"/>
    <w:rsid w:val="00B778D5"/>
    <w:rsid w:val="00B8125F"/>
    <w:rsid w:val="00B819E1"/>
    <w:rsid w:val="00B84DAC"/>
    <w:rsid w:val="00B860C9"/>
    <w:rsid w:val="00B92FA4"/>
    <w:rsid w:val="00B9574E"/>
    <w:rsid w:val="00B965AA"/>
    <w:rsid w:val="00B96F0B"/>
    <w:rsid w:val="00BA069E"/>
    <w:rsid w:val="00BA137B"/>
    <w:rsid w:val="00BA213F"/>
    <w:rsid w:val="00BA2243"/>
    <w:rsid w:val="00BA3CB9"/>
    <w:rsid w:val="00BA3E20"/>
    <w:rsid w:val="00BA48E7"/>
    <w:rsid w:val="00BB1342"/>
    <w:rsid w:val="00BB3EE7"/>
    <w:rsid w:val="00BB55B7"/>
    <w:rsid w:val="00BB59B3"/>
    <w:rsid w:val="00BC1057"/>
    <w:rsid w:val="00BC5015"/>
    <w:rsid w:val="00BC5344"/>
    <w:rsid w:val="00BC62DA"/>
    <w:rsid w:val="00BD238E"/>
    <w:rsid w:val="00BD34CA"/>
    <w:rsid w:val="00BD4945"/>
    <w:rsid w:val="00BD5C8D"/>
    <w:rsid w:val="00BD6C46"/>
    <w:rsid w:val="00BD6D61"/>
    <w:rsid w:val="00BE2F60"/>
    <w:rsid w:val="00BE4F18"/>
    <w:rsid w:val="00BE6AF8"/>
    <w:rsid w:val="00BE6FC7"/>
    <w:rsid w:val="00BF09E0"/>
    <w:rsid w:val="00BF2187"/>
    <w:rsid w:val="00BF67C7"/>
    <w:rsid w:val="00BF769E"/>
    <w:rsid w:val="00BF76B5"/>
    <w:rsid w:val="00C016ED"/>
    <w:rsid w:val="00C035DA"/>
    <w:rsid w:val="00C101DE"/>
    <w:rsid w:val="00C13F4E"/>
    <w:rsid w:val="00C15DC1"/>
    <w:rsid w:val="00C24641"/>
    <w:rsid w:val="00C252FC"/>
    <w:rsid w:val="00C26561"/>
    <w:rsid w:val="00C273B9"/>
    <w:rsid w:val="00C32E87"/>
    <w:rsid w:val="00C33F6E"/>
    <w:rsid w:val="00C34549"/>
    <w:rsid w:val="00C3490A"/>
    <w:rsid w:val="00C36CEA"/>
    <w:rsid w:val="00C371AB"/>
    <w:rsid w:val="00C4514F"/>
    <w:rsid w:val="00C458E9"/>
    <w:rsid w:val="00C45F57"/>
    <w:rsid w:val="00C46E88"/>
    <w:rsid w:val="00C54500"/>
    <w:rsid w:val="00C54553"/>
    <w:rsid w:val="00C61700"/>
    <w:rsid w:val="00C63A86"/>
    <w:rsid w:val="00C7005B"/>
    <w:rsid w:val="00C71741"/>
    <w:rsid w:val="00C737EA"/>
    <w:rsid w:val="00C73DCD"/>
    <w:rsid w:val="00C74DCB"/>
    <w:rsid w:val="00C80888"/>
    <w:rsid w:val="00C80FD4"/>
    <w:rsid w:val="00C87F35"/>
    <w:rsid w:val="00C9332E"/>
    <w:rsid w:val="00C93478"/>
    <w:rsid w:val="00C948F0"/>
    <w:rsid w:val="00C95B8F"/>
    <w:rsid w:val="00C96C83"/>
    <w:rsid w:val="00C979E0"/>
    <w:rsid w:val="00CA063D"/>
    <w:rsid w:val="00CA096E"/>
    <w:rsid w:val="00CA4132"/>
    <w:rsid w:val="00CA642E"/>
    <w:rsid w:val="00CB322C"/>
    <w:rsid w:val="00CB4557"/>
    <w:rsid w:val="00CB55D3"/>
    <w:rsid w:val="00CB7B00"/>
    <w:rsid w:val="00CC0A87"/>
    <w:rsid w:val="00CC10C7"/>
    <w:rsid w:val="00CC22AD"/>
    <w:rsid w:val="00CC505B"/>
    <w:rsid w:val="00CC5219"/>
    <w:rsid w:val="00CC610B"/>
    <w:rsid w:val="00CC7A31"/>
    <w:rsid w:val="00CC7C38"/>
    <w:rsid w:val="00CD0335"/>
    <w:rsid w:val="00CD4136"/>
    <w:rsid w:val="00CD4183"/>
    <w:rsid w:val="00CD6FBB"/>
    <w:rsid w:val="00CE265D"/>
    <w:rsid w:val="00CF130C"/>
    <w:rsid w:val="00CF36CC"/>
    <w:rsid w:val="00CF58A5"/>
    <w:rsid w:val="00CF60A4"/>
    <w:rsid w:val="00D053CD"/>
    <w:rsid w:val="00D06A84"/>
    <w:rsid w:val="00D06BC2"/>
    <w:rsid w:val="00D071A7"/>
    <w:rsid w:val="00D0724E"/>
    <w:rsid w:val="00D13266"/>
    <w:rsid w:val="00D16953"/>
    <w:rsid w:val="00D16D91"/>
    <w:rsid w:val="00D17A8F"/>
    <w:rsid w:val="00D21F56"/>
    <w:rsid w:val="00D24BD7"/>
    <w:rsid w:val="00D27CD5"/>
    <w:rsid w:val="00D35092"/>
    <w:rsid w:val="00D37494"/>
    <w:rsid w:val="00D4102B"/>
    <w:rsid w:val="00D41D92"/>
    <w:rsid w:val="00D438BB"/>
    <w:rsid w:val="00D46011"/>
    <w:rsid w:val="00D47511"/>
    <w:rsid w:val="00D51241"/>
    <w:rsid w:val="00D51270"/>
    <w:rsid w:val="00D515C3"/>
    <w:rsid w:val="00D55D67"/>
    <w:rsid w:val="00D5717A"/>
    <w:rsid w:val="00D60836"/>
    <w:rsid w:val="00D6220C"/>
    <w:rsid w:val="00D705AD"/>
    <w:rsid w:val="00D70D1D"/>
    <w:rsid w:val="00D722DA"/>
    <w:rsid w:val="00D72BD0"/>
    <w:rsid w:val="00D752DA"/>
    <w:rsid w:val="00D76786"/>
    <w:rsid w:val="00D81DCC"/>
    <w:rsid w:val="00D8267B"/>
    <w:rsid w:val="00D82FF8"/>
    <w:rsid w:val="00D84BCD"/>
    <w:rsid w:val="00D85549"/>
    <w:rsid w:val="00D85E38"/>
    <w:rsid w:val="00D9014D"/>
    <w:rsid w:val="00D9273E"/>
    <w:rsid w:val="00D938F3"/>
    <w:rsid w:val="00D95AF5"/>
    <w:rsid w:val="00D96AD2"/>
    <w:rsid w:val="00D96F45"/>
    <w:rsid w:val="00D9762E"/>
    <w:rsid w:val="00DA0BC5"/>
    <w:rsid w:val="00DA5079"/>
    <w:rsid w:val="00DB107E"/>
    <w:rsid w:val="00DB4FD7"/>
    <w:rsid w:val="00DC19FE"/>
    <w:rsid w:val="00DC1FB8"/>
    <w:rsid w:val="00DC30D1"/>
    <w:rsid w:val="00DC399C"/>
    <w:rsid w:val="00DC4503"/>
    <w:rsid w:val="00DC5BFC"/>
    <w:rsid w:val="00DD0029"/>
    <w:rsid w:val="00DD26D6"/>
    <w:rsid w:val="00DD3D5A"/>
    <w:rsid w:val="00DD5177"/>
    <w:rsid w:val="00DD5403"/>
    <w:rsid w:val="00DE1882"/>
    <w:rsid w:val="00DE20DE"/>
    <w:rsid w:val="00DE54A8"/>
    <w:rsid w:val="00DE5739"/>
    <w:rsid w:val="00DE7069"/>
    <w:rsid w:val="00DF11B4"/>
    <w:rsid w:val="00E03CE3"/>
    <w:rsid w:val="00E05C85"/>
    <w:rsid w:val="00E1071B"/>
    <w:rsid w:val="00E12500"/>
    <w:rsid w:val="00E16D81"/>
    <w:rsid w:val="00E17027"/>
    <w:rsid w:val="00E20F20"/>
    <w:rsid w:val="00E21E25"/>
    <w:rsid w:val="00E25248"/>
    <w:rsid w:val="00E25C7C"/>
    <w:rsid w:val="00E2679B"/>
    <w:rsid w:val="00E30FCE"/>
    <w:rsid w:val="00E32494"/>
    <w:rsid w:val="00E3347E"/>
    <w:rsid w:val="00E334DD"/>
    <w:rsid w:val="00E352FF"/>
    <w:rsid w:val="00E402B0"/>
    <w:rsid w:val="00E40756"/>
    <w:rsid w:val="00E42353"/>
    <w:rsid w:val="00E44424"/>
    <w:rsid w:val="00E44601"/>
    <w:rsid w:val="00E44AAF"/>
    <w:rsid w:val="00E46D1D"/>
    <w:rsid w:val="00E46F08"/>
    <w:rsid w:val="00E472CD"/>
    <w:rsid w:val="00E53F00"/>
    <w:rsid w:val="00E544CB"/>
    <w:rsid w:val="00E56DBB"/>
    <w:rsid w:val="00E60947"/>
    <w:rsid w:val="00E63BA5"/>
    <w:rsid w:val="00E6424D"/>
    <w:rsid w:val="00E65BFC"/>
    <w:rsid w:val="00E66295"/>
    <w:rsid w:val="00E67044"/>
    <w:rsid w:val="00E70A38"/>
    <w:rsid w:val="00E72095"/>
    <w:rsid w:val="00E7287F"/>
    <w:rsid w:val="00E72959"/>
    <w:rsid w:val="00E744BC"/>
    <w:rsid w:val="00E774F4"/>
    <w:rsid w:val="00E819A0"/>
    <w:rsid w:val="00E82778"/>
    <w:rsid w:val="00E853DB"/>
    <w:rsid w:val="00E853FC"/>
    <w:rsid w:val="00E8671E"/>
    <w:rsid w:val="00E87DE9"/>
    <w:rsid w:val="00E90C8E"/>
    <w:rsid w:val="00E95D4A"/>
    <w:rsid w:val="00E97668"/>
    <w:rsid w:val="00E97969"/>
    <w:rsid w:val="00EA169D"/>
    <w:rsid w:val="00EA1B94"/>
    <w:rsid w:val="00EA2EDA"/>
    <w:rsid w:val="00EA3B33"/>
    <w:rsid w:val="00EA4459"/>
    <w:rsid w:val="00EA4569"/>
    <w:rsid w:val="00EA4A8A"/>
    <w:rsid w:val="00EA522F"/>
    <w:rsid w:val="00EB06BB"/>
    <w:rsid w:val="00EB0CAB"/>
    <w:rsid w:val="00EB11C2"/>
    <w:rsid w:val="00EB3286"/>
    <w:rsid w:val="00EB6701"/>
    <w:rsid w:val="00EB6865"/>
    <w:rsid w:val="00EC396F"/>
    <w:rsid w:val="00ED00D8"/>
    <w:rsid w:val="00ED211A"/>
    <w:rsid w:val="00ED3B50"/>
    <w:rsid w:val="00EE39D1"/>
    <w:rsid w:val="00EE5E10"/>
    <w:rsid w:val="00EE5F2D"/>
    <w:rsid w:val="00EF1281"/>
    <w:rsid w:val="00EF1C8B"/>
    <w:rsid w:val="00EF2DAA"/>
    <w:rsid w:val="00EF3343"/>
    <w:rsid w:val="00EF5CD4"/>
    <w:rsid w:val="00EF6197"/>
    <w:rsid w:val="00F001B5"/>
    <w:rsid w:val="00F040C7"/>
    <w:rsid w:val="00F06FF8"/>
    <w:rsid w:val="00F0766A"/>
    <w:rsid w:val="00F07D3C"/>
    <w:rsid w:val="00F114F8"/>
    <w:rsid w:val="00F11F37"/>
    <w:rsid w:val="00F1338D"/>
    <w:rsid w:val="00F24D37"/>
    <w:rsid w:val="00F3057C"/>
    <w:rsid w:val="00F31414"/>
    <w:rsid w:val="00F3220C"/>
    <w:rsid w:val="00F33C54"/>
    <w:rsid w:val="00F341F9"/>
    <w:rsid w:val="00F353B6"/>
    <w:rsid w:val="00F35A8F"/>
    <w:rsid w:val="00F41677"/>
    <w:rsid w:val="00F433AB"/>
    <w:rsid w:val="00F438CF"/>
    <w:rsid w:val="00F4503E"/>
    <w:rsid w:val="00F45445"/>
    <w:rsid w:val="00F45517"/>
    <w:rsid w:val="00F4614E"/>
    <w:rsid w:val="00F5354A"/>
    <w:rsid w:val="00F54134"/>
    <w:rsid w:val="00F55DF6"/>
    <w:rsid w:val="00F6115C"/>
    <w:rsid w:val="00F6221D"/>
    <w:rsid w:val="00F6555D"/>
    <w:rsid w:val="00F7047C"/>
    <w:rsid w:val="00F7094E"/>
    <w:rsid w:val="00F71628"/>
    <w:rsid w:val="00F71E3E"/>
    <w:rsid w:val="00F71FA3"/>
    <w:rsid w:val="00F72AB8"/>
    <w:rsid w:val="00F72E22"/>
    <w:rsid w:val="00F77769"/>
    <w:rsid w:val="00F77C7F"/>
    <w:rsid w:val="00F83E33"/>
    <w:rsid w:val="00F863C3"/>
    <w:rsid w:val="00F93A8C"/>
    <w:rsid w:val="00FA04E1"/>
    <w:rsid w:val="00FA1133"/>
    <w:rsid w:val="00FA246D"/>
    <w:rsid w:val="00FA4965"/>
    <w:rsid w:val="00FB07CF"/>
    <w:rsid w:val="00FB3ED1"/>
    <w:rsid w:val="00FB6F1F"/>
    <w:rsid w:val="00FB7F33"/>
    <w:rsid w:val="00FC07AB"/>
    <w:rsid w:val="00FC25BF"/>
    <w:rsid w:val="00FD258E"/>
    <w:rsid w:val="00FD662D"/>
    <w:rsid w:val="00FE2D0E"/>
    <w:rsid w:val="00FE49D9"/>
    <w:rsid w:val="00FE7170"/>
    <w:rsid w:val="00FE7CD7"/>
    <w:rsid w:val="00FF15DD"/>
    <w:rsid w:val="00FF1A6B"/>
    <w:rsid w:val="00FF5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F5BF5"/>
  <w15:chartTrackingRefBased/>
  <w15:docId w15:val="{39E41515-8D4E-4FBF-BE11-8915FB9B5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963446"/>
    <w:pPr>
      <w:widowControl w:val="0"/>
      <w:numPr>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0"/>
      <w:spacing w:after="0" w:line="480" w:lineRule="auto"/>
      <w:ind w:left="720" w:hanging="720"/>
      <w:outlineLvl w:val="0"/>
    </w:pPr>
    <w:rPr>
      <w:rFonts w:ascii="Courier New" w:eastAsia="Times New Roman" w:hAnsi="Courier New" w:cs="Courier New"/>
      <w:kern w:val="0"/>
      <w:sz w:val="24"/>
      <w:szCs w:val="24"/>
      <w14:ligatures w14:val="none"/>
    </w:rPr>
  </w:style>
  <w:style w:type="paragraph" w:styleId="Heading2">
    <w:name w:val="heading 2"/>
    <w:basedOn w:val="Normal"/>
    <w:link w:val="Heading2Char"/>
    <w:qFormat/>
    <w:rsid w:val="00963446"/>
    <w:pPr>
      <w:widowControl w:val="0"/>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0"/>
      <w:spacing w:after="0" w:line="480" w:lineRule="auto"/>
      <w:ind w:left="1440" w:hanging="720"/>
      <w:outlineLvl w:val="1"/>
    </w:pPr>
    <w:rPr>
      <w:rFonts w:ascii="Courier New" w:eastAsia="Times New Roman" w:hAnsi="Courier New" w:cs="Courier New"/>
      <w:kern w:val="0"/>
      <w:sz w:val="24"/>
      <w:szCs w:val="24"/>
      <w14:ligatures w14:val="none"/>
    </w:rPr>
  </w:style>
  <w:style w:type="paragraph" w:styleId="Heading3">
    <w:name w:val="heading 3"/>
    <w:basedOn w:val="Normal"/>
    <w:next w:val="Normal"/>
    <w:link w:val="Heading3Char"/>
    <w:uiPriority w:val="9"/>
    <w:semiHidden/>
    <w:unhideWhenUsed/>
    <w:qFormat/>
    <w:rsid w:val="00AB19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3446"/>
    <w:rPr>
      <w:rFonts w:ascii="Courier New" w:eastAsia="Times New Roman" w:hAnsi="Courier New" w:cs="Courier New"/>
      <w:kern w:val="0"/>
      <w:sz w:val="24"/>
      <w:szCs w:val="24"/>
      <w14:ligatures w14:val="none"/>
    </w:rPr>
  </w:style>
  <w:style w:type="character" w:customStyle="1" w:styleId="Heading2Char">
    <w:name w:val="Heading 2 Char"/>
    <w:basedOn w:val="DefaultParagraphFont"/>
    <w:link w:val="Heading2"/>
    <w:rsid w:val="00963446"/>
    <w:rPr>
      <w:rFonts w:ascii="Courier New" w:eastAsia="Times New Roman" w:hAnsi="Courier New" w:cs="Courier New"/>
      <w:kern w:val="0"/>
      <w:sz w:val="24"/>
      <w:szCs w:val="24"/>
      <w14:ligatures w14:val="none"/>
    </w:rPr>
  </w:style>
  <w:style w:type="character" w:customStyle="1" w:styleId="Heading3Char">
    <w:name w:val="Heading 3 Char"/>
    <w:basedOn w:val="DefaultParagraphFont"/>
    <w:link w:val="Heading3"/>
    <w:uiPriority w:val="9"/>
    <w:semiHidden/>
    <w:rsid w:val="00AB1981"/>
    <w:rPr>
      <w:rFonts w:asciiTheme="majorHAnsi" w:eastAsiaTheme="majorEastAsia" w:hAnsiTheme="majorHAnsi" w:cstheme="majorBidi"/>
      <w:color w:val="1F3763" w:themeColor="accent1" w:themeShade="7F"/>
      <w:sz w:val="24"/>
      <w:szCs w:val="24"/>
    </w:rPr>
  </w:style>
  <w:style w:type="paragraph" w:styleId="HTMLPreformatted">
    <w:name w:val="HTML Preformatted"/>
    <w:basedOn w:val="Normal"/>
    <w:link w:val="HTMLPreformattedChar"/>
    <w:uiPriority w:val="99"/>
    <w:unhideWhenUsed/>
    <w:rsid w:val="00750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750B3D"/>
    <w:rPr>
      <w:rFonts w:ascii="Courier New" w:eastAsia="Times New Roman" w:hAnsi="Courier New" w:cs="Courier New"/>
      <w:kern w:val="0"/>
      <w:sz w:val="20"/>
      <w:szCs w:val="20"/>
      <w14:ligatures w14:val="none"/>
    </w:rPr>
  </w:style>
  <w:style w:type="character" w:styleId="Hyperlink">
    <w:name w:val="Hyperlink"/>
    <w:basedOn w:val="DefaultParagraphFont"/>
    <w:uiPriority w:val="99"/>
    <w:unhideWhenUsed/>
    <w:rsid w:val="007E7ECB"/>
    <w:rPr>
      <w:color w:val="0000FF"/>
      <w:u w:val="single"/>
    </w:rPr>
  </w:style>
  <w:style w:type="character" w:styleId="UnresolvedMention">
    <w:name w:val="Unresolved Mention"/>
    <w:basedOn w:val="DefaultParagraphFont"/>
    <w:uiPriority w:val="99"/>
    <w:semiHidden/>
    <w:unhideWhenUsed/>
    <w:rsid w:val="0089226B"/>
    <w:rPr>
      <w:color w:val="605E5C"/>
      <w:shd w:val="clear" w:color="auto" w:fill="E1DFDD"/>
    </w:rPr>
  </w:style>
  <w:style w:type="paragraph" w:styleId="Header">
    <w:name w:val="header"/>
    <w:basedOn w:val="Normal"/>
    <w:link w:val="HeaderChar"/>
    <w:uiPriority w:val="99"/>
    <w:unhideWhenUsed/>
    <w:rsid w:val="001356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68D"/>
  </w:style>
  <w:style w:type="paragraph" w:styleId="Footer">
    <w:name w:val="footer"/>
    <w:basedOn w:val="Normal"/>
    <w:link w:val="FooterChar"/>
    <w:uiPriority w:val="99"/>
    <w:unhideWhenUsed/>
    <w:rsid w:val="001356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94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ycourts.gov/LegacyPDFS/rules/comments/pdf/RequestForPublicComment-MatrimonialActionFilings-032726r.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ycourts.gov/LegacyPDFS/rules/comments/pdf/RequestForPublicComment-AttorneyClientFeeDisputeThresholds-040226A.pdf" TargetMode="External"/><Relationship Id="rId12" Type="http://schemas.openxmlformats.org/officeDocument/2006/relationships/hyperlink" Target="https://www.nycourts.gov/LegacyPDFS/rules/comments/pdf/RequestForPublicComment-RulesOfProfessionalConduct-RiskAssessments-12302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ycourts.gov/LegacyPDFS/rules/comments/orders/AdministrativeOrder-JointAppDivOrder-RulesOfProfessionalConduct-Rule1-16-RiskAssessments-060126signedr.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ycourts.gov/LegacyPDFS/rules/comments/pdf/RequestForPublicComment-RulesOfProfessionalConduct-AttorneyAdvertising-123025.pdf" TargetMode="External"/><Relationship Id="rId4" Type="http://schemas.openxmlformats.org/officeDocument/2006/relationships/webSettings" Target="webSettings.xml"/><Relationship Id="rId9" Type="http://schemas.openxmlformats.org/officeDocument/2006/relationships/hyperlink" Target="https://www.nycourts.gov/LegacyPDFS/rules/comments/orders/AdministrativeOrder-JointAppDivOrder-RulesOfProfessionalConduct-AttorneyAdvertising-052726f-r.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4651</Words>
  <Characters>26515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Wagner</dc:creator>
  <cp:keywords/>
  <dc:description/>
  <cp:lastModifiedBy>Bruce J Wagner</cp:lastModifiedBy>
  <cp:revision>2</cp:revision>
  <cp:lastPrinted>2026-05-29T18:26:00Z</cp:lastPrinted>
  <dcterms:created xsi:type="dcterms:W3CDTF">2026-07-06T03:47:00Z</dcterms:created>
  <dcterms:modified xsi:type="dcterms:W3CDTF">2026-07-06T03:47:00Z</dcterms:modified>
</cp:coreProperties>
</file>