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48EEF" w14:textId="77777777" w:rsidR="00E739C9" w:rsidRPr="00E739C9" w:rsidRDefault="00E739C9" w:rsidP="00E739C9"/>
    <w:p w14:paraId="7ACC10CC" w14:textId="77777777" w:rsidR="00EC4F16" w:rsidRDefault="00EC4F16" w:rsidP="00E739C9">
      <w:proofErr w:type="gramStart"/>
      <w:r>
        <w:t>The Amendments</w:t>
      </w:r>
      <w:proofErr w:type="gramEnd"/>
      <w:r>
        <w:t xml:space="preserve"> to Rule 1.16</w:t>
      </w:r>
    </w:p>
    <w:p w14:paraId="1E20E487" w14:textId="623D641C" w:rsidR="00BB42E2" w:rsidRDefault="00AC2FA7" w:rsidP="004C3BD2">
      <w:pPr>
        <w:ind w:firstLine="720"/>
      </w:pPr>
      <w:r>
        <w:t xml:space="preserve">Effective July 1, 2026, the Presiding Justices of the four </w:t>
      </w:r>
      <w:r w:rsidRPr="009C5CB7">
        <w:t xml:space="preserve">Departments of the </w:t>
      </w:r>
      <w:r>
        <w:t xml:space="preserve">Appellate Division of the </w:t>
      </w:r>
      <w:r w:rsidRPr="009C5CB7">
        <w:t xml:space="preserve">New York State Supreme Court </w:t>
      </w:r>
      <w:r>
        <w:t xml:space="preserve">adopted amendments to </w:t>
      </w:r>
      <w:r w:rsidR="00555AC9">
        <w:t>Rule 1.16</w:t>
      </w:r>
      <w:r w:rsidR="00EC3BA0">
        <w:t xml:space="preserve"> of the New York Rules </w:t>
      </w:r>
      <w:r w:rsidR="005257F8">
        <w:t>o</w:t>
      </w:r>
      <w:r w:rsidR="00EC3BA0">
        <w:t xml:space="preserve">f </w:t>
      </w:r>
      <w:r w:rsidR="005257F8">
        <w:t>Professional C</w:t>
      </w:r>
      <w:r w:rsidR="00CC1FF3">
        <w:t>o</w:t>
      </w:r>
      <w:r w:rsidR="005257F8">
        <w:t>nduct</w:t>
      </w:r>
      <w:r w:rsidR="009B6D26">
        <w:t xml:space="preserve">, the </w:t>
      </w:r>
      <w:r w:rsidR="00B175FB">
        <w:t>r</w:t>
      </w:r>
      <w:r w:rsidR="009B6D26">
        <w:t>ule on accepting and withdrawing from representatio</w:t>
      </w:r>
      <w:r w:rsidR="007227D9">
        <w:t>n.</w:t>
      </w:r>
      <w:r w:rsidR="00D74A16">
        <w:rPr>
          <w:rStyle w:val="EndnoteReference"/>
        </w:rPr>
        <w:endnoteReference w:id="1"/>
      </w:r>
      <w:r w:rsidR="009B6D26">
        <w:t xml:space="preserve"> </w:t>
      </w:r>
      <w:r w:rsidR="007227D9">
        <w:t xml:space="preserve">  </w:t>
      </w:r>
      <w:r>
        <w:t xml:space="preserve">The </w:t>
      </w:r>
      <w:r w:rsidR="00A95E96">
        <w:t xml:space="preserve">amendments </w:t>
      </w:r>
      <w:r w:rsidR="003B2D65">
        <w:t xml:space="preserve">were prompted </w:t>
      </w:r>
      <w:r w:rsidR="00F87B4E">
        <w:t xml:space="preserve">in part </w:t>
      </w:r>
      <w:r w:rsidR="003B2D65">
        <w:t xml:space="preserve">by an </w:t>
      </w:r>
      <w:r w:rsidR="00D7483A">
        <w:t xml:space="preserve">amendment to Rule 1.16 </w:t>
      </w:r>
      <w:r w:rsidR="00127535">
        <w:t xml:space="preserve">of the </w:t>
      </w:r>
      <w:r w:rsidR="00C431AA">
        <w:t xml:space="preserve">ABA </w:t>
      </w:r>
      <w:r w:rsidR="00127535">
        <w:t xml:space="preserve">Model Rules of Professional Conduct made </w:t>
      </w:r>
      <w:r w:rsidR="00FD6FF6">
        <w:t>i</w:t>
      </w:r>
      <w:r w:rsidR="00E739C9" w:rsidRPr="00E739C9">
        <w:t>n August</w:t>
      </w:r>
      <w:r w:rsidR="00784F12">
        <w:t>,</w:t>
      </w:r>
      <w:r w:rsidR="00E739C9" w:rsidRPr="00E739C9">
        <w:t xml:space="preserve"> 2023, </w:t>
      </w:r>
      <w:r w:rsidR="00192084">
        <w:t>in response to</w:t>
      </w:r>
      <w:r w:rsidR="006F30DD">
        <w:t xml:space="preserve"> criticism that lawyers were not doing enough to </w:t>
      </w:r>
      <w:r w:rsidR="00E739C9" w:rsidRPr="00E739C9">
        <w:t>combat money laundering</w:t>
      </w:r>
      <w:r w:rsidR="0029797D">
        <w:t xml:space="preserve"> </w:t>
      </w:r>
      <w:r w:rsidR="00E739C9" w:rsidRPr="00E739C9">
        <w:t>and other illegal conduct by clients.</w:t>
      </w:r>
      <w:r w:rsidR="00AA420D">
        <w:rPr>
          <w:rStyle w:val="EndnoteReference"/>
        </w:rPr>
        <w:endnoteReference w:id="2"/>
      </w:r>
      <w:r w:rsidR="00E739C9">
        <w:t xml:space="preserve"> </w:t>
      </w:r>
      <w:r w:rsidR="00C67402">
        <w:t xml:space="preserve"> </w:t>
      </w:r>
      <w:r w:rsidR="00E739C9">
        <w:t>The NYSBA Committee on Standards of Attorney Conduct</w:t>
      </w:r>
      <w:r w:rsidR="00B4640E">
        <w:t xml:space="preserve"> (COSAC)</w:t>
      </w:r>
      <w:r w:rsidR="00E739C9">
        <w:t xml:space="preserve"> </w:t>
      </w:r>
      <w:r w:rsidR="000D24AD">
        <w:t xml:space="preserve">then </w:t>
      </w:r>
      <w:r w:rsidR="00A9336B">
        <w:t>recommend</w:t>
      </w:r>
      <w:r w:rsidR="00301673">
        <w:t>ed</w:t>
      </w:r>
      <w:r w:rsidR="00A9336B">
        <w:t xml:space="preserve"> that </w:t>
      </w:r>
      <w:r w:rsidR="00E739C9">
        <w:t>New Yo</w:t>
      </w:r>
      <w:r w:rsidR="00A9336B">
        <w:t>r</w:t>
      </w:r>
      <w:r w:rsidR="00E739C9">
        <w:t>k should adopt a similar rule</w:t>
      </w:r>
      <w:r w:rsidR="00A9336B">
        <w:t>.</w:t>
      </w:r>
      <w:r w:rsidR="00E739C9">
        <w:t xml:space="preserve"> </w:t>
      </w:r>
      <w:r w:rsidR="00F34CEA">
        <w:t xml:space="preserve"> But </w:t>
      </w:r>
      <w:r w:rsidR="00E446C4">
        <w:t>the New York version of the Rule</w:t>
      </w:r>
      <w:r w:rsidR="00A870D1">
        <w:t xml:space="preserve"> </w:t>
      </w:r>
      <w:r w:rsidR="00714807">
        <w:t>went</w:t>
      </w:r>
      <w:r w:rsidR="00A870D1">
        <w:t xml:space="preserve"> farther than the ABA Model Rule</w:t>
      </w:r>
      <w:r w:rsidR="00F34CEA" w:rsidRPr="00F34CEA">
        <w:t>.</w:t>
      </w:r>
    </w:p>
    <w:p w14:paraId="6B17FD49" w14:textId="5760458E" w:rsidR="00A9336B" w:rsidRDefault="00A9336B" w:rsidP="005C5548">
      <w:pPr>
        <w:ind w:firstLine="720"/>
      </w:pPr>
      <w:r>
        <w:t>The new rule amends old Rule 1.16 in two main ways</w:t>
      </w:r>
      <w:r w:rsidR="005C5548">
        <w:t xml:space="preserve">.  </w:t>
      </w:r>
      <w:r>
        <w:t xml:space="preserve">First, it imposes on a lawyer who is considering whether to take on or continue an engagement </w:t>
      </w:r>
      <w:r w:rsidRPr="00A9336B">
        <w:t xml:space="preserve">a duty of inquiry, </w:t>
      </w:r>
      <w:proofErr w:type="gramStart"/>
      <w:r w:rsidR="006A36E7">
        <w:t>in order to</w:t>
      </w:r>
      <w:proofErr w:type="gramEnd"/>
      <w:r w:rsidR="006A36E7">
        <w:t xml:space="preserve"> assess </w:t>
      </w:r>
      <w:r w:rsidR="00962225">
        <w:t>the risk that the engagement will result in a violation of the Rules of Professiona</w:t>
      </w:r>
      <w:r w:rsidR="00462DC1">
        <w:t>l</w:t>
      </w:r>
      <w:r w:rsidR="00962225">
        <w:t xml:space="preserve"> Conduct or other law.  </w:t>
      </w:r>
      <w:r>
        <w:t>Second, it</w:t>
      </w:r>
      <w:r w:rsidRPr="00A9336B">
        <w:t xml:space="preserve"> merge</w:t>
      </w:r>
      <w:r>
        <w:t>s</w:t>
      </w:r>
      <w:r w:rsidRPr="00A9336B">
        <w:t xml:space="preserve"> the factors (currently </w:t>
      </w:r>
      <w:r w:rsidR="00EA1B1D">
        <w:t xml:space="preserve">listed </w:t>
      </w:r>
      <w:r w:rsidRPr="00A9336B">
        <w:t>separately in New York Rule 1.16</w:t>
      </w:r>
      <w:r w:rsidR="00360835">
        <w:t xml:space="preserve"> for undertaking and </w:t>
      </w:r>
      <w:r w:rsidR="00B86C3E">
        <w:t>man</w:t>
      </w:r>
      <w:r w:rsidR="00CC1FF3">
        <w:t>datoril</w:t>
      </w:r>
      <w:r w:rsidR="00B86C3E">
        <w:t xml:space="preserve">y </w:t>
      </w:r>
      <w:r w:rsidR="00360835">
        <w:t xml:space="preserve">withdrawing from </w:t>
      </w:r>
      <w:r w:rsidR="00680711">
        <w:t>a representation</w:t>
      </w:r>
      <w:r w:rsidRPr="00A9336B">
        <w:t xml:space="preserve">) that a lawyer should consider in determining whether to accept, continue, decline, modify, or terminate, an engagement. </w:t>
      </w:r>
      <w:r>
        <w:t xml:space="preserve"> Less importantly, it replaces the terms employment and representation with the term "engagement".</w:t>
      </w:r>
    </w:p>
    <w:p w14:paraId="65FD8FDE" w14:textId="4C798EC5" w:rsidR="008E2DA3" w:rsidRDefault="002E06B9" w:rsidP="00A9336B">
      <w:r>
        <w:t xml:space="preserve">What </w:t>
      </w:r>
      <w:r w:rsidR="00AA3560">
        <w:t xml:space="preserve">Specifically </w:t>
      </w:r>
      <w:r w:rsidR="000309BC">
        <w:t>Has Changed?</w:t>
      </w:r>
    </w:p>
    <w:p w14:paraId="1B7541B2" w14:textId="6821A883" w:rsidR="00EE2EB9" w:rsidRDefault="009B4F2D" w:rsidP="00D665D3">
      <w:pPr>
        <w:ind w:firstLine="720"/>
      </w:pPr>
      <w:r>
        <w:rPr>
          <w:i/>
          <w:iCs/>
        </w:rPr>
        <w:t>The duty of inquiry re</w:t>
      </w:r>
      <w:r w:rsidR="008A2C3C">
        <w:rPr>
          <w:i/>
          <w:iCs/>
        </w:rPr>
        <w:t>garding the propriety of</w:t>
      </w:r>
      <w:r w:rsidR="00F62F2A">
        <w:rPr>
          <w:i/>
          <w:iCs/>
        </w:rPr>
        <w:t xml:space="preserve"> an </w:t>
      </w:r>
      <w:r w:rsidR="008A2C3C">
        <w:rPr>
          <w:i/>
          <w:iCs/>
        </w:rPr>
        <w:t xml:space="preserve">engagement.  </w:t>
      </w:r>
      <w:r w:rsidR="00F62F2A">
        <w:t>N</w:t>
      </w:r>
      <w:r w:rsidR="007331FC">
        <w:t xml:space="preserve">ew </w:t>
      </w:r>
      <w:r w:rsidR="00EA1B1D">
        <w:t>R</w:t>
      </w:r>
      <w:r w:rsidR="007331FC">
        <w:t xml:space="preserve">ule 1.16 requires the lawyer to understand, at the outset and throughout </w:t>
      </w:r>
      <w:r w:rsidR="00F62F2A">
        <w:t>an</w:t>
      </w:r>
      <w:r w:rsidR="007331FC">
        <w:t xml:space="preserve"> engagement, the risk that the engagement will result in a violation of the Rules</w:t>
      </w:r>
      <w:r w:rsidR="00A10E9E">
        <w:t xml:space="preserve"> of Professional Conduct</w:t>
      </w:r>
      <w:r w:rsidR="007331FC">
        <w:t xml:space="preserve"> or other </w:t>
      </w:r>
      <w:proofErr w:type="gramStart"/>
      <w:r w:rsidR="007331FC">
        <w:t>law</w:t>
      </w:r>
      <w:proofErr w:type="gramEnd"/>
      <w:r w:rsidR="006460D5">
        <w:t>.</w:t>
      </w:r>
      <w:r w:rsidR="00EB6BA4">
        <w:t xml:space="preserve">  </w:t>
      </w:r>
      <w:r w:rsidR="00455C03">
        <w:t>The Appellate Divisions made three changes to the Rule</w:t>
      </w:r>
      <w:r w:rsidR="00C60BB2">
        <w:t xml:space="preserve"> that was </w:t>
      </w:r>
      <w:r w:rsidR="00455C03">
        <w:t xml:space="preserve">recommended by the Bar Association, which </w:t>
      </w:r>
      <w:r w:rsidR="00B85ED5">
        <w:t xml:space="preserve">soften the impact of the new requirements.  First, </w:t>
      </w:r>
      <w:r w:rsidR="00770FFD">
        <w:t xml:space="preserve">they added that the lawyer must make </w:t>
      </w:r>
      <w:r w:rsidR="00770FFD" w:rsidRPr="008E3B18">
        <w:rPr>
          <w:b/>
          <w:bCs/>
        </w:rPr>
        <w:t>reas</w:t>
      </w:r>
      <w:r w:rsidR="00492A4A" w:rsidRPr="008E3B18">
        <w:rPr>
          <w:b/>
          <w:bCs/>
        </w:rPr>
        <w:t>onable efforts</w:t>
      </w:r>
      <w:r w:rsidR="00492A4A">
        <w:t xml:space="preserve"> </w:t>
      </w:r>
      <w:r w:rsidR="00254AC7">
        <w:t xml:space="preserve">to inquire into the facts and to understand the risks.  Second, </w:t>
      </w:r>
      <w:r w:rsidR="00462DC1">
        <w:t xml:space="preserve">they added that </w:t>
      </w:r>
      <w:r w:rsidR="00EB6BA4">
        <w:t>th</w:t>
      </w:r>
      <w:r w:rsidR="005F29B4">
        <w:t>e</w:t>
      </w:r>
      <w:r w:rsidR="00EB6BA4">
        <w:t xml:space="preserve"> inquiry must be commensurate with the nature of the lawyer's practice, the informational resources available to the lawyer, the nature of the engagement, and the lawyer's familiarity with the </w:t>
      </w:r>
      <w:proofErr w:type="gramStart"/>
      <w:r w:rsidR="00EB6BA4">
        <w:t>particular client</w:t>
      </w:r>
      <w:proofErr w:type="gramEnd"/>
      <w:r w:rsidR="00EB6BA4">
        <w:t xml:space="preserve">.  </w:t>
      </w:r>
      <w:r w:rsidR="00FD4EBD">
        <w:t xml:space="preserve">Finally, they added a new paragraph 1.16(b) that </w:t>
      </w:r>
      <w:r w:rsidR="00925B0A">
        <w:t>provides a safety valve where the lawyer</w:t>
      </w:r>
      <w:r w:rsidR="00EE2EB9">
        <w:t xml:space="preserve"> fails </w:t>
      </w:r>
      <w:r w:rsidR="00D71A06">
        <w:t xml:space="preserve">to discern the client's bad purpose.  </w:t>
      </w:r>
      <w:r w:rsidR="008368C6">
        <w:t>It provides that a</w:t>
      </w:r>
      <w:r w:rsidR="00EE2EB9">
        <w:t xml:space="preserve"> lawyer will not have violated paragraph (a) of th</w:t>
      </w:r>
      <w:r w:rsidR="008368C6">
        <w:t>e</w:t>
      </w:r>
      <w:r w:rsidR="00EE2EB9">
        <w:t xml:space="preserve"> Rule if the lawyer reasonably believed that the lawyer's inquiry into and assessment of the facts and circumstances of an engagement were sufficient under th</w:t>
      </w:r>
      <w:r w:rsidR="002B2FC9">
        <w:t>e</w:t>
      </w:r>
      <w:r w:rsidR="00EE2EB9">
        <w:t xml:space="preserve"> Rule, even if the lawyer's reasonable belief is subsequently determined to have been erroneous.  </w:t>
      </w:r>
    </w:p>
    <w:p w14:paraId="18B789C0" w14:textId="404D6770" w:rsidR="00E42BF7" w:rsidRDefault="00377237" w:rsidP="00D046B3">
      <w:pPr>
        <w:ind w:firstLine="720"/>
      </w:pPr>
      <w:r>
        <w:lastRenderedPageBreak/>
        <w:t>As Comment [1] to the new Rule</w:t>
      </w:r>
      <w:r w:rsidR="00591B56">
        <w:t xml:space="preserve"> explains, </w:t>
      </w:r>
      <w:r w:rsidR="00066D62">
        <w:t>Rule 1.16 in</w:t>
      </w:r>
      <w:r w:rsidR="00591B56">
        <w:t>cludes a duty to seek to understand (</w:t>
      </w:r>
      <w:proofErr w:type="spellStart"/>
      <w:r w:rsidR="00591B56">
        <w:t>i</w:t>
      </w:r>
      <w:proofErr w:type="spellEnd"/>
      <w:r w:rsidR="00591B56">
        <w:t>) the risk that the engagement will result in a violation of the Rules or other law, (ii) all pertinent information identifying each client or prospective client who is engaging or desires to engage the lawyer, and (iii) unexpected or unusual terms or changes relating to the legal persons, structures, and obligations of the engagement indicating that the client or prospective client may be engaged</w:t>
      </w:r>
      <w:r w:rsidR="00EC05B6">
        <w:t xml:space="preserve"> </w:t>
      </w:r>
      <w:r w:rsidR="00591B56">
        <w:t>(or intends to engage) in money laundering, terrorist financing, or other unlawful or unethical conduct.</w:t>
      </w:r>
      <w:r w:rsidR="00E42BF7">
        <w:t xml:space="preserve">   In all circumstances, if a lawyer does not reasonably believe that the lawyer can perform and complete the necessary services competently and diligently, without furthering any unlawful conduct or violating these Rules, then the lawyer should not accept or continue the </w:t>
      </w:r>
      <w:proofErr w:type="gramStart"/>
      <w:r w:rsidR="00E42BF7">
        <w:t>engagement, or</w:t>
      </w:r>
      <w:proofErr w:type="gramEnd"/>
      <w:r w:rsidR="00E42BF7">
        <w:t xml:space="preserve"> should modify or limit the engagement to avoid furthering unlawful conduct or a violation of these Rules.</w:t>
      </w:r>
    </w:p>
    <w:p w14:paraId="33DAFE15" w14:textId="542C50CF" w:rsidR="00A44212" w:rsidRPr="007331FC" w:rsidRDefault="00A44212" w:rsidP="00A9336B"/>
    <w:p w14:paraId="3422B550" w14:textId="3C5837F9" w:rsidR="00041986" w:rsidRDefault="00981DEB" w:rsidP="00D665D3">
      <w:pPr>
        <w:ind w:firstLine="720"/>
      </w:pPr>
      <w:r w:rsidRPr="00024BC7">
        <w:rPr>
          <w:i/>
          <w:iCs/>
        </w:rPr>
        <w:t xml:space="preserve">When a Lawyer </w:t>
      </w:r>
      <w:r w:rsidRPr="00C149E6">
        <w:rPr>
          <w:b/>
          <w:bCs/>
          <w:i/>
          <w:iCs/>
        </w:rPr>
        <w:t>Must</w:t>
      </w:r>
      <w:r w:rsidRPr="00024BC7">
        <w:rPr>
          <w:i/>
          <w:iCs/>
        </w:rPr>
        <w:t xml:space="preserve"> Decline </w:t>
      </w:r>
      <w:r w:rsidR="00024BC7" w:rsidRPr="00024BC7">
        <w:rPr>
          <w:i/>
          <w:iCs/>
        </w:rPr>
        <w:t>an Engagement</w:t>
      </w:r>
      <w:r w:rsidR="00D07D6B">
        <w:rPr>
          <w:i/>
          <w:iCs/>
        </w:rPr>
        <w:t xml:space="preserve"> or Withdraw from an Existing Engagement</w:t>
      </w:r>
      <w:r w:rsidR="00024BC7" w:rsidRPr="00024BC7">
        <w:rPr>
          <w:i/>
          <w:iCs/>
        </w:rPr>
        <w:t>.</w:t>
      </w:r>
      <w:r w:rsidR="00BC6AA5">
        <w:rPr>
          <w:i/>
          <w:iCs/>
        </w:rPr>
        <w:t xml:space="preserve">  </w:t>
      </w:r>
      <w:r w:rsidR="00BC6AA5">
        <w:t xml:space="preserve">The old rule </w:t>
      </w:r>
      <w:r w:rsidR="00536349">
        <w:t xml:space="preserve">had separate </w:t>
      </w:r>
      <w:r w:rsidR="00BC7ACE">
        <w:t xml:space="preserve">paragraphs covering when a lawyer must not accept representation and when the lawyer must withdraw from an existing </w:t>
      </w:r>
      <w:r w:rsidR="007417F6">
        <w:t>representation.  These have now been combined in a single paragraph</w:t>
      </w:r>
      <w:r w:rsidR="00300876">
        <w:t xml:space="preserve"> – Rule 1.16(a)</w:t>
      </w:r>
      <w:r w:rsidR="007417F6">
        <w:t xml:space="preserve">.  The old rule </w:t>
      </w:r>
      <w:r w:rsidR="00BC6AA5">
        <w:t xml:space="preserve">prohibited a lawyer from </w:t>
      </w:r>
      <w:r w:rsidR="00D24D3B">
        <w:t xml:space="preserve">accepting employment if the lawyer knew or reasonably should know that the </w:t>
      </w:r>
      <w:r w:rsidR="0055253D">
        <w:t xml:space="preserve">client or </w:t>
      </w:r>
      <w:r w:rsidR="00850625">
        <w:t>prospective</w:t>
      </w:r>
      <w:r w:rsidR="0055253D">
        <w:t xml:space="preserve"> client</w:t>
      </w:r>
      <w:r w:rsidR="00036AE2">
        <w:t xml:space="preserve"> wished to </w:t>
      </w:r>
      <w:r w:rsidR="00850625">
        <w:t>(</w:t>
      </w:r>
      <w:r w:rsidR="004B3355">
        <w:t xml:space="preserve">a) </w:t>
      </w:r>
      <w:r w:rsidR="00156DB0">
        <w:t xml:space="preserve">bring an action, conduct a defense or assert a </w:t>
      </w:r>
      <w:r w:rsidR="007D1497">
        <w:t xml:space="preserve">position </w:t>
      </w:r>
      <w:r w:rsidR="009B2568">
        <w:t>"</w:t>
      </w:r>
      <w:r w:rsidR="007D1497">
        <w:t>merely</w:t>
      </w:r>
      <w:r w:rsidR="009B2568">
        <w:t>"</w:t>
      </w:r>
      <w:r w:rsidR="007D1497">
        <w:t xml:space="preserve"> for </w:t>
      </w:r>
      <w:r w:rsidR="004B3355">
        <w:t>the</w:t>
      </w:r>
      <w:r w:rsidR="007D1497">
        <w:t xml:space="preserve"> </w:t>
      </w:r>
      <w:r w:rsidR="004B3355">
        <w:t>purpose</w:t>
      </w:r>
      <w:r w:rsidR="007D1497">
        <w:t xml:space="preserve"> of harassing or maliciously injuring </w:t>
      </w:r>
      <w:r w:rsidR="00850625">
        <w:t>another person</w:t>
      </w:r>
      <w:r w:rsidR="004B3355">
        <w:t xml:space="preserve">, or </w:t>
      </w:r>
      <w:r w:rsidR="00637229">
        <w:t>(</w:t>
      </w:r>
      <w:r w:rsidR="004B3355">
        <w:t xml:space="preserve">b) </w:t>
      </w:r>
      <w:r w:rsidR="00036AE2">
        <w:t xml:space="preserve">present a </w:t>
      </w:r>
      <w:r w:rsidR="007F7269">
        <w:t xml:space="preserve">claim or defense </w:t>
      </w:r>
      <w:r w:rsidR="00154CED">
        <w:t>"</w:t>
      </w:r>
      <w:r w:rsidR="00237BCD">
        <w:t xml:space="preserve">not </w:t>
      </w:r>
      <w:r w:rsidR="007F7269">
        <w:t>warranted under existing law.</w:t>
      </w:r>
      <w:r w:rsidR="00154CED">
        <w:t>"</w:t>
      </w:r>
      <w:r w:rsidR="007F7269">
        <w:t xml:space="preserve">  </w:t>
      </w:r>
      <w:r w:rsidR="00D1706B">
        <w:t xml:space="preserve">The new rule </w:t>
      </w:r>
      <w:r w:rsidR="00E11DE5">
        <w:t>clarifies</w:t>
      </w:r>
      <w:r w:rsidR="00D1706B">
        <w:t xml:space="preserve"> that </w:t>
      </w:r>
      <w:r w:rsidR="00E11DE5">
        <w:t xml:space="preserve">the engagement must have a </w:t>
      </w:r>
      <w:r w:rsidR="00E11DE5" w:rsidRPr="00D57ADD">
        <w:rPr>
          <w:b/>
          <w:bCs/>
        </w:rPr>
        <w:t xml:space="preserve">substantial </w:t>
      </w:r>
      <w:r w:rsidR="00163028" w:rsidRPr="00D57ADD">
        <w:rPr>
          <w:b/>
          <w:bCs/>
        </w:rPr>
        <w:t>purpose</w:t>
      </w:r>
      <w:r w:rsidR="00E11DE5">
        <w:t xml:space="preserve"> other than </w:t>
      </w:r>
      <w:r w:rsidR="00163028">
        <w:t xml:space="preserve">harassment or malicious </w:t>
      </w:r>
      <w:proofErr w:type="gramStart"/>
      <w:r w:rsidR="00163028">
        <w:t>injury</w:t>
      </w:r>
      <w:r w:rsidR="00154CED">
        <w:t>, and</w:t>
      </w:r>
      <w:proofErr w:type="gramEnd"/>
      <w:r w:rsidR="00154CED">
        <w:t xml:space="preserve"> changes </w:t>
      </w:r>
      <w:r w:rsidR="00CA72E9">
        <w:t xml:space="preserve">a claim or defense </w:t>
      </w:r>
      <w:r w:rsidR="00154CED">
        <w:t xml:space="preserve">"unwarranted under </w:t>
      </w:r>
      <w:r w:rsidR="001B21CF">
        <w:t>existing law</w:t>
      </w:r>
      <w:r w:rsidR="00FE716E">
        <w:t>”</w:t>
      </w:r>
      <w:r w:rsidR="001B21CF">
        <w:t xml:space="preserve"> to "frivolous under Rule 3.1(b)(1)"</w:t>
      </w:r>
      <w:r w:rsidR="00D42B7D">
        <w:t xml:space="preserve">.  </w:t>
      </w:r>
      <w:r w:rsidR="00A74D79">
        <w:t xml:space="preserve">It also </w:t>
      </w:r>
      <w:r w:rsidR="00D07D6B">
        <w:t>adds</w:t>
      </w:r>
      <w:r w:rsidR="00F52D18">
        <w:t xml:space="preserve"> a prohibition where </w:t>
      </w:r>
      <w:r w:rsidR="00C30DC3">
        <w:t>the lawyer knows or reasonably should know that the client wishes to commit, assist, or further a crime or fraud</w:t>
      </w:r>
      <w:r w:rsidR="001A5E35">
        <w:t xml:space="preserve">.  Finally, this paragraph </w:t>
      </w:r>
      <w:r w:rsidR="0016751D">
        <w:t>adds</w:t>
      </w:r>
      <w:r w:rsidR="00C30DC3">
        <w:t xml:space="preserve"> </w:t>
      </w:r>
      <w:r w:rsidR="00D07D6B">
        <w:t xml:space="preserve">several grounds for mandatory withdrawal that </w:t>
      </w:r>
      <w:r w:rsidR="00CA7813">
        <w:t xml:space="preserve">previously were in the </w:t>
      </w:r>
      <w:r w:rsidR="00EE4194">
        <w:t xml:space="preserve">paragraph </w:t>
      </w:r>
      <w:r w:rsidR="00E7582A">
        <w:t xml:space="preserve">on </w:t>
      </w:r>
      <w:r w:rsidR="00CA7813">
        <w:t>mandatory withdrawal</w:t>
      </w:r>
      <w:r w:rsidR="00422830">
        <w:t xml:space="preserve">.  </w:t>
      </w:r>
      <w:r w:rsidR="00E7582A">
        <w:t>These</w:t>
      </w:r>
      <w:r w:rsidR="0016751D">
        <w:t xml:space="preserve"> include (</w:t>
      </w:r>
      <w:proofErr w:type="spellStart"/>
      <w:r w:rsidR="0016751D">
        <w:t>i</w:t>
      </w:r>
      <w:proofErr w:type="spellEnd"/>
      <w:r w:rsidR="0016751D">
        <w:t xml:space="preserve">) </w:t>
      </w:r>
      <w:r w:rsidR="00FE60D6">
        <w:t xml:space="preserve">where the lawyer knows or reasonably should know </w:t>
      </w:r>
      <w:r w:rsidR="00957738">
        <w:t xml:space="preserve">that </w:t>
      </w:r>
      <w:r w:rsidR="00041986">
        <w:t>the engagement will result in a</w:t>
      </w:r>
      <w:r w:rsidR="00957738">
        <w:t xml:space="preserve"> </w:t>
      </w:r>
      <w:r w:rsidR="00041986">
        <w:t>violation of the</w:t>
      </w:r>
      <w:r w:rsidR="00FB499B">
        <w:t xml:space="preserve"> </w:t>
      </w:r>
      <w:r w:rsidR="00041986">
        <w:t xml:space="preserve">Rules </w:t>
      </w:r>
      <w:r w:rsidR="00F933A5">
        <w:t>o</w:t>
      </w:r>
      <w:r w:rsidR="00FB499B">
        <w:t xml:space="preserve">f Professional Conduct </w:t>
      </w:r>
      <w:r w:rsidR="00041986">
        <w:t>or other law</w:t>
      </w:r>
      <w:r w:rsidR="00695F3D">
        <w:t xml:space="preserve">, (ii) </w:t>
      </w:r>
      <w:r w:rsidR="004301C8">
        <w:t xml:space="preserve"> where </w:t>
      </w:r>
      <w:r w:rsidR="00041986">
        <w:t>the lawyer's physical or mental condition materially impairs the lawyer's ability to carry out</w:t>
      </w:r>
      <w:r w:rsidR="00C14151">
        <w:t xml:space="preserve"> the engagement, and (iii) </w:t>
      </w:r>
      <w:r w:rsidR="00B67711">
        <w:t>where the lawyer is discharged</w:t>
      </w:r>
      <w:r w:rsidR="00CB61CA">
        <w:t>.</w:t>
      </w:r>
      <w:r w:rsidR="00C52D59">
        <w:t xml:space="preserve">  In each case</w:t>
      </w:r>
      <w:r w:rsidR="008A50EA">
        <w:t xml:space="preserve">, if the lawyer has accepted the engagement, the new Rule requires the lawyer </w:t>
      </w:r>
      <w:r w:rsidR="00373A60">
        <w:t>to terminate or withdraw from the engagement</w:t>
      </w:r>
      <w:r w:rsidR="00BC55BE">
        <w:t>.</w:t>
      </w:r>
    </w:p>
    <w:p w14:paraId="79F8BEC5" w14:textId="77777777" w:rsidR="00AA4218" w:rsidRDefault="001705CD" w:rsidP="00D5218C">
      <w:pPr>
        <w:ind w:firstLine="720"/>
      </w:pPr>
      <w:r w:rsidRPr="0063063E">
        <w:rPr>
          <w:i/>
          <w:iCs/>
        </w:rPr>
        <w:t xml:space="preserve">When Does </w:t>
      </w:r>
      <w:r w:rsidR="008F5FA8" w:rsidRPr="0063063E">
        <w:rPr>
          <w:i/>
          <w:iCs/>
        </w:rPr>
        <w:t>Permissive Withdrawal</w:t>
      </w:r>
      <w:r w:rsidRPr="0063063E">
        <w:rPr>
          <w:i/>
          <w:iCs/>
        </w:rPr>
        <w:t xml:space="preserve"> Apply?</w:t>
      </w:r>
      <w:r w:rsidR="008F5FA8">
        <w:t xml:space="preserve">  </w:t>
      </w:r>
      <w:r w:rsidR="007161DE">
        <w:t xml:space="preserve">The grounds for permissive withdrawal </w:t>
      </w:r>
      <w:r w:rsidR="005F4D6F">
        <w:t>contained in Rule 1.16</w:t>
      </w:r>
      <w:r w:rsidR="00B96827">
        <w:t xml:space="preserve">(c) </w:t>
      </w:r>
      <w:r w:rsidR="007161DE">
        <w:t>are largely the same</w:t>
      </w:r>
      <w:r w:rsidR="00A87ABF">
        <w:t xml:space="preserve"> as those in old New York Rule 1.16</w:t>
      </w:r>
      <w:r w:rsidR="00B96827">
        <w:t>(c)</w:t>
      </w:r>
      <w:r w:rsidR="00D27696">
        <w:t xml:space="preserve">, </w:t>
      </w:r>
      <w:r w:rsidR="006F5A5D">
        <w:t xml:space="preserve">except that subparagraph </w:t>
      </w:r>
      <w:r w:rsidR="00D27696">
        <w:t>6 – the client insists upon presenting a claim or defense that is not warranted</w:t>
      </w:r>
      <w:r w:rsidR="008720FE">
        <w:t xml:space="preserve"> under existing law</w:t>
      </w:r>
      <w:r w:rsidR="00D27696">
        <w:t xml:space="preserve"> </w:t>
      </w:r>
      <w:r w:rsidR="008720FE">
        <w:t xml:space="preserve">– </w:t>
      </w:r>
      <w:r w:rsidR="00180790">
        <w:t xml:space="preserve">was </w:t>
      </w:r>
      <w:r w:rsidR="00620C60">
        <w:t>deleted</w:t>
      </w:r>
      <w:r w:rsidR="00180790">
        <w:t xml:space="preserve"> because old Rule </w:t>
      </w:r>
      <w:r w:rsidR="003E6269">
        <w:t>1</w:t>
      </w:r>
      <w:r w:rsidR="00180790">
        <w:t>.</w:t>
      </w:r>
      <w:r w:rsidR="003E6269">
        <w:t>1</w:t>
      </w:r>
      <w:r w:rsidR="00180790">
        <w:t>6</w:t>
      </w:r>
      <w:r w:rsidR="000419A4">
        <w:t>(a)(2) and new Rule 1.16(a)(1)(</w:t>
      </w:r>
      <w:r w:rsidR="003E6269">
        <w:t>ii)</w:t>
      </w:r>
      <w:r w:rsidR="00620C60">
        <w:t xml:space="preserve">, </w:t>
      </w:r>
      <w:r w:rsidR="003E6269">
        <w:t xml:space="preserve">make withdrawal </w:t>
      </w:r>
      <w:r w:rsidR="0025514C">
        <w:t xml:space="preserve">mandatory in this circumstance. </w:t>
      </w:r>
      <w:r w:rsidR="007161DE">
        <w:t xml:space="preserve">  However,</w:t>
      </w:r>
      <w:r w:rsidR="001B1E13">
        <w:t xml:space="preserve"> instead of being solely in the lawyer's discretion, </w:t>
      </w:r>
      <w:r w:rsidR="003B7818">
        <w:t>as in the old Rule 1.16</w:t>
      </w:r>
      <w:r w:rsidR="00F77305">
        <w:t>(c)</w:t>
      </w:r>
      <w:r w:rsidR="003B7818">
        <w:t xml:space="preserve">, </w:t>
      </w:r>
      <w:r w:rsidR="00D24EEC">
        <w:t>the new Rule 1.16</w:t>
      </w:r>
      <w:r w:rsidR="00F77305">
        <w:t>(c)</w:t>
      </w:r>
      <w:r w:rsidR="00D24EEC">
        <w:t xml:space="preserve"> </w:t>
      </w:r>
      <w:r w:rsidR="005A766A">
        <w:t>require</w:t>
      </w:r>
      <w:r w:rsidR="00D24EEC">
        <w:t>s</w:t>
      </w:r>
      <w:r w:rsidR="00F322BC">
        <w:t xml:space="preserve"> that a reasonable lawyer would conclude that the </w:t>
      </w:r>
      <w:r w:rsidR="00396479">
        <w:t>basis</w:t>
      </w:r>
      <w:r w:rsidR="00F322BC">
        <w:t xml:space="preserve"> exists.  </w:t>
      </w:r>
      <w:r w:rsidR="00EA76DA">
        <w:t>In its re</w:t>
      </w:r>
      <w:r w:rsidR="00237922">
        <w:t xml:space="preserve">port proposing the amendments to Rule 1.16, COSAC </w:t>
      </w:r>
      <w:r w:rsidR="000A0F63">
        <w:t xml:space="preserve">explains </w:t>
      </w:r>
      <w:r w:rsidR="005234BB">
        <w:t xml:space="preserve">that </w:t>
      </w:r>
      <w:r w:rsidR="00574988">
        <w:t>t</w:t>
      </w:r>
      <w:r w:rsidR="000A0F63" w:rsidRPr="000A0F63">
        <w:t>he phrase “a reasonable lawyer would conclude” provides an objective standard for assessing the grounds for withdrawal under NY Rule 1.16</w:t>
      </w:r>
      <w:r w:rsidR="00574988">
        <w:t xml:space="preserve">, and </w:t>
      </w:r>
      <w:r w:rsidR="000A0F63" w:rsidRPr="000A0F63">
        <w:t>mirrors the introductory language in Rule 1.7(a), which says that a lawyer shall not represent a client “if a reaso</w:t>
      </w:r>
      <w:r w:rsidR="00574988">
        <w:t>nable</w:t>
      </w:r>
      <w:r w:rsidR="00022B80" w:rsidRPr="00022B80">
        <w:t xml:space="preserve"> lawyer would conclude” that the criteria for identifying conflicts of interest in Rule 1.7(a)(1) or (a)(2) are met.  </w:t>
      </w:r>
      <w:r w:rsidR="00A2309F">
        <w:t>A</w:t>
      </w:r>
      <w:r w:rsidR="000112AC">
        <w:t>t least one basis</w:t>
      </w:r>
      <w:r w:rsidR="009F6ABB">
        <w:t xml:space="preserve"> </w:t>
      </w:r>
      <w:r w:rsidR="00396479">
        <w:t>for</w:t>
      </w:r>
      <w:r w:rsidR="00DC5166">
        <w:t xml:space="preserve"> withdrawal</w:t>
      </w:r>
      <w:r w:rsidR="001000F9">
        <w:t xml:space="preserve"> </w:t>
      </w:r>
      <w:r w:rsidR="004B20B6">
        <w:t xml:space="preserve">by </w:t>
      </w:r>
      <w:r w:rsidR="000112AC">
        <w:t>its</w:t>
      </w:r>
      <w:r w:rsidR="004B20B6">
        <w:t xml:space="preserve"> terms depend</w:t>
      </w:r>
      <w:r w:rsidR="004F4B93">
        <w:t>s</w:t>
      </w:r>
      <w:r w:rsidR="004B20B6">
        <w:t xml:space="preserve"> on the </w:t>
      </w:r>
      <w:r w:rsidR="00AD52E4">
        <w:t>opinion of the lawyer</w:t>
      </w:r>
      <w:r w:rsidR="004F4B93">
        <w:t xml:space="preserve"> --</w:t>
      </w:r>
      <w:r w:rsidR="005A7010">
        <w:t xml:space="preserve">when </w:t>
      </w:r>
      <w:r w:rsidR="005A7010" w:rsidRPr="005A7010">
        <w:t xml:space="preserve">the client insists upon </w:t>
      </w:r>
      <w:proofErr w:type="gramStart"/>
      <w:r w:rsidR="005A7010" w:rsidRPr="005A7010">
        <w:t>taking action</w:t>
      </w:r>
      <w:proofErr w:type="gramEnd"/>
      <w:r w:rsidR="005A7010" w:rsidRPr="005A7010">
        <w:t xml:space="preserve"> with which the lawyer has a fundamental disagreement</w:t>
      </w:r>
      <w:r w:rsidR="00AD52E4">
        <w:t>.</w:t>
      </w:r>
      <w:r w:rsidR="00393EDE">
        <w:t xml:space="preserve">  </w:t>
      </w:r>
      <w:r w:rsidR="00147E72">
        <w:t xml:space="preserve">The new rule </w:t>
      </w:r>
      <w:r w:rsidR="0000214D">
        <w:t>means that this opinion or</w:t>
      </w:r>
      <w:r w:rsidR="001404B1">
        <w:t xml:space="preserve"> belief must be objectively reasonable</w:t>
      </w:r>
      <w:r w:rsidR="009004ED">
        <w:t>.</w:t>
      </w:r>
      <w:r w:rsidR="00A711DC">
        <w:t xml:space="preserve">  </w:t>
      </w:r>
    </w:p>
    <w:p w14:paraId="72C5B098" w14:textId="05D2905C" w:rsidR="00D5218C" w:rsidRDefault="00A711DC" w:rsidP="00D5218C">
      <w:pPr>
        <w:ind w:firstLine="720"/>
      </w:pPr>
      <w:r>
        <w:t xml:space="preserve">Of course, under paragraphs </w:t>
      </w:r>
      <w:r w:rsidR="009004ED">
        <w:t xml:space="preserve">(d) and </w:t>
      </w:r>
      <w:r w:rsidR="00D5218C">
        <w:t xml:space="preserve">(e) </w:t>
      </w:r>
      <w:r w:rsidR="009004ED">
        <w:t xml:space="preserve">of </w:t>
      </w:r>
      <w:r w:rsidR="00D5218C">
        <w:t>t</w:t>
      </w:r>
      <w:r w:rsidR="009004ED">
        <w:t>he Rule, if</w:t>
      </w:r>
      <w:r w:rsidR="00D5218C">
        <w:t xml:space="preserve"> </w:t>
      </w:r>
      <w:r w:rsidR="00D5218C" w:rsidRPr="006B7644">
        <w:t>permission for withdrawal is</w:t>
      </w:r>
      <w:r w:rsidR="00D5218C">
        <w:t xml:space="preserve"> </w:t>
      </w:r>
      <w:r w:rsidR="00D5218C" w:rsidRPr="006B7644">
        <w:t xml:space="preserve">required by the rules of a tribunal, </w:t>
      </w:r>
      <w:r w:rsidR="000B6297">
        <w:t>the</w:t>
      </w:r>
      <w:r w:rsidR="00D5218C" w:rsidRPr="006B7644">
        <w:t xml:space="preserve"> lawyer </w:t>
      </w:r>
      <w:r w:rsidR="000B6297">
        <w:t xml:space="preserve">must obtain that </w:t>
      </w:r>
      <w:r w:rsidR="00D5218C" w:rsidRPr="006B7644">
        <w:t>permission</w:t>
      </w:r>
      <w:r w:rsidR="00570F9A">
        <w:t>, and, u</w:t>
      </w:r>
      <w:r w:rsidR="00D5218C" w:rsidRPr="006B7644">
        <w:t xml:space="preserve">pon termination of </w:t>
      </w:r>
      <w:r w:rsidR="00570F9A">
        <w:t>the</w:t>
      </w:r>
      <w:r w:rsidR="00D5218C">
        <w:t xml:space="preserve"> engagement</w:t>
      </w:r>
      <w:r w:rsidR="00D5218C" w:rsidRPr="006B7644">
        <w:t xml:space="preserve">, </w:t>
      </w:r>
      <w:r w:rsidR="00570F9A">
        <w:t>the</w:t>
      </w:r>
      <w:r w:rsidR="00D5218C" w:rsidRPr="006B7644">
        <w:t xml:space="preserve"> lawyer </w:t>
      </w:r>
      <w:r w:rsidR="00570F9A">
        <w:t xml:space="preserve">must </w:t>
      </w:r>
      <w:r w:rsidR="00D5218C" w:rsidRPr="006B7644">
        <w:t>take</w:t>
      </w:r>
      <w:r w:rsidR="00D5218C">
        <w:t xml:space="preserve"> </w:t>
      </w:r>
      <w:r w:rsidR="00D5218C" w:rsidRPr="006B7644">
        <w:t>steps</w:t>
      </w:r>
      <w:r w:rsidR="00E95815">
        <w:t xml:space="preserve"> to</w:t>
      </w:r>
      <w:r w:rsidR="00D5218C" w:rsidRPr="006B7644">
        <w:t xml:space="preserve"> avoid foreseeable prejudice</w:t>
      </w:r>
      <w:r w:rsidR="00D5218C">
        <w:t xml:space="preserve"> </w:t>
      </w:r>
      <w:r w:rsidR="00D5218C" w:rsidRPr="006B7644">
        <w:t>to the rights of the client</w:t>
      </w:r>
      <w:r w:rsidR="00E95815">
        <w:t>.</w:t>
      </w:r>
    </w:p>
    <w:p w14:paraId="4ED092E7" w14:textId="7B27BDAE" w:rsidR="00136D88" w:rsidRDefault="00393EDE" w:rsidP="00D665D3">
      <w:pPr>
        <w:ind w:firstLine="720"/>
      </w:pPr>
      <w:r>
        <w:t>Finally, it is worth noting that</w:t>
      </w:r>
      <w:r w:rsidR="00A12B18">
        <w:t xml:space="preserve"> Rule 1.16</w:t>
      </w:r>
      <w:r w:rsidR="000B1B1B">
        <w:t xml:space="preserve">(c)(13) </w:t>
      </w:r>
      <w:r w:rsidR="00C57850">
        <w:t>permits the lawyer to withdraw when "</w:t>
      </w:r>
      <w:r w:rsidR="00DA4F3E" w:rsidRPr="006B7644">
        <w:t>the client insists that the lawyer pursue a course of</w:t>
      </w:r>
      <w:r w:rsidR="00DA4F3E">
        <w:t xml:space="preserve"> </w:t>
      </w:r>
      <w:r w:rsidR="00DA4F3E" w:rsidRPr="006B7644">
        <w:t>conduct which is illegal or prohibited under these Rules</w:t>
      </w:r>
      <w:r w:rsidR="00F51EE3">
        <w:t>".  Under new Rule 1.16(a)</w:t>
      </w:r>
      <w:r w:rsidR="00AE1A4C">
        <w:t>(2), if</w:t>
      </w:r>
      <w:r w:rsidR="00BE21EF">
        <w:t xml:space="preserve"> </w:t>
      </w:r>
      <w:r w:rsidR="00AE1A4C">
        <w:t>the lawyer knows or reasonably should know that the engagement will result in a</w:t>
      </w:r>
      <w:r w:rsidR="008028EC">
        <w:t xml:space="preserve"> </w:t>
      </w:r>
      <w:r w:rsidR="00AE1A4C">
        <w:t>violation of the Rules or other law</w:t>
      </w:r>
      <w:r w:rsidR="008028EC">
        <w:t>, then withdrawal is mandatory.</w:t>
      </w:r>
    </w:p>
    <w:p w14:paraId="7CAC2598" w14:textId="77777777" w:rsidR="00E739C9" w:rsidRDefault="00E739C9" w:rsidP="00E739C9"/>
    <w:sectPr w:rsidR="00E739C9" w:rsidSect="005C3B42">
      <w:footerReference w:type="default" r:id="rId7"/>
      <w:endnotePr>
        <w:numFmt w:val="decimal"/>
      </w:end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64924" w14:textId="77777777" w:rsidR="00D1713F" w:rsidRDefault="00D1713F" w:rsidP="00B81782">
      <w:pPr>
        <w:spacing w:after="0" w:line="240" w:lineRule="auto"/>
      </w:pPr>
      <w:r>
        <w:separator/>
      </w:r>
    </w:p>
  </w:endnote>
  <w:endnote w:type="continuationSeparator" w:id="0">
    <w:p w14:paraId="35B863AA" w14:textId="77777777" w:rsidR="00D1713F" w:rsidRDefault="00D1713F" w:rsidP="00B81782">
      <w:pPr>
        <w:spacing w:after="0" w:line="240" w:lineRule="auto"/>
      </w:pPr>
      <w:r>
        <w:continuationSeparator/>
      </w:r>
    </w:p>
  </w:endnote>
  <w:endnote w:id="1">
    <w:p w14:paraId="1372B75A" w14:textId="2D54EF12" w:rsidR="005C3B42" w:rsidRDefault="00D74A16" w:rsidP="005C3B42">
      <w:pPr>
        <w:pStyle w:val="EndnoteText"/>
      </w:pPr>
      <w:r>
        <w:rPr>
          <w:rStyle w:val="EndnoteReference"/>
        </w:rPr>
        <w:endnoteRef/>
      </w:r>
      <w:r>
        <w:t xml:space="preserve"> </w:t>
      </w:r>
      <w:r w:rsidR="005C3B42">
        <w:t>A marked version of the changes may be found on the website of the courts at:</w:t>
      </w:r>
    </w:p>
    <w:p w14:paraId="32F0B151" w14:textId="77777777" w:rsidR="005C3B42" w:rsidRDefault="005C3B42" w:rsidP="005C3B42">
      <w:pPr>
        <w:pStyle w:val="EndnoteText"/>
      </w:pPr>
      <w:hyperlink r:id="rId1" w:history="1">
        <w:r w:rsidRPr="00917F0A">
          <w:rPr>
            <w:rStyle w:val="Hyperlink"/>
          </w:rPr>
          <w:t>https://www.nycourts.gov/rules/amendments-joint-rules-departments-appellate-division</w:t>
        </w:r>
      </w:hyperlink>
      <w:r>
        <w:t xml:space="preserve">  .  The Rules of Professional Conduct, as amended, may be found on the Bar Association’s website at:</w:t>
      </w:r>
    </w:p>
    <w:p w14:paraId="56CF3E0D" w14:textId="77777777" w:rsidR="005C3B42" w:rsidRDefault="005C3B42" w:rsidP="005C3B42">
      <w:hyperlink r:id="rId2" w:history="1">
        <w:r w:rsidRPr="00917F0A">
          <w:rPr>
            <w:rStyle w:val="Hyperlink"/>
          </w:rPr>
          <w:t>https://nysba.org/wp-content/uploads/2026/08/NYSBA-NY-Rules-of-Professional-Conduct-August-10-2026.pdf</w:t>
        </w:r>
      </w:hyperlink>
    </w:p>
    <w:p w14:paraId="24595CDD" w14:textId="678C5974" w:rsidR="00D74A16" w:rsidRDefault="00D74A16">
      <w:pPr>
        <w:pStyle w:val="EndnoteText"/>
      </w:pPr>
    </w:p>
  </w:endnote>
  <w:endnote w:id="2">
    <w:p w14:paraId="16D32DC4" w14:textId="72483DAB" w:rsidR="00AA420D" w:rsidRDefault="00AA420D" w:rsidP="00917190">
      <w:r>
        <w:rPr>
          <w:rStyle w:val="EndnoteReference"/>
        </w:rPr>
        <w:endnoteRef/>
      </w:r>
      <w:r>
        <w:t xml:space="preserve"> </w:t>
      </w:r>
      <w:r w:rsidRPr="0071086B">
        <w:rPr>
          <w:sz w:val="22"/>
          <w:szCs w:val="22"/>
        </w:rPr>
        <w:t>The Financial Action Task Force (FATF), established in 1989 by the G7 countries to examine and develop measures to combat money laundering, found</w:t>
      </w:r>
      <w:r>
        <w:rPr>
          <w:sz w:val="22"/>
          <w:szCs w:val="22"/>
        </w:rPr>
        <w:t xml:space="preserve"> that, in</w:t>
      </w:r>
      <w:r w:rsidRPr="0071086B">
        <w:rPr>
          <w:sz w:val="22"/>
          <w:szCs w:val="22"/>
        </w:rPr>
        <w:t xml:space="preserve"> the United States</w:t>
      </w:r>
      <w:r>
        <w:rPr>
          <w:sz w:val="22"/>
          <w:szCs w:val="22"/>
        </w:rPr>
        <w:t xml:space="preserve">, there was a </w:t>
      </w:r>
      <w:r w:rsidRPr="0071086B">
        <w:rPr>
          <w:sz w:val="22"/>
          <w:szCs w:val="22"/>
        </w:rPr>
        <w:t xml:space="preserve">lack of sufficient client due diligence by </w:t>
      </w:r>
      <w:r>
        <w:rPr>
          <w:sz w:val="22"/>
          <w:szCs w:val="22"/>
        </w:rPr>
        <w:t>lawyers</w:t>
      </w:r>
      <w:r w:rsidRPr="0071086B">
        <w:rPr>
          <w:sz w:val="22"/>
          <w:szCs w:val="22"/>
        </w:rPr>
        <w:t xml:space="preserve"> to prevent money laundering and terrorism financing transactions, and</w:t>
      </w:r>
      <w:r>
        <w:rPr>
          <w:sz w:val="22"/>
          <w:szCs w:val="22"/>
        </w:rPr>
        <w:t xml:space="preserve"> a</w:t>
      </w:r>
      <w:r w:rsidRPr="0071086B">
        <w:rPr>
          <w:sz w:val="22"/>
          <w:szCs w:val="22"/>
        </w:rPr>
        <w:t xml:space="preserve"> lack of enforceable obligations </w:t>
      </w:r>
      <w:r>
        <w:rPr>
          <w:sz w:val="22"/>
          <w:szCs w:val="22"/>
        </w:rPr>
        <w:t>to conduct that due diligence</w:t>
      </w:r>
      <w:r w:rsidRPr="0071086B">
        <w:rPr>
          <w:sz w:val="22"/>
          <w:szCs w:val="22"/>
        </w:rPr>
        <w:t xml:space="preserve">.  Drawing heavily on FATF’s negative assessments, Senator Sheldon Whitehouse proposed legislation that would have subjected lawyers directly to the Bank Secrecy Act.  Both the ABA and the NYSBA objected to that proposal, because they believed it would harm attorney-client confidentiality and the attorney-client privilege.  NYSBA also asserted that the legal profession was capable of regulating itself in this area.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126495"/>
      <w:docPartObj>
        <w:docPartGallery w:val="Page Numbers (Bottom of Page)"/>
        <w:docPartUnique/>
      </w:docPartObj>
    </w:sdtPr>
    <w:sdtEndPr>
      <w:rPr>
        <w:noProof/>
      </w:rPr>
    </w:sdtEndPr>
    <w:sdtContent>
      <w:p w14:paraId="60A87804" w14:textId="3B7507B6" w:rsidR="00B81782" w:rsidRDefault="00B817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E70E13" w14:textId="77777777" w:rsidR="00B81782" w:rsidRDefault="00B81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3506" w14:textId="77777777" w:rsidR="00D1713F" w:rsidRDefault="00D1713F" w:rsidP="00B81782">
      <w:pPr>
        <w:spacing w:after="0" w:line="240" w:lineRule="auto"/>
      </w:pPr>
      <w:r>
        <w:separator/>
      </w:r>
    </w:p>
  </w:footnote>
  <w:footnote w:type="continuationSeparator" w:id="0">
    <w:p w14:paraId="088BD9CD" w14:textId="77777777" w:rsidR="00D1713F" w:rsidRDefault="00D1713F" w:rsidP="00B81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9C9"/>
    <w:rsid w:val="00000A9F"/>
    <w:rsid w:val="0000214D"/>
    <w:rsid w:val="00005713"/>
    <w:rsid w:val="000112AC"/>
    <w:rsid w:val="00022B80"/>
    <w:rsid w:val="00024BC7"/>
    <w:rsid w:val="000309BC"/>
    <w:rsid w:val="000346E7"/>
    <w:rsid w:val="00036AE2"/>
    <w:rsid w:val="00041986"/>
    <w:rsid w:val="000419A4"/>
    <w:rsid w:val="00050578"/>
    <w:rsid w:val="00066D62"/>
    <w:rsid w:val="00077CB0"/>
    <w:rsid w:val="000A0349"/>
    <w:rsid w:val="000A0F63"/>
    <w:rsid w:val="000A1821"/>
    <w:rsid w:val="000B1B1B"/>
    <w:rsid w:val="000B1F88"/>
    <w:rsid w:val="000B6297"/>
    <w:rsid w:val="000D24AD"/>
    <w:rsid w:val="000F5857"/>
    <w:rsid w:val="001000F9"/>
    <w:rsid w:val="001019D4"/>
    <w:rsid w:val="001127F7"/>
    <w:rsid w:val="00127535"/>
    <w:rsid w:val="00132677"/>
    <w:rsid w:val="00136D88"/>
    <w:rsid w:val="001404B1"/>
    <w:rsid w:val="00147E72"/>
    <w:rsid w:val="00154CED"/>
    <w:rsid w:val="00156DB0"/>
    <w:rsid w:val="001622F8"/>
    <w:rsid w:val="00163028"/>
    <w:rsid w:val="0016751D"/>
    <w:rsid w:val="001705CD"/>
    <w:rsid w:val="00172396"/>
    <w:rsid w:val="00180790"/>
    <w:rsid w:val="00192084"/>
    <w:rsid w:val="001966D8"/>
    <w:rsid w:val="001A5E35"/>
    <w:rsid w:val="001B1E13"/>
    <w:rsid w:val="001B21CF"/>
    <w:rsid w:val="001C61C5"/>
    <w:rsid w:val="001F09E4"/>
    <w:rsid w:val="001F22F9"/>
    <w:rsid w:val="001F63D7"/>
    <w:rsid w:val="00237922"/>
    <w:rsid w:val="00237BCD"/>
    <w:rsid w:val="00254AC7"/>
    <w:rsid w:val="0025514C"/>
    <w:rsid w:val="002846B5"/>
    <w:rsid w:val="0029797D"/>
    <w:rsid w:val="002A3633"/>
    <w:rsid w:val="002A5527"/>
    <w:rsid w:val="002B2FC9"/>
    <w:rsid w:val="002B5768"/>
    <w:rsid w:val="002B6CA6"/>
    <w:rsid w:val="002E06B9"/>
    <w:rsid w:val="00300876"/>
    <w:rsid w:val="00301673"/>
    <w:rsid w:val="00313B66"/>
    <w:rsid w:val="003270AC"/>
    <w:rsid w:val="00360835"/>
    <w:rsid w:val="00373A60"/>
    <w:rsid w:val="0037571A"/>
    <w:rsid w:val="00377237"/>
    <w:rsid w:val="00393EDE"/>
    <w:rsid w:val="00396479"/>
    <w:rsid w:val="003B0C1C"/>
    <w:rsid w:val="003B2D65"/>
    <w:rsid w:val="003B7818"/>
    <w:rsid w:val="003E3F01"/>
    <w:rsid w:val="003E5A81"/>
    <w:rsid w:val="003E6269"/>
    <w:rsid w:val="003E6D0A"/>
    <w:rsid w:val="00403839"/>
    <w:rsid w:val="00422830"/>
    <w:rsid w:val="004301C8"/>
    <w:rsid w:val="00455C03"/>
    <w:rsid w:val="0046109E"/>
    <w:rsid w:val="00462DC1"/>
    <w:rsid w:val="0046565F"/>
    <w:rsid w:val="00492A4A"/>
    <w:rsid w:val="004B20B6"/>
    <w:rsid w:val="004B3355"/>
    <w:rsid w:val="004C322D"/>
    <w:rsid w:val="004C3BD2"/>
    <w:rsid w:val="004D0842"/>
    <w:rsid w:val="004F3DFF"/>
    <w:rsid w:val="004F4B93"/>
    <w:rsid w:val="005234BB"/>
    <w:rsid w:val="005257F8"/>
    <w:rsid w:val="00536349"/>
    <w:rsid w:val="0055253D"/>
    <w:rsid w:val="00555AC9"/>
    <w:rsid w:val="0056060F"/>
    <w:rsid w:val="0056332A"/>
    <w:rsid w:val="00564736"/>
    <w:rsid w:val="00570F9A"/>
    <w:rsid w:val="00574988"/>
    <w:rsid w:val="00591B56"/>
    <w:rsid w:val="005A7010"/>
    <w:rsid w:val="005A766A"/>
    <w:rsid w:val="005C3A1E"/>
    <w:rsid w:val="005C3B42"/>
    <w:rsid w:val="005C5548"/>
    <w:rsid w:val="005D1D52"/>
    <w:rsid w:val="005E7911"/>
    <w:rsid w:val="005F29B4"/>
    <w:rsid w:val="005F4D6F"/>
    <w:rsid w:val="0061410B"/>
    <w:rsid w:val="00620971"/>
    <w:rsid w:val="00620C60"/>
    <w:rsid w:val="0063063E"/>
    <w:rsid w:val="00637229"/>
    <w:rsid w:val="006460D5"/>
    <w:rsid w:val="006639E4"/>
    <w:rsid w:val="006655EE"/>
    <w:rsid w:val="00665867"/>
    <w:rsid w:val="00677B7D"/>
    <w:rsid w:val="00680711"/>
    <w:rsid w:val="00690102"/>
    <w:rsid w:val="006944BD"/>
    <w:rsid w:val="00695F3D"/>
    <w:rsid w:val="006A36E7"/>
    <w:rsid w:val="006B7F16"/>
    <w:rsid w:val="006E1F54"/>
    <w:rsid w:val="006E27C7"/>
    <w:rsid w:val="006F30DD"/>
    <w:rsid w:val="006F5A5D"/>
    <w:rsid w:val="006F613E"/>
    <w:rsid w:val="0071086B"/>
    <w:rsid w:val="00714807"/>
    <w:rsid w:val="007161DE"/>
    <w:rsid w:val="007227D9"/>
    <w:rsid w:val="007275EC"/>
    <w:rsid w:val="007331FC"/>
    <w:rsid w:val="007417F6"/>
    <w:rsid w:val="00744BDE"/>
    <w:rsid w:val="00761E2B"/>
    <w:rsid w:val="00770FFD"/>
    <w:rsid w:val="00784F12"/>
    <w:rsid w:val="007A6A07"/>
    <w:rsid w:val="007B5FE6"/>
    <w:rsid w:val="007D1497"/>
    <w:rsid w:val="007F7269"/>
    <w:rsid w:val="008028EC"/>
    <w:rsid w:val="008368C6"/>
    <w:rsid w:val="00850625"/>
    <w:rsid w:val="00855048"/>
    <w:rsid w:val="00866CE4"/>
    <w:rsid w:val="008720FE"/>
    <w:rsid w:val="008869A2"/>
    <w:rsid w:val="00897228"/>
    <w:rsid w:val="008A2C3C"/>
    <w:rsid w:val="008A50EA"/>
    <w:rsid w:val="008B3F5D"/>
    <w:rsid w:val="008E2DA3"/>
    <w:rsid w:val="008E3B18"/>
    <w:rsid w:val="008F4D62"/>
    <w:rsid w:val="008F5FA8"/>
    <w:rsid w:val="009004ED"/>
    <w:rsid w:val="0091659B"/>
    <w:rsid w:val="00917190"/>
    <w:rsid w:val="00925B0A"/>
    <w:rsid w:val="00935EDD"/>
    <w:rsid w:val="009518EF"/>
    <w:rsid w:val="00955A7D"/>
    <w:rsid w:val="009574CC"/>
    <w:rsid w:val="00957738"/>
    <w:rsid w:val="00962225"/>
    <w:rsid w:val="00981DEB"/>
    <w:rsid w:val="009A1BCF"/>
    <w:rsid w:val="009B2568"/>
    <w:rsid w:val="009B4F2D"/>
    <w:rsid w:val="009B6D26"/>
    <w:rsid w:val="009C7D67"/>
    <w:rsid w:val="009D2789"/>
    <w:rsid w:val="009F6ABB"/>
    <w:rsid w:val="00A10BF3"/>
    <w:rsid w:val="00A10E9E"/>
    <w:rsid w:val="00A12194"/>
    <w:rsid w:val="00A12B18"/>
    <w:rsid w:val="00A2290D"/>
    <w:rsid w:val="00A2309F"/>
    <w:rsid w:val="00A2676D"/>
    <w:rsid w:val="00A44212"/>
    <w:rsid w:val="00A51BAA"/>
    <w:rsid w:val="00A711DC"/>
    <w:rsid w:val="00A74D79"/>
    <w:rsid w:val="00A82288"/>
    <w:rsid w:val="00A870D1"/>
    <w:rsid w:val="00A87ABF"/>
    <w:rsid w:val="00A9336B"/>
    <w:rsid w:val="00A93CD2"/>
    <w:rsid w:val="00A95E96"/>
    <w:rsid w:val="00AA3560"/>
    <w:rsid w:val="00AA420D"/>
    <w:rsid w:val="00AA4218"/>
    <w:rsid w:val="00AC2FA7"/>
    <w:rsid w:val="00AC460F"/>
    <w:rsid w:val="00AD52E4"/>
    <w:rsid w:val="00AE1A4C"/>
    <w:rsid w:val="00B0140F"/>
    <w:rsid w:val="00B02669"/>
    <w:rsid w:val="00B175FB"/>
    <w:rsid w:val="00B4640E"/>
    <w:rsid w:val="00B67711"/>
    <w:rsid w:val="00B81782"/>
    <w:rsid w:val="00B85ED5"/>
    <w:rsid w:val="00B86C3E"/>
    <w:rsid w:val="00B93778"/>
    <w:rsid w:val="00B96827"/>
    <w:rsid w:val="00BB24D2"/>
    <w:rsid w:val="00BB42E2"/>
    <w:rsid w:val="00BB6301"/>
    <w:rsid w:val="00BC55BE"/>
    <w:rsid w:val="00BC6AA5"/>
    <w:rsid w:val="00BC71DB"/>
    <w:rsid w:val="00BC7ACE"/>
    <w:rsid w:val="00BD07F4"/>
    <w:rsid w:val="00BE21EF"/>
    <w:rsid w:val="00C0467F"/>
    <w:rsid w:val="00C14151"/>
    <w:rsid w:val="00C149E6"/>
    <w:rsid w:val="00C30DC3"/>
    <w:rsid w:val="00C3729A"/>
    <w:rsid w:val="00C431AA"/>
    <w:rsid w:val="00C52D59"/>
    <w:rsid w:val="00C57850"/>
    <w:rsid w:val="00C60BB2"/>
    <w:rsid w:val="00C61CE2"/>
    <w:rsid w:val="00C67402"/>
    <w:rsid w:val="00C823CA"/>
    <w:rsid w:val="00CA72E9"/>
    <w:rsid w:val="00CA7813"/>
    <w:rsid w:val="00CB61CA"/>
    <w:rsid w:val="00CC1FF3"/>
    <w:rsid w:val="00CE3375"/>
    <w:rsid w:val="00D046B3"/>
    <w:rsid w:val="00D07D6B"/>
    <w:rsid w:val="00D1706B"/>
    <w:rsid w:val="00D1713F"/>
    <w:rsid w:val="00D24D3B"/>
    <w:rsid w:val="00D24EEC"/>
    <w:rsid w:val="00D27696"/>
    <w:rsid w:val="00D32925"/>
    <w:rsid w:val="00D42B7D"/>
    <w:rsid w:val="00D5218C"/>
    <w:rsid w:val="00D57ADD"/>
    <w:rsid w:val="00D665D3"/>
    <w:rsid w:val="00D71A06"/>
    <w:rsid w:val="00D7483A"/>
    <w:rsid w:val="00D74A16"/>
    <w:rsid w:val="00D942EA"/>
    <w:rsid w:val="00DA4F3E"/>
    <w:rsid w:val="00DC5166"/>
    <w:rsid w:val="00DD2FCE"/>
    <w:rsid w:val="00E11DE5"/>
    <w:rsid w:val="00E24329"/>
    <w:rsid w:val="00E36B3A"/>
    <w:rsid w:val="00E42BF7"/>
    <w:rsid w:val="00E446C4"/>
    <w:rsid w:val="00E73391"/>
    <w:rsid w:val="00E739C9"/>
    <w:rsid w:val="00E7582A"/>
    <w:rsid w:val="00E77522"/>
    <w:rsid w:val="00E81327"/>
    <w:rsid w:val="00E83294"/>
    <w:rsid w:val="00E95815"/>
    <w:rsid w:val="00EA1B1D"/>
    <w:rsid w:val="00EA62DB"/>
    <w:rsid w:val="00EA76DA"/>
    <w:rsid w:val="00EB6BA4"/>
    <w:rsid w:val="00EC05B6"/>
    <w:rsid w:val="00EC365D"/>
    <w:rsid w:val="00EC3BA0"/>
    <w:rsid w:val="00EC48CE"/>
    <w:rsid w:val="00EC4F16"/>
    <w:rsid w:val="00ED1BF2"/>
    <w:rsid w:val="00EE2EB9"/>
    <w:rsid w:val="00EE4194"/>
    <w:rsid w:val="00F229DD"/>
    <w:rsid w:val="00F30479"/>
    <w:rsid w:val="00F322BC"/>
    <w:rsid w:val="00F34CEA"/>
    <w:rsid w:val="00F51EE3"/>
    <w:rsid w:val="00F52D18"/>
    <w:rsid w:val="00F62F2A"/>
    <w:rsid w:val="00F66B7D"/>
    <w:rsid w:val="00F77305"/>
    <w:rsid w:val="00F831F0"/>
    <w:rsid w:val="00F87B4E"/>
    <w:rsid w:val="00F933A5"/>
    <w:rsid w:val="00FB499B"/>
    <w:rsid w:val="00FD4EBD"/>
    <w:rsid w:val="00FD6FF6"/>
    <w:rsid w:val="00FE60D6"/>
    <w:rsid w:val="00FE7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93ED"/>
  <w15:chartTrackingRefBased/>
  <w15:docId w15:val="{8EA7AE52-0D62-4476-AC0F-2254E546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9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9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9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9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9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9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9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9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9C9"/>
    <w:rPr>
      <w:rFonts w:eastAsiaTheme="majorEastAsia" w:cstheme="majorBidi"/>
      <w:color w:val="272727" w:themeColor="text1" w:themeTint="D8"/>
    </w:rPr>
  </w:style>
  <w:style w:type="paragraph" w:styleId="Title">
    <w:name w:val="Title"/>
    <w:basedOn w:val="Normal"/>
    <w:next w:val="Normal"/>
    <w:link w:val="TitleChar"/>
    <w:uiPriority w:val="10"/>
    <w:qFormat/>
    <w:rsid w:val="00E73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9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9C9"/>
    <w:pPr>
      <w:spacing w:before="160"/>
      <w:jc w:val="center"/>
    </w:pPr>
    <w:rPr>
      <w:i/>
      <w:iCs/>
      <w:color w:val="404040" w:themeColor="text1" w:themeTint="BF"/>
    </w:rPr>
  </w:style>
  <w:style w:type="character" w:customStyle="1" w:styleId="QuoteChar">
    <w:name w:val="Quote Char"/>
    <w:basedOn w:val="DefaultParagraphFont"/>
    <w:link w:val="Quote"/>
    <w:uiPriority w:val="29"/>
    <w:rsid w:val="00E739C9"/>
    <w:rPr>
      <w:i/>
      <w:iCs/>
      <w:color w:val="404040" w:themeColor="text1" w:themeTint="BF"/>
    </w:rPr>
  </w:style>
  <w:style w:type="paragraph" w:styleId="ListParagraph">
    <w:name w:val="List Paragraph"/>
    <w:basedOn w:val="Normal"/>
    <w:uiPriority w:val="34"/>
    <w:qFormat/>
    <w:rsid w:val="00E739C9"/>
    <w:pPr>
      <w:ind w:left="720"/>
      <w:contextualSpacing/>
    </w:pPr>
  </w:style>
  <w:style w:type="character" w:styleId="IntenseEmphasis">
    <w:name w:val="Intense Emphasis"/>
    <w:basedOn w:val="DefaultParagraphFont"/>
    <w:uiPriority w:val="21"/>
    <w:qFormat/>
    <w:rsid w:val="00E739C9"/>
    <w:rPr>
      <w:i/>
      <w:iCs/>
      <w:color w:val="0F4761" w:themeColor="accent1" w:themeShade="BF"/>
    </w:rPr>
  </w:style>
  <w:style w:type="paragraph" w:styleId="IntenseQuote">
    <w:name w:val="Intense Quote"/>
    <w:basedOn w:val="Normal"/>
    <w:next w:val="Normal"/>
    <w:link w:val="IntenseQuoteChar"/>
    <w:uiPriority w:val="30"/>
    <w:qFormat/>
    <w:rsid w:val="00E73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9C9"/>
    <w:rPr>
      <w:i/>
      <w:iCs/>
      <w:color w:val="0F4761" w:themeColor="accent1" w:themeShade="BF"/>
    </w:rPr>
  </w:style>
  <w:style w:type="character" w:styleId="IntenseReference">
    <w:name w:val="Intense Reference"/>
    <w:basedOn w:val="DefaultParagraphFont"/>
    <w:uiPriority w:val="32"/>
    <w:qFormat/>
    <w:rsid w:val="00E739C9"/>
    <w:rPr>
      <w:b/>
      <w:bCs/>
      <w:smallCaps/>
      <w:color w:val="0F4761" w:themeColor="accent1" w:themeShade="BF"/>
      <w:spacing w:val="5"/>
    </w:rPr>
  </w:style>
  <w:style w:type="paragraph" w:styleId="Header">
    <w:name w:val="header"/>
    <w:basedOn w:val="Normal"/>
    <w:link w:val="HeaderChar"/>
    <w:uiPriority w:val="99"/>
    <w:unhideWhenUsed/>
    <w:rsid w:val="00B81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782"/>
  </w:style>
  <w:style w:type="paragraph" w:styleId="Footer">
    <w:name w:val="footer"/>
    <w:basedOn w:val="Normal"/>
    <w:link w:val="FooterChar"/>
    <w:uiPriority w:val="99"/>
    <w:unhideWhenUsed/>
    <w:rsid w:val="00B81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782"/>
  </w:style>
  <w:style w:type="paragraph" w:styleId="FootnoteText">
    <w:name w:val="footnote text"/>
    <w:basedOn w:val="Normal"/>
    <w:link w:val="FootnoteTextChar"/>
    <w:uiPriority w:val="99"/>
    <w:semiHidden/>
    <w:unhideWhenUsed/>
    <w:rsid w:val="00E243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329"/>
    <w:rPr>
      <w:sz w:val="20"/>
      <w:szCs w:val="20"/>
    </w:rPr>
  </w:style>
  <w:style w:type="character" w:styleId="FootnoteReference">
    <w:name w:val="footnote reference"/>
    <w:basedOn w:val="DefaultParagraphFont"/>
    <w:uiPriority w:val="99"/>
    <w:semiHidden/>
    <w:unhideWhenUsed/>
    <w:rsid w:val="00E24329"/>
    <w:rPr>
      <w:vertAlign w:val="superscript"/>
    </w:rPr>
  </w:style>
  <w:style w:type="paragraph" w:styleId="EndnoteText">
    <w:name w:val="endnote text"/>
    <w:basedOn w:val="Normal"/>
    <w:link w:val="EndnoteTextChar"/>
    <w:uiPriority w:val="99"/>
    <w:semiHidden/>
    <w:unhideWhenUsed/>
    <w:rsid w:val="00D74A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4A16"/>
    <w:rPr>
      <w:sz w:val="20"/>
      <w:szCs w:val="20"/>
    </w:rPr>
  </w:style>
  <w:style w:type="character" w:styleId="EndnoteReference">
    <w:name w:val="endnote reference"/>
    <w:basedOn w:val="DefaultParagraphFont"/>
    <w:uiPriority w:val="99"/>
    <w:semiHidden/>
    <w:unhideWhenUsed/>
    <w:rsid w:val="00D74A16"/>
    <w:rPr>
      <w:vertAlign w:val="superscript"/>
    </w:rPr>
  </w:style>
  <w:style w:type="character" w:styleId="Hyperlink">
    <w:name w:val="Hyperlink"/>
    <w:basedOn w:val="DefaultParagraphFont"/>
    <w:uiPriority w:val="99"/>
    <w:unhideWhenUsed/>
    <w:rsid w:val="005C3B42"/>
    <w:rPr>
      <w:color w:val="467886" w:themeColor="hyperlink"/>
      <w:u w:val="single"/>
    </w:rPr>
  </w:style>
  <w:style w:type="character" w:styleId="FollowedHyperlink">
    <w:name w:val="FollowedHyperlink"/>
    <w:basedOn w:val="DefaultParagraphFont"/>
    <w:uiPriority w:val="99"/>
    <w:semiHidden/>
    <w:unhideWhenUsed/>
    <w:rsid w:val="005C3B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nysba.org/wp-content/uploads/2026/08/NYSBA-NY-Rules-of-Professional-Conduct-August-10-2026.pdf" TargetMode="External"/><Relationship Id="rId1" Type="http://schemas.openxmlformats.org/officeDocument/2006/relationships/hyperlink" Target="https://www.nycourts.gov/rules/amendments-joint-rules-departments-appellate-di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BBD91-C9B3-4371-AB62-93C3C15AF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Gross</dc:creator>
  <cp:keywords/>
  <dc:description/>
  <cp:lastModifiedBy>Marjorie Gross</cp:lastModifiedBy>
  <cp:revision>43</cp:revision>
  <cp:lastPrinted>2026-08-19T22:40:00Z</cp:lastPrinted>
  <dcterms:created xsi:type="dcterms:W3CDTF">2026-08-19T13:23:00Z</dcterms:created>
  <dcterms:modified xsi:type="dcterms:W3CDTF">2026-08-20T00:17:00Z</dcterms:modified>
</cp:coreProperties>
</file>