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4B4B8" w14:textId="77777777" w:rsidR="00A21F02" w:rsidRDefault="00A21F02" w:rsidP="00A21F02">
      <w:pPr>
        <w:pStyle w:val="Header"/>
        <w:jc w:val="center"/>
        <w:rPr>
          <w:rFonts w:ascii="Aptos" w:hAnsi="Aptos"/>
          <w:b/>
          <w:bCs/>
          <w:color w:val="1D2228"/>
          <w:spacing w:val="-5"/>
          <w:sz w:val="36"/>
          <w:szCs w:val="36"/>
          <w:shd w:val="clear" w:color="auto" w:fill="FFFFFF"/>
        </w:rPr>
      </w:pPr>
      <w:r w:rsidRPr="00A21F02">
        <w:rPr>
          <w:rFonts w:ascii="Aptos" w:hAnsi="Aptos"/>
          <w:b/>
          <w:bCs/>
          <w:color w:val="1D2228"/>
          <w:spacing w:val="-5"/>
          <w:sz w:val="36"/>
          <w:szCs w:val="36"/>
          <w:shd w:val="clear" w:color="auto" w:fill="FFFFFF"/>
        </w:rPr>
        <w:t xml:space="preserve">Real Estate Case Law Update: </w:t>
      </w:r>
    </w:p>
    <w:p w14:paraId="2E02268F" w14:textId="4284D38E" w:rsidR="00A21F02" w:rsidRPr="00A21F02" w:rsidRDefault="00A21F02" w:rsidP="00A21F02">
      <w:pPr>
        <w:pStyle w:val="Header"/>
        <w:jc w:val="center"/>
        <w:rPr>
          <w:rFonts w:ascii="Aptos" w:hAnsi="Aptos"/>
          <w:b/>
          <w:bCs/>
          <w:color w:val="1D2228"/>
          <w:spacing w:val="-5"/>
          <w:sz w:val="36"/>
          <w:szCs w:val="36"/>
          <w:shd w:val="clear" w:color="auto" w:fill="FFFFFF"/>
        </w:rPr>
      </w:pPr>
      <w:r w:rsidRPr="00A21F02">
        <w:rPr>
          <w:rFonts w:ascii="Aptos" w:hAnsi="Aptos"/>
          <w:b/>
          <w:bCs/>
          <w:color w:val="1D2228"/>
          <w:spacing w:val="-5"/>
          <w:sz w:val="36"/>
          <w:szCs w:val="36"/>
          <w:shd w:val="clear" w:color="auto" w:fill="FFFFFF"/>
        </w:rPr>
        <w:t>A Review of Recent New York Real Estate Decisions</w:t>
      </w:r>
    </w:p>
    <w:p w14:paraId="1DFA7FB6" w14:textId="77777777" w:rsidR="00A21F02" w:rsidRDefault="00A21F02" w:rsidP="00932C9F">
      <w:pPr>
        <w:pStyle w:val="Header"/>
        <w:jc w:val="center"/>
        <w:rPr>
          <w:rFonts w:ascii="Aptos" w:hAnsi="Aptos"/>
          <w:b/>
          <w:bCs/>
          <w:color w:val="1D2228"/>
          <w:spacing w:val="-5"/>
          <w:sz w:val="36"/>
          <w:szCs w:val="36"/>
          <w:shd w:val="clear" w:color="auto" w:fill="FFFFFF"/>
        </w:rPr>
      </w:pPr>
    </w:p>
    <w:p w14:paraId="7604B45C" w14:textId="4A1836C8" w:rsidR="00932C9F" w:rsidRPr="00A21F02" w:rsidRDefault="00A21F02" w:rsidP="00932C9F">
      <w:pPr>
        <w:pStyle w:val="Header"/>
        <w:jc w:val="center"/>
        <w:rPr>
          <w:rFonts w:ascii="Aptos" w:hAnsi="Aptos"/>
          <w:b/>
          <w:bCs/>
          <w:color w:val="1D2228"/>
          <w:spacing w:val="-5"/>
          <w:sz w:val="28"/>
          <w:szCs w:val="28"/>
          <w:shd w:val="clear" w:color="auto" w:fill="FFFFFF"/>
        </w:rPr>
      </w:pPr>
      <w:r w:rsidRPr="00A21F02">
        <w:rPr>
          <w:rFonts w:ascii="Aptos" w:hAnsi="Aptos"/>
          <w:b/>
          <w:bCs/>
          <w:color w:val="1D2228"/>
          <w:spacing w:val="-5"/>
          <w:sz w:val="28"/>
          <w:szCs w:val="28"/>
          <w:shd w:val="clear" w:color="auto" w:fill="FFFFFF"/>
        </w:rPr>
        <w:t xml:space="preserve">St. John’s University School of Law  </w:t>
      </w:r>
    </w:p>
    <w:p w14:paraId="7CEA435B" w14:textId="38325D56" w:rsidR="00A21F02" w:rsidRPr="00A21F02" w:rsidRDefault="00A21F02" w:rsidP="00932C9F">
      <w:pPr>
        <w:pStyle w:val="Header"/>
        <w:jc w:val="center"/>
        <w:rPr>
          <w:rFonts w:ascii="Aptos" w:hAnsi="Aptos"/>
          <w:b/>
          <w:bCs/>
          <w:color w:val="1D2228"/>
          <w:spacing w:val="-5"/>
          <w:sz w:val="28"/>
          <w:szCs w:val="28"/>
          <w:shd w:val="clear" w:color="auto" w:fill="FFFFFF"/>
        </w:rPr>
      </w:pPr>
      <w:r w:rsidRPr="00A21F02">
        <w:rPr>
          <w:rFonts w:ascii="Aptos" w:hAnsi="Aptos"/>
          <w:b/>
          <w:bCs/>
          <w:color w:val="1D2228"/>
          <w:spacing w:val="-5"/>
          <w:sz w:val="28"/>
          <w:szCs w:val="28"/>
          <w:shd w:val="clear" w:color="auto" w:fill="FFFFFF"/>
        </w:rPr>
        <w:t>September 10, 2026</w:t>
      </w:r>
    </w:p>
    <w:p w14:paraId="5D50C491" w14:textId="77777777" w:rsidR="00932C9F" w:rsidRPr="00932C9F" w:rsidRDefault="00932C9F" w:rsidP="00932C9F">
      <w:pPr>
        <w:pStyle w:val="Header"/>
        <w:jc w:val="center"/>
        <w:rPr>
          <w:rFonts w:ascii="Aptos" w:hAnsi="Aptos"/>
          <w:b/>
          <w:bCs/>
          <w:color w:val="1D2228"/>
          <w:spacing w:val="-5"/>
          <w:sz w:val="28"/>
          <w:szCs w:val="28"/>
          <w:shd w:val="clear" w:color="auto" w:fill="FFFFFF"/>
        </w:rPr>
      </w:pPr>
    </w:p>
    <w:p w14:paraId="46BF6DE0" w14:textId="4910C9EB" w:rsidR="007E58FD" w:rsidRDefault="00932C9F" w:rsidP="007E58FD">
      <w:pPr>
        <w:pStyle w:val="Header"/>
        <w:rPr>
          <w:rFonts w:ascii="Aptos" w:hAnsi="Aptos"/>
          <w:color w:val="1D2228"/>
          <w:spacing w:val="-5"/>
          <w:shd w:val="clear" w:color="auto" w:fill="FFFFFF"/>
        </w:rPr>
      </w:pPr>
      <w:r>
        <w:rPr>
          <w:rFonts w:ascii="Aptos" w:hAnsi="Aptos"/>
          <w:color w:val="1D2228"/>
          <w:spacing w:val="-5"/>
          <w:shd w:val="clear" w:color="auto" w:fill="FFFFFF"/>
        </w:rPr>
        <w:t xml:space="preserve">Speaker: David </w:t>
      </w:r>
      <w:r w:rsidR="00A24A54">
        <w:rPr>
          <w:rFonts w:ascii="Aptos" w:hAnsi="Aptos"/>
          <w:color w:val="1D2228"/>
          <w:spacing w:val="-5"/>
          <w:shd w:val="clear" w:color="auto" w:fill="FFFFFF"/>
        </w:rPr>
        <w:t xml:space="preserve">C. </w:t>
      </w:r>
      <w:r>
        <w:rPr>
          <w:rFonts w:ascii="Aptos" w:hAnsi="Aptos"/>
          <w:color w:val="1D2228"/>
          <w:spacing w:val="-5"/>
          <w:shd w:val="clear" w:color="auto" w:fill="FFFFFF"/>
        </w:rPr>
        <w:t xml:space="preserve">Mineo, Esq. </w:t>
      </w:r>
      <w:r w:rsidR="00A21F02">
        <w:rPr>
          <w:rFonts w:ascii="Aptos" w:hAnsi="Aptos"/>
          <w:color w:val="1D2228"/>
          <w:spacing w:val="-5"/>
          <w:shd w:val="clear" w:color="auto" w:fill="FFFFFF"/>
        </w:rPr>
        <w:t>CCEP</w:t>
      </w:r>
      <w:r>
        <w:rPr>
          <w:rFonts w:ascii="Aptos" w:hAnsi="Aptos"/>
          <w:color w:val="1D2228"/>
          <w:spacing w:val="-5"/>
          <w:shd w:val="clear" w:color="auto" w:fill="FFFFFF"/>
        </w:rPr>
        <w:t>, Chief Compliance Officer, Madison Title, Lakewood, N</w:t>
      </w:r>
      <w:r w:rsidR="00A21F02">
        <w:rPr>
          <w:rFonts w:ascii="Aptos" w:hAnsi="Aptos"/>
          <w:color w:val="1D2228"/>
          <w:spacing w:val="-5"/>
          <w:shd w:val="clear" w:color="auto" w:fill="FFFFFF"/>
        </w:rPr>
        <w:t>J</w:t>
      </w:r>
    </w:p>
    <w:p w14:paraId="6EE0B6F6" w14:textId="77777777" w:rsidR="007E58FD" w:rsidRPr="007E58FD" w:rsidRDefault="007E58FD" w:rsidP="007E58FD">
      <w:pPr>
        <w:pStyle w:val="Header"/>
      </w:pPr>
    </w:p>
    <w:p w14:paraId="47C7A908" w14:textId="1B1A0D9C" w:rsidR="001C7E9C" w:rsidRDefault="00C06C5D" w:rsidP="001C7E9C">
      <w:pPr>
        <w:rPr>
          <w:b/>
          <w:bCs/>
          <w:u w:val="single"/>
        </w:rPr>
      </w:pPr>
      <w:r>
        <w:rPr>
          <w:b/>
          <w:bCs/>
          <w:u w:val="single"/>
        </w:rPr>
        <w:t xml:space="preserve">1. </w:t>
      </w:r>
      <w:r w:rsidR="001C7E9C" w:rsidRPr="008B39F7">
        <w:rPr>
          <w:b/>
          <w:bCs/>
          <w:u w:val="single"/>
        </w:rPr>
        <w:t>EASEMENTS</w:t>
      </w:r>
    </w:p>
    <w:p w14:paraId="44B5ABFF" w14:textId="3E7CF7C2" w:rsidR="00E212BE" w:rsidRPr="00CF7B32" w:rsidRDefault="00E212BE" w:rsidP="001C7E9C">
      <w:pPr>
        <w:rPr>
          <w:b/>
          <w:bCs/>
          <w:u w:val="single"/>
        </w:rPr>
      </w:pPr>
      <w:r w:rsidRPr="00CF7B32">
        <w:rPr>
          <w:b/>
          <w:bCs/>
          <w:u w:val="single"/>
        </w:rPr>
        <w:t>Commercial Driveways</w:t>
      </w:r>
    </w:p>
    <w:p w14:paraId="51AC73C5" w14:textId="1E38EDB2" w:rsidR="001C7E9C" w:rsidRDefault="001C7E9C" w:rsidP="001C7E9C">
      <w:r w:rsidRPr="004C63BF">
        <w:rPr>
          <w:u w:val="single"/>
        </w:rPr>
        <w:t>Sammy Props., Inc. v. Al Saleh Assocs., LLC</w:t>
      </w:r>
      <w:r w:rsidRPr="004C63BF">
        <w:t xml:space="preserve">, </w:t>
      </w:r>
      <w:r>
        <w:t xml:space="preserve">225 A.D. </w:t>
      </w:r>
      <w:r w:rsidR="00010F4C">
        <w:t>3d</w:t>
      </w:r>
      <w:r>
        <w:t xml:space="preserve"> 815 (2</w:t>
      </w:r>
      <w:r w:rsidRPr="000623AE">
        <w:rPr>
          <w:vertAlign w:val="superscript"/>
        </w:rPr>
        <w:t>nd</w:t>
      </w:r>
      <w:r>
        <w:t xml:space="preserve"> Dep. 2024)</w:t>
      </w:r>
    </w:p>
    <w:p w14:paraId="5FE21A91" w14:textId="6CF3114B" w:rsidR="001C7E9C" w:rsidRDefault="001C7E9C" w:rsidP="001C7E9C">
      <w:pPr>
        <w:ind w:left="720"/>
      </w:pPr>
      <w:r>
        <w:t>Case involving a dispute over an easement agreement for a driveway.</w:t>
      </w:r>
    </w:p>
    <w:p w14:paraId="002209E4" w14:textId="098D1295" w:rsidR="001C7E9C" w:rsidRDefault="001C7E9C" w:rsidP="001C7E9C">
      <w:pPr>
        <w:ind w:left="720"/>
      </w:pPr>
      <w:r>
        <w:t>Supreme Court decision granted plaintiff permanent injunction enjo</w:t>
      </w:r>
      <w:r w:rsidR="00177729">
        <w:t>in</w:t>
      </w:r>
      <w:r>
        <w:t>ing defendant from interfering with plaintiff’s easement.</w:t>
      </w:r>
    </w:p>
    <w:p w14:paraId="34E221CE" w14:textId="432477E0" w:rsidR="001C7E9C" w:rsidRDefault="001C7E9C" w:rsidP="001C7E9C">
      <w:pPr>
        <w:ind w:left="720"/>
      </w:pPr>
      <w:r>
        <w:t xml:space="preserve"> Defendant</w:t>
      </w:r>
      <w:r w:rsidR="00C03C4D">
        <w:t>’</w:t>
      </w:r>
      <w:r>
        <w:t>s predecessors used the driveway as an ingress for over 20 years. Defendants purchased the property and installed blocks obstructing the entrance to the plaintiff’s property. Appellate Division reviewed requirements for an easement appurtenant:</w:t>
      </w:r>
    </w:p>
    <w:p w14:paraId="6237BB98" w14:textId="77777777" w:rsidR="001C7E9C" w:rsidRDefault="001C7E9C" w:rsidP="001C7E9C">
      <w:pPr>
        <w:pStyle w:val="ListParagraph"/>
        <w:numPr>
          <w:ilvl w:val="0"/>
          <w:numId w:val="1"/>
        </w:numPr>
      </w:pPr>
      <w:r>
        <w:t>The easement is conveyed in writing;</w:t>
      </w:r>
    </w:p>
    <w:p w14:paraId="0F24A3B1" w14:textId="77777777" w:rsidR="001C7E9C" w:rsidRDefault="001C7E9C" w:rsidP="001C7E9C">
      <w:pPr>
        <w:pStyle w:val="ListParagraph"/>
        <w:numPr>
          <w:ilvl w:val="0"/>
          <w:numId w:val="1"/>
        </w:numPr>
      </w:pPr>
      <w:r>
        <w:t>Is subscribed by the creator; and</w:t>
      </w:r>
    </w:p>
    <w:p w14:paraId="442A9C43" w14:textId="757747DA" w:rsidR="009964C3" w:rsidRDefault="001C7E9C" w:rsidP="009964C3">
      <w:pPr>
        <w:pStyle w:val="ListParagraph"/>
        <w:numPr>
          <w:ilvl w:val="0"/>
          <w:numId w:val="1"/>
        </w:numPr>
      </w:pPr>
      <w:r>
        <w:t>Burdens the servient estate for the benefit of the dominant estate through appurtenance clauses, even if it is not specifically mentioned in the deed.</w:t>
      </w:r>
    </w:p>
    <w:p w14:paraId="64E25A9C" w14:textId="77777777" w:rsidR="00225E38" w:rsidRPr="00CF7B32" w:rsidRDefault="00225E38" w:rsidP="00225E38">
      <w:pPr>
        <w:pStyle w:val="ListParagraph"/>
        <w:ind w:left="2880"/>
        <w:rPr>
          <w:b/>
          <w:bCs/>
        </w:rPr>
      </w:pPr>
    </w:p>
    <w:p w14:paraId="3003D3D6" w14:textId="5B39940F" w:rsidR="001C7E9C" w:rsidRPr="00CF7B32" w:rsidRDefault="001C7E9C" w:rsidP="001C7E9C">
      <w:pPr>
        <w:rPr>
          <w:b/>
          <w:bCs/>
          <w:u w:val="single"/>
        </w:rPr>
      </w:pPr>
      <w:r w:rsidRPr="00CF7B32">
        <w:rPr>
          <w:b/>
          <w:bCs/>
          <w:u w:val="single"/>
        </w:rPr>
        <w:t>Repair Contribution – the gold standard</w:t>
      </w:r>
    </w:p>
    <w:p w14:paraId="08670F34" w14:textId="01378242" w:rsidR="00E212BE" w:rsidRPr="007D029F" w:rsidRDefault="00E212BE" w:rsidP="00E212BE">
      <w:pPr>
        <w:rPr>
          <w:rFonts w:cstheme="minorHAnsi"/>
        </w:rPr>
      </w:pPr>
      <w:r w:rsidRPr="007D029F">
        <w:rPr>
          <w:rFonts w:cstheme="minorHAnsi"/>
          <w:u w:val="single"/>
        </w:rPr>
        <w:t>Highland Meadows Senior Hous. Dev. Fund Co., Inc. v. Westchester</w:t>
      </w:r>
      <w:r>
        <w:rPr>
          <w:rFonts w:cstheme="minorHAnsi"/>
          <w:u w:val="single"/>
        </w:rPr>
        <w:t xml:space="preserve"> </w:t>
      </w:r>
      <w:r w:rsidRPr="007D029F">
        <w:rPr>
          <w:rFonts w:cstheme="minorHAnsi"/>
          <w:u w:val="single"/>
        </w:rPr>
        <w:t>County Health Care Corp</w:t>
      </w:r>
      <w:r w:rsidRPr="007D029F">
        <w:rPr>
          <w:rFonts w:cstheme="minorHAnsi"/>
        </w:rPr>
        <w:t xml:space="preserve">., 226 </w:t>
      </w:r>
      <w:r w:rsidR="002D136E">
        <w:rPr>
          <w:rFonts w:cstheme="minorHAnsi"/>
        </w:rPr>
        <w:t>A.</w:t>
      </w:r>
      <w:r w:rsidRPr="007D029F">
        <w:rPr>
          <w:rFonts w:cstheme="minorHAnsi"/>
        </w:rPr>
        <w:t>D</w:t>
      </w:r>
      <w:r w:rsidR="002D136E">
        <w:rPr>
          <w:rFonts w:cstheme="minorHAnsi"/>
        </w:rPr>
        <w:t>.</w:t>
      </w:r>
      <w:r w:rsidR="00A9401E">
        <w:rPr>
          <w:rFonts w:cstheme="minorHAnsi"/>
        </w:rPr>
        <w:t xml:space="preserve"> </w:t>
      </w:r>
      <w:r w:rsidRPr="007D029F">
        <w:rPr>
          <w:rFonts w:cstheme="minorHAnsi"/>
        </w:rPr>
        <w:t>3d 883 (2</w:t>
      </w:r>
      <w:r w:rsidRPr="007D029F">
        <w:rPr>
          <w:rFonts w:cstheme="minorHAnsi"/>
          <w:vertAlign w:val="superscript"/>
        </w:rPr>
        <w:t>nd</w:t>
      </w:r>
      <w:r w:rsidRPr="007D029F">
        <w:rPr>
          <w:rFonts w:cstheme="minorHAnsi"/>
        </w:rPr>
        <w:t xml:space="preserve"> Dept. 2024). </w:t>
      </w:r>
    </w:p>
    <w:p w14:paraId="435CC52C" w14:textId="5425B930" w:rsidR="00CF7B32" w:rsidRPr="007D029F" w:rsidRDefault="00E212BE" w:rsidP="00E212BE">
      <w:pPr>
        <w:ind w:left="720"/>
        <w:rPr>
          <w:rFonts w:cstheme="minorHAnsi"/>
        </w:rPr>
      </w:pPr>
      <w:r w:rsidRPr="007D029F">
        <w:rPr>
          <w:rFonts w:cstheme="minorHAnsi"/>
        </w:rPr>
        <w:t>Property is subject to a reciprocal easement agreement dated November 13, 2013.  The agreement contained a cost sharing provision stating that the defendant shall pay 51.4% of the actual cost for any maintenance, repairs or service that is required to sustain an extend the useful life of the common area access driv</w:t>
      </w:r>
      <w:r w:rsidR="00186F17">
        <w:rPr>
          <w:rFonts w:cstheme="minorHAnsi"/>
        </w:rPr>
        <w:t>e</w:t>
      </w:r>
      <w:r w:rsidR="00887167">
        <w:rPr>
          <w:rFonts w:cstheme="minorHAnsi"/>
        </w:rPr>
        <w:t xml:space="preserve"> and for any actions </w:t>
      </w:r>
      <w:r w:rsidRPr="007D029F">
        <w:rPr>
          <w:rFonts w:cstheme="minorHAnsi"/>
        </w:rPr>
        <w:t xml:space="preserve">relating to the common access drive which may be required by any law, regulation, ordinance or governmental authority.  The agreement provided that if the expense of repair shall cost more than $10,000 the party doing the repair shall provide notice to the other party </w:t>
      </w:r>
      <w:r w:rsidRPr="007D029F">
        <w:rPr>
          <w:rFonts w:cstheme="minorHAnsi"/>
        </w:rPr>
        <w:lastRenderedPageBreak/>
        <w:t xml:space="preserve">with the description of the work.  Things deteriorated </w:t>
      </w:r>
      <w:r w:rsidR="008605E9">
        <w:rPr>
          <w:rFonts w:cstheme="minorHAnsi"/>
        </w:rPr>
        <w:t>quickly</w:t>
      </w:r>
      <w:r w:rsidRPr="007D029F">
        <w:rPr>
          <w:rFonts w:cstheme="minorHAnsi"/>
        </w:rPr>
        <w:t xml:space="preserve">.  </w:t>
      </w:r>
      <w:r w:rsidR="002120A4">
        <w:rPr>
          <w:rFonts w:cstheme="minorHAnsi"/>
        </w:rPr>
        <w:t xml:space="preserve">In </w:t>
      </w:r>
      <w:r w:rsidR="007B3DB4">
        <w:rPr>
          <w:rFonts w:cstheme="minorHAnsi"/>
        </w:rPr>
        <w:t>October 2026,</w:t>
      </w:r>
      <w:r w:rsidR="002120A4">
        <w:rPr>
          <w:rFonts w:cstheme="minorHAnsi"/>
        </w:rPr>
        <w:t xml:space="preserve"> the p</w:t>
      </w:r>
      <w:r w:rsidRPr="007D029F">
        <w:rPr>
          <w:rFonts w:cstheme="minorHAnsi"/>
        </w:rPr>
        <w:t xml:space="preserve">laintiff sent a bill to the defendant for 51.4% of $480,997.17 or $247,232.55.  </w:t>
      </w:r>
    </w:p>
    <w:p w14:paraId="0A2B7143" w14:textId="77777777" w:rsidR="00E212BE" w:rsidRDefault="00E212BE" w:rsidP="00E212BE">
      <w:pPr>
        <w:ind w:firstLine="720"/>
        <w:rPr>
          <w:rFonts w:cstheme="minorHAnsi"/>
        </w:rPr>
      </w:pPr>
      <w:r w:rsidRPr="00E212BE">
        <w:rPr>
          <w:rFonts w:cstheme="minorHAnsi"/>
          <w:u w:val="single"/>
        </w:rPr>
        <w:t>Held</w:t>
      </w:r>
      <w:r>
        <w:rPr>
          <w:rFonts w:cstheme="minorHAnsi"/>
        </w:rPr>
        <w:t>:</w:t>
      </w:r>
    </w:p>
    <w:p w14:paraId="31ABBA6B" w14:textId="211DD632" w:rsidR="00CF7B32" w:rsidRPr="007D029F" w:rsidRDefault="00E212BE" w:rsidP="00E212BE">
      <w:pPr>
        <w:ind w:left="720"/>
        <w:rPr>
          <w:rFonts w:cstheme="minorHAnsi"/>
        </w:rPr>
      </w:pPr>
      <w:r w:rsidRPr="007D029F">
        <w:rPr>
          <w:rFonts w:cstheme="minorHAnsi"/>
        </w:rPr>
        <w:t xml:space="preserve">The cost-sharing agreement provision in the easement agreement required the defendant to pay 51.4% of </w:t>
      </w:r>
      <w:r w:rsidR="00932C9F" w:rsidRPr="007D029F">
        <w:rPr>
          <w:rFonts w:cstheme="minorHAnsi"/>
        </w:rPr>
        <w:t>costs</w:t>
      </w:r>
      <w:r w:rsidRPr="007D029F">
        <w:rPr>
          <w:rFonts w:cstheme="minorHAnsi"/>
        </w:rPr>
        <w:t xml:space="preserve"> associated with maintaining, repairing, servicing the common access drive and contrary to the assertion of the defendant the agreement was not limited to only routine maintenance.  </w:t>
      </w:r>
    </w:p>
    <w:p w14:paraId="2A29FE13" w14:textId="7A04F977" w:rsidR="00283EC2" w:rsidRPr="00CF7B32" w:rsidRDefault="00CF7B32" w:rsidP="00283EC2">
      <w:pPr>
        <w:rPr>
          <w:b/>
          <w:bCs/>
          <w:u w:val="single"/>
        </w:rPr>
      </w:pPr>
      <w:r w:rsidRPr="00CF7B32">
        <w:rPr>
          <w:b/>
          <w:bCs/>
          <w:u w:val="single"/>
        </w:rPr>
        <w:t>Prescriptive Easements</w:t>
      </w:r>
    </w:p>
    <w:p w14:paraId="2804E09E" w14:textId="01639FC9" w:rsidR="00283EC2" w:rsidRDefault="00283EC2" w:rsidP="00283EC2">
      <w:r w:rsidRPr="006D768A">
        <w:rPr>
          <w:u w:val="single"/>
        </w:rPr>
        <w:t>JMMJ Dev., LLC v. Town of Greenport</w:t>
      </w:r>
      <w:r w:rsidRPr="006D768A">
        <w:t>, 222 A.D.</w:t>
      </w:r>
      <w:r w:rsidR="00A9401E">
        <w:t xml:space="preserve"> </w:t>
      </w:r>
      <w:r w:rsidRPr="006D768A">
        <w:t>3d 1281 (</w:t>
      </w:r>
      <w:r>
        <w:t>3</w:t>
      </w:r>
      <w:r w:rsidR="00193501">
        <w:rPr>
          <w:vertAlign w:val="superscript"/>
        </w:rPr>
        <w:t>rd</w:t>
      </w:r>
      <w:r>
        <w:t xml:space="preserve"> Dept</w:t>
      </w:r>
      <w:r w:rsidRPr="006D768A">
        <w:t>. 2023)</w:t>
      </w:r>
    </w:p>
    <w:p w14:paraId="5E29CC56" w14:textId="71BC812C" w:rsidR="00283EC2" w:rsidRPr="006D768A" w:rsidRDefault="00283EC2" w:rsidP="00283EC2">
      <w:pPr>
        <w:ind w:left="720"/>
      </w:pPr>
      <w:r>
        <w:t>P</w:t>
      </w:r>
      <w:r w:rsidRPr="006D768A">
        <w:t>laintiff, a limited liability company, bought property in the Town of Greenport from Alva Stalker. The property had sewer and water lines crossing it, which the defendant, the Town, claimed were under an easement. After purchasing the property, the plaintiff sued, claiming the Town had no valid easement and demanded the removal of the lines. The defendant countered, seeking a declaration that it had an easement. The court ruled in favor of the defendant, finding that the plaintiff had notice of the easement before purchasing the property and that the Town had a valid easement.</w:t>
      </w:r>
    </w:p>
    <w:p w14:paraId="65EAA8AB" w14:textId="1B4A91F1" w:rsidR="001C7E9C" w:rsidRDefault="00283EC2" w:rsidP="007E58FD">
      <w:pPr>
        <w:ind w:left="720"/>
      </w:pPr>
      <w:r w:rsidRPr="006D768A">
        <w:t>In 1979, the Town acquired an easement for sewer lines on the property and paid the Stalkers for it. In 2013, the property was surveyed, revealing the easement, and the plaintiff was made aware of this in 2016 during the purchase negotiations. Despite the easement not being recorded, the plaintiff's title insurance policy acknowledged it.</w:t>
      </w:r>
    </w:p>
    <w:p w14:paraId="683467CF" w14:textId="77777777" w:rsidR="00E15FBB" w:rsidRDefault="00E15FBB" w:rsidP="007E58FD">
      <w:pPr>
        <w:ind w:left="720"/>
      </w:pPr>
    </w:p>
    <w:p w14:paraId="4DD43007" w14:textId="77777777" w:rsidR="001C7E9C" w:rsidRPr="00CF7B32" w:rsidRDefault="001C7E9C" w:rsidP="001C7E9C">
      <w:pPr>
        <w:rPr>
          <w:b/>
          <w:bCs/>
          <w:u w:val="single"/>
        </w:rPr>
      </w:pPr>
      <w:r w:rsidRPr="00CF7B32">
        <w:rPr>
          <w:b/>
          <w:bCs/>
          <w:u w:val="single"/>
        </w:rPr>
        <w:t>EASEMENTS: PRESCRIPTIVE OR IMPLIED OR NEITHER?</w:t>
      </w:r>
    </w:p>
    <w:p w14:paraId="60436657" w14:textId="2F82585C" w:rsidR="001C7E9C" w:rsidRDefault="001C7E9C" w:rsidP="001C7E9C">
      <w:r w:rsidRPr="00382F4F">
        <w:rPr>
          <w:u w:val="single"/>
        </w:rPr>
        <w:t>LaBarge v. MJB Lake LLC</w:t>
      </w:r>
      <w:r w:rsidRPr="00382F4F">
        <w:t>, 220 A.D.</w:t>
      </w:r>
      <w:r w:rsidR="00A9401E">
        <w:t xml:space="preserve"> </w:t>
      </w:r>
      <w:r w:rsidRPr="00382F4F">
        <w:t>3d 1100 (</w:t>
      </w:r>
      <w:r>
        <w:t>3</w:t>
      </w:r>
      <w:r w:rsidRPr="005D5B93">
        <w:rPr>
          <w:vertAlign w:val="superscript"/>
        </w:rPr>
        <w:t>rd</w:t>
      </w:r>
      <w:r>
        <w:t xml:space="preserve"> Dept</w:t>
      </w:r>
      <w:r w:rsidRPr="00382F4F">
        <w:t>. 2023)</w:t>
      </w:r>
    </w:p>
    <w:p w14:paraId="14BA03BB" w14:textId="58BF78C9" w:rsidR="001C7E9C" w:rsidRDefault="001C7E9C" w:rsidP="001C7E9C">
      <w:pPr>
        <w:ind w:left="720"/>
      </w:pPr>
      <w:r w:rsidRPr="00382F4F">
        <w:t>Charles W. McCutchen owned several parcels of land near Lake Placid, including a camp and a lakefront lot with a dock, which he allowed the plaintiff</w:t>
      </w:r>
      <w:r>
        <w:t>, his friend,</w:t>
      </w:r>
      <w:r w:rsidRPr="00382F4F">
        <w:t xml:space="preserve"> to use. He also executed a will in 2018, granting the plaintiff a life estate in the lakefront cottage, but no specific provision for the dock lot. After McCutchen's death, the executors of his estate entered into a contract to sell the camp and dock lot to a defendant, Berkley. </w:t>
      </w:r>
      <w:r>
        <w:t xml:space="preserve">Plaintiff </w:t>
      </w:r>
      <w:r w:rsidRPr="00382F4F">
        <w:t>filed a lawsuit, seeking to claim an implied or prescriptive easement to use the dock lot.</w:t>
      </w:r>
    </w:p>
    <w:p w14:paraId="3F2DD488" w14:textId="77777777" w:rsidR="001C7E9C" w:rsidRPr="00382F4F" w:rsidRDefault="001C7E9C" w:rsidP="001C7E9C">
      <w:pPr>
        <w:ind w:left="720"/>
        <w:rPr>
          <w:u w:val="single"/>
        </w:rPr>
      </w:pPr>
      <w:r>
        <w:rPr>
          <w:u w:val="single"/>
        </w:rPr>
        <w:t>Held:</w:t>
      </w:r>
    </w:p>
    <w:p w14:paraId="5C3F36B4" w14:textId="77777777" w:rsidR="001C7E9C" w:rsidRDefault="001C7E9C" w:rsidP="001C7E9C">
      <w:pPr>
        <w:ind w:left="720"/>
      </w:pPr>
      <w:r w:rsidRPr="00382F4F">
        <w:t xml:space="preserve">The court ruled that McCutchen's will, which granted the plaintiff a life estate in the cottage, did not include the dock lot, and the language in the will reflected his intent to </w:t>
      </w:r>
      <w:r w:rsidRPr="00382F4F">
        <w:lastRenderedPageBreak/>
        <w:t xml:space="preserve">exclude the dock lot from her use. The court concluded that an easement by implication was not warranted because the plaintiff did not need the dock lot to enjoy the life estate. </w:t>
      </w:r>
    </w:p>
    <w:p w14:paraId="0022744E" w14:textId="77777777" w:rsidR="001C7E9C" w:rsidRPr="00382F4F" w:rsidRDefault="001C7E9C" w:rsidP="001C7E9C">
      <w:pPr>
        <w:ind w:left="720"/>
      </w:pPr>
      <w:r w:rsidRPr="00382F4F">
        <w:t xml:space="preserve">Additionally, the court found that the plaintiff's use of the dock lot during McCutchen's lifetime was permissive and not adverse, </w:t>
      </w:r>
      <w:r>
        <w:t>therefore her</w:t>
      </w:r>
      <w:r w:rsidRPr="00382F4F">
        <w:t xml:space="preserve"> claim for a prescriptive easement failed.</w:t>
      </w:r>
    </w:p>
    <w:p w14:paraId="44D490CE" w14:textId="77777777" w:rsidR="001C7E9C" w:rsidRDefault="001C7E9C" w:rsidP="001C7E9C">
      <w:pPr>
        <w:ind w:left="720"/>
      </w:pPr>
      <w:r>
        <w:t>The</w:t>
      </w:r>
      <w:r w:rsidRPr="00382F4F">
        <w:t xml:space="preserve"> court affirmed the</w:t>
      </w:r>
      <w:r>
        <w:t xml:space="preserve"> order</w:t>
      </w:r>
      <w:r w:rsidRPr="00382F4F">
        <w:t xml:space="preserve"> in favor of the defendants.</w:t>
      </w:r>
    </w:p>
    <w:p w14:paraId="49A1467C" w14:textId="77777777" w:rsidR="00CF7B32" w:rsidRDefault="00CF7B32" w:rsidP="00C87159"/>
    <w:p w14:paraId="2BE06463" w14:textId="3E235AC1" w:rsidR="00C87159" w:rsidRPr="00C87159" w:rsidRDefault="00C87159" w:rsidP="00C87159">
      <w:pPr>
        <w:rPr>
          <w:b/>
          <w:bCs/>
          <w:u w:val="single"/>
        </w:rPr>
      </w:pPr>
      <w:r w:rsidRPr="00C87159">
        <w:rPr>
          <w:b/>
          <w:bCs/>
          <w:u w:val="single"/>
        </w:rPr>
        <w:t>2. LEGAL MALPRACTICE</w:t>
      </w:r>
    </w:p>
    <w:p w14:paraId="0F7A918C" w14:textId="6530F4E0" w:rsidR="00283EC2" w:rsidRPr="00CF7B32" w:rsidRDefault="00283EC2" w:rsidP="00283EC2">
      <w:pPr>
        <w:rPr>
          <w:b/>
          <w:bCs/>
          <w:u w:val="single"/>
        </w:rPr>
      </w:pPr>
      <w:r w:rsidRPr="00CF7B32">
        <w:rPr>
          <w:b/>
          <w:bCs/>
          <w:u w:val="single"/>
        </w:rPr>
        <w:t>LAWYER- Liar</w:t>
      </w:r>
    </w:p>
    <w:p w14:paraId="1324C967" w14:textId="2BC7ABA1" w:rsidR="002D136E" w:rsidRPr="007D029F" w:rsidRDefault="002D136E" w:rsidP="002D136E">
      <w:pPr>
        <w:rPr>
          <w:rFonts w:cstheme="minorHAnsi"/>
        </w:rPr>
      </w:pPr>
      <w:r w:rsidRPr="007D029F">
        <w:rPr>
          <w:rFonts w:cstheme="minorHAnsi"/>
          <w:u w:val="single"/>
        </w:rPr>
        <w:t xml:space="preserve">Matter of </w:t>
      </w:r>
      <w:r w:rsidR="00177729">
        <w:rPr>
          <w:rFonts w:cstheme="minorHAnsi"/>
          <w:u w:val="single"/>
        </w:rPr>
        <w:t>E</w:t>
      </w:r>
      <w:r w:rsidRPr="007D029F">
        <w:rPr>
          <w:rFonts w:cstheme="minorHAnsi"/>
          <w:u w:val="single"/>
        </w:rPr>
        <w:t>theridge</w:t>
      </w:r>
      <w:r w:rsidRPr="007D029F">
        <w:rPr>
          <w:rFonts w:cstheme="minorHAnsi"/>
        </w:rPr>
        <w:t>, 231 A</w:t>
      </w:r>
      <w:r w:rsidR="00A9401E">
        <w:rPr>
          <w:rFonts w:cstheme="minorHAnsi"/>
        </w:rPr>
        <w:t>.</w:t>
      </w:r>
      <w:r w:rsidRPr="007D029F">
        <w:rPr>
          <w:rFonts w:cstheme="minorHAnsi"/>
        </w:rPr>
        <w:t>D</w:t>
      </w:r>
      <w:r w:rsidR="00A9401E">
        <w:rPr>
          <w:rFonts w:cstheme="minorHAnsi"/>
        </w:rPr>
        <w:t xml:space="preserve">. </w:t>
      </w:r>
      <w:r w:rsidRPr="007D029F">
        <w:rPr>
          <w:rFonts w:cstheme="minorHAnsi"/>
        </w:rPr>
        <w:t>3d 125 (1</w:t>
      </w:r>
      <w:r w:rsidRPr="007D029F">
        <w:rPr>
          <w:rFonts w:cstheme="minorHAnsi"/>
          <w:vertAlign w:val="superscript"/>
        </w:rPr>
        <w:t>st</w:t>
      </w:r>
      <w:r w:rsidRPr="007D029F">
        <w:rPr>
          <w:rFonts w:cstheme="minorHAnsi"/>
        </w:rPr>
        <w:t xml:space="preserve"> Dept. 2024).  </w:t>
      </w:r>
    </w:p>
    <w:p w14:paraId="61135A82" w14:textId="0391A75E" w:rsidR="002D136E" w:rsidRPr="007D029F" w:rsidRDefault="002D136E" w:rsidP="002D136E">
      <w:pPr>
        <w:ind w:left="720"/>
        <w:rPr>
          <w:rFonts w:cstheme="minorHAnsi"/>
        </w:rPr>
      </w:pPr>
      <w:r w:rsidRPr="007D029F">
        <w:rPr>
          <w:rFonts w:cstheme="minorHAnsi"/>
        </w:rPr>
        <w:t xml:space="preserve">The lawyer received proceeds from a closing.  The attorney then paid the client $25,000 but informed the client that he was withholding the balance of her funds while awaiting “official written communication from the City of New York and the Internal Revenue Service that the liens and taxes related to the sale had been paid.”  Thereafter long after the account had been depleted the attorney informed the client that he was legally obligated to withhold her funds to insure that “federal and state transfer taxes and capital gains taxes were paid.”  Respondent then borrowed some money from a friend to pay the client some of it but stated that he was holding the proceeds until “the estate tax settlement letter is provided attesting to the fact that all taxes related to the sale have been reconciled.”  When notified of the complaint respondent contacted his attorney and attempted to persuade her to withdraw the complaint.  The Committee charged the </w:t>
      </w:r>
      <w:r w:rsidR="006A21E9">
        <w:rPr>
          <w:rFonts w:cstheme="minorHAnsi"/>
        </w:rPr>
        <w:t>attorney</w:t>
      </w:r>
      <w:r w:rsidRPr="007D029F">
        <w:rPr>
          <w:rFonts w:cstheme="minorHAnsi"/>
        </w:rPr>
        <w:t xml:space="preserve"> with averting more </w:t>
      </w:r>
      <w:r w:rsidR="00932C9F" w:rsidRPr="007D029F">
        <w:rPr>
          <w:rFonts w:cstheme="minorHAnsi"/>
        </w:rPr>
        <w:t>than</w:t>
      </w:r>
      <w:r w:rsidRPr="007D029F">
        <w:rPr>
          <w:rFonts w:cstheme="minorHAnsi"/>
        </w:rPr>
        <w:t xml:space="preserve"> $48,000 held in his attorney escrow account; coming</w:t>
      </w:r>
      <w:r w:rsidR="006A21E9">
        <w:rPr>
          <w:rFonts w:cstheme="minorHAnsi"/>
        </w:rPr>
        <w:t>ling</w:t>
      </w:r>
      <w:r w:rsidRPr="007D029F">
        <w:rPr>
          <w:rFonts w:cstheme="minorHAnsi"/>
        </w:rPr>
        <w:t xml:space="preserve"> those funds with personal funds; fai</w:t>
      </w:r>
      <w:r w:rsidR="0089068C">
        <w:rPr>
          <w:rFonts w:cstheme="minorHAnsi"/>
        </w:rPr>
        <w:t>lure</w:t>
      </w:r>
      <w:r w:rsidRPr="007D029F">
        <w:rPr>
          <w:rFonts w:cstheme="minorHAnsi"/>
        </w:rPr>
        <w:t xml:space="preserve"> to promptly deliver funds owed to his client as requested; ma</w:t>
      </w:r>
      <w:r w:rsidR="0089068C">
        <w:rPr>
          <w:rFonts w:cstheme="minorHAnsi"/>
        </w:rPr>
        <w:t>king</w:t>
      </w:r>
      <w:r w:rsidRPr="007D029F">
        <w:rPr>
          <w:rFonts w:cstheme="minorHAnsi"/>
        </w:rPr>
        <w:t xml:space="preserve"> numerous and substantial cash withdrawals from the escrow account; fai</w:t>
      </w:r>
      <w:r w:rsidR="0089068C">
        <w:rPr>
          <w:rFonts w:cstheme="minorHAnsi"/>
        </w:rPr>
        <w:t>lure</w:t>
      </w:r>
      <w:r w:rsidRPr="007D029F">
        <w:rPr>
          <w:rFonts w:cstheme="minorHAnsi"/>
        </w:rPr>
        <w:t xml:space="preserve"> to maintain required bookkeeping records; and </w:t>
      </w:r>
      <w:r w:rsidR="00507A7E">
        <w:rPr>
          <w:rFonts w:cstheme="minorHAnsi"/>
        </w:rPr>
        <w:t>having given</w:t>
      </w:r>
      <w:r w:rsidRPr="007D029F">
        <w:rPr>
          <w:rFonts w:cstheme="minorHAnsi"/>
        </w:rPr>
        <w:t xml:space="preserve"> false statements and testimony to his client.  Respondent moved to be given a suspension </w:t>
      </w:r>
      <w:r w:rsidRPr="007D029F">
        <w:rPr>
          <w:rFonts w:cstheme="minorHAnsi"/>
          <w:i/>
          <w:iCs/>
        </w:rPr>
        <w:t>nunc pro tunc</w:t>
      </w:r>
      <w:r w:rsidRPr="007D029F">
        <w:rPr>
          <w:rFonts w:cstheme="minorHAnsi"/>
        </w:rPr>
        <w:t xml:space="preserve"> to the date of his interim suspension and leave to apply for reinstatement immediately and participate in additional course work to educate him on his ethical responsibilities.  </w:t>
      </w:r>
    </w:p>
    <w:p w14:paraId="2619A752" w14:textId="77777777" w:rsidR="002D136E" w:rsidRDefault="002D136E" w:rsidP="002D136E">
      <w:pPr>
        <w:rPr>
          <w:rFonts w:cstheme="minorHAnsi"/>
        </w:rPr>
      </w:pPr>
      <w:r w:rsidRPr="007D029F">
        <w:rPr>
          <w:rFonts w:cstheme="minorHAnsi"/>
        </w:rPr>
        <w:tab/>
      </w:r>
      <w:r w:rsidRPr="007D029F">
        <w:rPr>
          <w:rFonts w:cstheme="minorHAnsi"/>
          <w:u w:val="single"/>
        </w:rPr>
        <w:t>Held</w:t>
      </w:r>
      <w:r>
        <w:rPr>
          <w:rFonts w:cstheme="minorHAnsi"/>
        </w:rPr>
        <w:t xml:space="preserve">: </w:t>
      </w:r>
    </w:p>
    <w:p w14:paraId="6EFAF033" w14:textId="05CE6EA2" w:rsidR="002D136E" w:rsidRPr="007D029F" w:rsidRDefault="002D136E" w:rsidP="002D136E">
      <w:pPr>
        <w:ind w:left="720"/>
        <w:rPr>
          <w:rFonts w:cstheme="minorHAnsi"/>
        </w:rPr>
      </w:pPr>
      <w:r w:rsidRPr="007D029F">
        <w:rPr>
          <w:rFonts w:cstheme="minorHAnsi"/>
        </w:rPr>
        <w:t>Regarding the claim of mitigation made by the attorney that he was subject to great stress</w:t>
      </w:r>
      <w:r w:rsidR="00507A7E">
        <w:rPr>
          <w:rFonts w:cstheme="minorHAnsi"/>
        </w:rPr>
        <w:t>,</w:t>
      </w:r>
      <w:r w:rsidRPr="007D029F">
        <w:rPr>
          <w:rFonts w:cstheme="minorHAnsi"/>
        </w:rPr>
        <w:t xml:space="preserve"> the Court held “the fact is that every person is confronted with stress arising out of the complications of daily life and the existence of personal problems and the </w:t>
      </w:r>
      <w:r w:rsidRPr="007D029F">
        <w:rPr>
          <w:rFonts w:cstheme="minorHAnsi"/>
        </w:rPr>
        <w:lastRenderedPageBreak/>
        <w:t xml:space="preserve">existence of personal problems absent an extraordinary situation not here apparent does not explain much less justify stealing money from clients.  The respondent is disbarred.”  </w:t>
      </w:r>
    </w:p>
    <w:p w14:paraId="2BDDD255" w14:textId="33F35CE2" w:rsidR="002D136E" w:rsidRDefault="002D136E" w:rsidP="002D136E">
      <w:pPr>
        <w:ind w:left="720"/>
        <w:rPr>
          <w:rFonts w:cstheme="minorHAnsi"/>
        </w:rPr>
      </w:pPr>
      <w:r w:rsidRPr="007D029F">
        <w:rPr>
          <w:rFonts w:cstheme="minorHAnsi"/>
        </w:rPr>
        <w:t xml:space="preserve">Note – The Court does state that the respondent cited other cases from other departments including </w:t>
      </w:r>
      <w:r w:rsidRPr="007D029F">
        <w:rPr>
          <w:rFonts w:cstheme="minorHAnsi"/>
          <w:u w:val="single"/>
        </w:rPr>
        <w:t>Matter of Reul</w:t>
      </w:r>
      <w:r w:rsidRPr="007D029F">
        <w:rPr>
          <w:rFonts w:cstheme="minorHAnsi"/>
        </w:rPr>
        <w:t>, 211 AD3d 1309 (3</w:t>
      </w:r>
      <w:r w:rsidRPr="007D029F">
        <w:rPr>
          <w:rFonts w:cstheme="minorHAnsi"/>
          <w:vertAlign w:val="superscript"/>
        </w:rPr>
        <w:t>rd</w:t>
      </w:r>
      <w:r w:rsidRPr="007D029F">
        <w:rPr>
          <w:rFonts w:cstheme="minorHAnsi"/>
        </w:rPr>
        <w:t xml:space="preserve"> Dept. 2022).  It should be noted that the Third Department is more understanding in its treatment of attorneys than almost all of the other departments.  </w:t>
      </w:r>
    </w:p>
    <w:p w14:paraId="1F4A0C51" w14:textId="77777777" w:rsidR="00CF7B32" w:rsidRDefault="00CF7B32" w:rsidP="00004E15">
      <w:pPr>
        <w:rPr>
          <w:rFonts w:cstheme="minorHAnsi"/>
        </w:rPr>
      </w:pPr>
    </w:p>
    <w:p w14:paraId="5541C5B5" w14:textId="12FC16D2" w:rsidR="00004E15" w:rsidRPr="00382F4F" w:rsidRDefault="00004E15" w:rsidP="00004E15">
      <w:r w:rsidRPr="00382F4F">
        <w:rPr>
          <w:u w:val="single"/>
        </w:rPr>
        <w:t>May Dock Lane, LLC v. Harras Bloom &amp; Archer, LLP</w:t>
      </w:r>
      <w:r w:rsidRPr="00382F4F">
        <w:t>, 222 A.D.</w:t>
      </w:r>
      <w:r>
        <w:t xml:space="preserve"> </w:t>
      </w:r>
      <w:r w:rsidRPr="00382F4F">
        <w:t>3d 635 (</w:t>
      </w:r>
      <w:r>
        <w:t>2</w:t>
      </w:r>
      <w:r w:rsidRPr="00F05C45">
        <w:rPr>
          <w:vertAlign w:val="superscript"/>
        </w:rPr>
        <w:t>nd</w:t>
      </w:r>
      <w:r>
        <w:t xml:space="preserve"> Dept</w:t>
      </w:r>
      <w:r w:rsidRPr="00382F4F">
        <w:t>. 2023)</w:t>
      </w:r>
    </w:p>
    <w:p w14:paraId="574AA172" w14:textId="77777777" w:rsidR="00004E15" w:rsidRPr="00382F4F" w:rsidRDefault="00004E15" w:rsidP="00004E15">
      <w:pPr>
        <w:ind w:left="720"/>
      </w:pPr>
      <w:r>
        <w:t>P</w:t>
      </w:r>
      <w:r w:rsidRPr="00382F4F">
        <w:t>laintiff sued Harras Bloom &amp; Archer, LLP, and Paul Bloom for legal malpractice, claiming that their deficient representation in a property transaction caused the plaintiff damages. Specifically, the plaintiff alleged that the defendants' errors prevented the subdivision of property into four lots, as planned, and caused issues with an easement related to a dock and beach area.</w:t>
      </w:r>
    </w:p>
    <w:p w14:paraId="65207372" w14:textId="77777777" w:rsidR="00004E15" w:rsidRDefault="00004E15" w:rsidP="00004E15">
      <w:pPr>
        <w:ind w:left="720"/>
      </w:pPr>
      <w:r>
        <w:t xml:space="preserve">Defendants </w:t>
      </w:r>
      <w:r w:rsidRPr="00382F4F">
        <w:t>moved to dismiss the legal malpractice claim, arguing that the plaintiff's allegations were speculative and conclusory.</w:t>
      </w:r>
    </w:p>
    <w:p w14:paraId="28F9BEDF" w14:textId="77777777" w:rsidR="00004E15" w:rsidRDefault="00004E15" w:rsidP="00004E15">
      <w:pPr>
        <w:ind w:left="720"/>
      </w:pPr>
      <w:r w:rsidRPr="00382F4F">
        <w:t xml:space="preserve"> The Supreme Court initially denied their motion, but the defendants appealed. The Appellate Division reversed the decision, finding that the plaintiff failed to state a valid malpractice claim.</w:t>
      </w:r>
    </w:p>
    <w:p w14:paraId="101C3E6A" w14:textId="77777777" w:rsidR="00004E15" w:rsidRPr="00382F4F" w:rsidRDefault="00004E15" w:rsidP="00004E15">
      <w:pPr>
        <w:ind w:left="720"/>
        <w:rPr>
          <w:u w:val="single"/>
        </w:rPr>
      </w:pPr>
      <w:r>
        <w:rPr>
          <w:u w:val="single"/>
        </w:rPr>
        <w:t>Held:</w:t>
      </w:r>
    </w:p>
    <w:p w14:paraId="26933456" w14:textId="1A724233" w:rsidR="00004E15" w:rsidRPr="00382F4F" w:rsidRDefault="00004E15" w:rsidP="00004E15">
      <w:pPr>
        <w:ind w:left="720"/>
      </w:pPr>
      <w:r w:rsidRPr="00382F4F">
        <w:t xml:space="preserve">The court concluded that the plaintiff's allegations about the easement issues and the subdivision were unsupported by sufficient facts. It </w:t>
      </w:r>
      <w:r w:rsidR="00932C9F" w:rsidRPr="00382F4F">
        <w:t>was also</w:t>
      </w:r>
      <w:r w:rsidRPr="00382F4F">
        <w:t xml:space="preserve"> found that the plaintiff had changed the subdivision plan on their own initiative, not because of the defendants' actions. Additionally, the plaintiff's claims about damages related to delays were not properly substantiated.</w:t>
      </w:r>
    </w:p>
    <w:p w14:paraId="784B9A2F" w14:textId="77777777" w:rsidR="00004E15" w:rsidRDefault="00004E15" w:rsidP="00004E15">
      <w:pPr>
        <w:ind w:left="720"/>
      </w:pPr>
      <w:r w:rsidRPr="00382F4F">
        <w:t>As a result, the court granted the defendants' motion to dismiss the malpractice claim, concluding that the plaintiff had not shown that the defendants' actions directly caused the alleged damages.</w:t>
      </w:r>
    </w:p>
    <w:p w14:paraId="2D3C0A28" w14:textId="77777777" w:rsidR="00004E15" w:rsidRDefault="00004E15" w:rsidP="00004E15">
      <w:pPr>
        <w:rPr>
          <w:rFonts w:cstheme="minorHAnsi"/>
        </w:rPr>
      </w:pPr>
    </w:p>
    <w:p w14:paraId="20A3818A" w14:textId="77777777" w:rsidR="00F57ECD" w:rsidRDefault="00F57ECD" w:rsidP="00004E15">
      <w:pPr>
        <w:rPr>
          <w:rFonts w:cstheme="minorHAnsi"/>
        </w:rPr>
      </w:pPr>
    </w:p>
    <w:p w14:paraId="008415A2" w14:textId="77777777" w:rsidR="00F57ECD" w:rsidRPr="007D029F" w:rsidRDefault="00F57ECD" w:rsidP="00004E15">
      <w:pPr>
        <w:rPr>
          <w:rFonts w:cstheme="minorHAnsi"/>
        </w:rPr>
      </w:pPr>
    </w:p>
    <w:p w14:paraId="569E7BDE" w14:textId="77777777" w:rsidR="009964C3" w:rsidRDefault="009964C3" w:rsidP="00283EC2">
      <w:pPr>
        <w:rPr>
          <w:b/>
          <w:bCs/>
        </w:rPr>
      </w:pPr>
    </w:p>
    <w:p w14:paraId="4FEBC737" w14:textId="2B78DC0C" w:rsidR="00283EC2" w:rsidRPr="00CF7B32" w:rsidRDefault="00283EC2" w:rsidP="00283EC2">
      <w:pPr>
        <w:rPr>
          <w:b/>
          <w:bCs/>
          <w:u w:val="single"/>
        </w:rPr>
      </w:pPr>
      <w:r w:rsidRPr="00CF7B32">
        <w:rPr>
          <w:b/>
          <w:bCs/>
          <w:u w:val="single"/>
        </w:rPr>
        <w:lastRenderedPageBreak/>
        <w:t>CONTRACTS / SPECIFIC PERFORMANCE / TORTIOUS INTERFERENCE / LEGAL MALPRACTICE - The kitchen sink.</w:t>
      </w:r>
    </w:p>
    <w:p w14:paraId="67B201BE" w14:textId="50765658" w:rsidR="002D136E" w:rsidRPr="007D029F" w:rsidRDefault="002D136E" w:rsidP="002D136E">
      <w:pPr>
        <w:rPr>
          <w:rFonts w:cstheme="minorHAnsi"/>
        </w:rPr>
      </w:pPr>
      <w:r w:rsidRPr="007D029F">
        <w:rPr>
          <w:rFonts w:cstheme="minorHAnsi"/>
          <w:u w:val="single"/>
        </w:rPr>
        <w:t>Kugel v. Reynolds</w:t>
      </w:r>
      <w:r w:rsidRPr="007D029F">
        <w:rPr>
          <w:rFonts w:cstheme="minorHAnsi"/>
        </w:rPr>
        <w:t>, 228 A</w:t>
      </w:r>
      <w:r w:rsidR="00A9401E">
        <w:rPr>
          <w:rFonts w:cstheme="minorHAnsi"/>
        </w:rPr>
        <w:t>.</w:t>
      </w:r>
      <w:r w:rsidRPr="007D029F">
        <w:rPr>
          <w:rFonts w:cstheme="minorHAnsi"/>
        </w:rPr>
        <w:t>D</w:t>
      </w:r>
      <w:r w:rsidR="00A9401E">
        <w:rPr>
          <w:rFonts w:cstheme="minorHAnsi"/>
        </w:rPr>
        <w:t xml:space="preserve">. </w:t>
      </w:r>
      <w:r w:rsidRPr="007D029F">
        <w:rPr>
          <w:rFonts w:cstheme="minorHAnsi"/>
        </w:rPr>
        <w:t>3d 743 (2</w:t>
      </w:r>
      <w:r w:rsidRPr="007D029F">
        <w:rPr>
          <w:rFonts w:cstheme="minorHAnsi"/>
          <w:vertAlign w:val="superscript"/>
        </w:rPr>
        <w:t>nd</w:t>
      </w:r>
      <w:r w:rsidRPr="007D029F">
        <w:rPr>
          <w:rFonts w:cstheme="minorHAnsi"/>
        </w:rPr>
        <w:t xml:space="preserve"> Dept. 2024).</w:t>
      </w:r>
    </w:p>
    <w:p w14:paraId="34E86ADC" w14:textId="4B61C069" w:rsidR="002D136E" w:rsidRPr="007D029F" w:rsidRDefault="002D136E" w:rsidP="002D136E">
      <w:pPr>
        <w:ind w:left="720"/>
        <w:rPr>
          <w:rFonts w:cstheme="minorHAnsi"/>
        </w:rPr>
      </w:pPr>
      <w:r w:rsidRPr="007D029F">
        <w:rPr>
          <w:rFonts w:cstheme="minorHAnsi"/>
        </w:rPr>
        <w:t xml:space="preserve">Kenneth Reynolds owns property in </w:t>
      </w:r>
      <w:r w:rsidR="00932C9F" w:rsidRPr="007D029F">
        <w:rPr>
          <w:rFonts w:cstheme="minorHAnsi"/>
        </w:rPr>
        <w:t>Brooklyn,</w:t>
      </w:r>
      <w:r w:rsidRPr="007D029F">
        <w:rPr>
          <w:rFonts w:cstheme="minorHAnsi"/>
        </w:rPr>
        <w:t xml:space="preserve"> and he contracts to sell the property to the plaintiff Moshe Kugel.  Not deterred by that</w:t>
      </w:r>
      <w:r w:rsidR="002E176F">
        <w:rPr>
          <w:rFonts w:cstheme="minorHAnsi"/>
        </w:rPr>
        <w:t>,</w:t>
      </w:r>
      <w:r w:rsidRPr="007D029F">
        <w:rPr>
          <w:rFonts w:cstheme="minorHAnsi"/>
        </w:rPr>
        <w:t xml:space="preserve"> Reynolds enters into separate contract to sell the property to Henry Ausch.  Ultimately Reynolds sold the property to Albany Marks LLC of which Ausch was the sole member.  On July 20, 2012, Reynolds’ attorney Traeco sent plaintiff’s attorney an e-mail informing plaintiff that Reynolds was cancelling the plaintiff’s contract of sale and returning the deposit.  Within an hour</w:t>
      </w:r>
      <w:r w:rsidR="002E176F">
        <w:rPr>
          <w:rFonts w:cstheme="minorHAnsi"/>
        </w:rPr>
        <w:t>,</w:t>
      </w:r>
      <w:r w:rsidRPr="007D029F">
        <w:rPr>
          <w:rFonts w:cstheme="minorHAnsi"/>
        </w:rPr>
        <w:t xml:space="preserve"> Kugel’s attorney Traeco sent a letter purporting to set </w:t>
      </w:r>
      <w:r w:rsidRPr="007D029F">
        <w:rPr>
          <w:rFonts w:cstheme="minorHAnsi"/>
          <w:i/>
          <w:iCs/>
        </w:rPr>
        <w:t>time of the essence</w:t>
      </w:r>
      <w:r w:rsidRPr="007D029F">
        <w:rPr>
          <w:rFonts w:cstheme="minorHAnsi"/>
        </w:rPr>
        <w:t xml:space="preserve"> on a closing date of July 25, 2012 (three days later) which also called for </w:t>
      </w:r>
      <w:r w:rsidR="00932C9F" w:rsidRPr="007D029F">
        <w:rPr>
          <w:rFonts w:cstheme="minorHAnsi"/>
        </w:rPr>
        <w:t>closing</w:t>
      </w:r>
      <w:r w:rsidRPr="007D029F">
        <w:rPr>
          <w:rFonts w:cstheme="minorHAnsi"/>
        </w:rPr>
        <w:t xml:space="preserve"> on a day of a religious observance.  Plaintiff claimed tortious interference on behalf of Ausch.  Plaintiff Kugel also asserted a cause of action against attorney Traeco claiming that Traeco’s cancellation of the contract was malpractice.  Reynolds also filed a claim of malpractice against </w:t>
      </w:r>
      <w:r w:rsidR="00A21F02" w:rsidRPr="007D029F">
        <w:rPr>
          <w:rFonts w:cstheme="minorHAnsi"/>
        </w:rPr>
        <w:t>Traeco,</w:t>
      </w:r>
      <w:r w:rsidRPr="007D029F">
        <w:rPr>
          <w:rFonts w:cstheme="minorHAnsi"/>
        </w:rPr>
        <w:t xml:space="preserve"> their attorney.  </w:t>
      </w:r>
    </w:p>
    <w:p w14:paraId="6B8E7889" w14:textId="77777777" w:rsidR="002D136E" w:rsidRDefault="002D136E" w:rsidP="002D136E">
      <w:pPr>
        <w:rPr>
          <w:rFonts w:cstheme="minorHAnsi"/>
        </w:rPr>
      </w:pPr>
      <w:r w:rsidRPr="007D029F">
        <w:rPr>
          <w:rFonts w:cstheme="minorHAnsi"/>
        </w:rPr>
        <w:tab/>
      </w:r>
      <w:r w:rsidRPr="007D029F">
        <w:rPr>
          <w:rFonts w:cstheme="minorHAnsi"/>
          <w:u w:val="single"/>
        </w:rPr>
        <w:t>Held</w:t>
      </w:r>
      <w:r>
        <w:rPr>
          <w:rFonts w:cstheme="minorHAnsi"/>
        </w:rPr>
        <w:t>:</w:t>
      </w:r>
    </w:p>
    <w:p w14:paraId="53583796" w14:textId="60244C42" w:rsidR="002D136E" w:rsidRPr="007D029F" w:rsidRDefault="002D136E" w:rsidP="002D136E">
      <w:pPr>
        <w:ind w:left="720"/>
        <w:rPr>
          <w:rFonts w:cstheme="minorHAnsi"/>
        </w:rPr>
      </w:pPr>
      <w:r w:rsidRPr="007D029F">
        <w:rPr>
          <w:rFonts w:cstheme="minorHAnsi"/>
        </w:rPr>
        <w:t xml:space="preserve">The plaintiff’s attorney received a letter from Traeco approximately one hour before the close of business on a Friday with a closing set for the following Wednesday, a day of religious observance.  Under the circumstances the letter purporting to set a </w:t>
      </w:r>
      <w:r w:rsidRPr="007D029F">
        <w:rPr>
          <w:rFonts w:cstheme="minorHAnsi"/>
          <w:i/>
          <w:iCs/>
        </w:rPr>
        <w:t>time of the essence</w:t>
      </w:r>
      <w:r w:rsidRPr="007D029F">
        <w:rPr>
          <w:rFonts w:cstheme="minorHAnsi"/>
        </w:rPr>
        <w:t xml:space="preserve"> did not give plaintiff a reasonable time to act.  </w:t>
      </w:r>
    </w:p>
    <w:p w14:paraId="5216C117" w14:textId="53B30393" w:rsidR="002D136E" w:rsidRPr="007D029F" w:rsidRDefault="002D136E" w:rsidP="002D136E">
      <w:pPr>
        <w:ind w:left="720"/>
        <w:rPr>
          <w:rFonts w:cstheme="minorHAnsi"/>
        </w:rPr>
      </w:pPr>
      <w:r w:rsidRPr="007D029F">
        <w:rPr>
          <w:rFonts w:cstheme="minorHAnsi"/>
        </w:rPr>
        <w:t xml:space="preserve">The tortious interference claim is rejected on the basis that the Ausch defendants demonstrated </w:t>
      </w:r>
      <w:r w:rsidRPr="007D029F">
        <w:rPr>
          <w:rFonts w:cstheme="minorHAnsi"/>
          <w:i/>
          <w:iCs/>
        </w:rPr>
        <w:t>prima facie</w:t>
      </w:r>
      <w:r w:rsidRPr="007D029F">
        <w:rPr>
          <w:rFonts w:cstheme="minorHAnsi"/>
        </w:rPr>
        <w:t xml:space="preserve"> that they did not know the plaintiff’s contract of sale was still in effect.  They had received notice that Reynolds’ attorney had cancelled the contract.  </w:t>
      </w:r>
    </w:p>
    <w:p w14:paraId="1ACAB307" w14:textId="159CF625" w:rsidR="002D136E" w:rsidRPr="007D029F" w:rsidRDefault="002D136E" w:rsidP="002D136E">
      <w:pPr>
        <w:ind w:left="720"/>
        <w:rPr>
          <w:rFonts w:cstheme="minorHAnsi"/>
        </w:rPr>
      </w:pPr>
      <w:r w:rsidRPr="007D029F">
        <w:rPr>
          <w:rFonts w:cstheme="minorHAnsi"/>
        </w:rPr>
        <w:t xml:space="preserve">The claim of malpractice by the Ausch defendants that Traeco committed malpractice is rejected.  The relationship between an attorney and his or her client is that of principal and agent—an attorney is not liable to a third party for inducing his or her principal to breach a contract with a third person at least where he or she is acting on behalf of his or her principal and within the scope of authority.  Accordingly an attorney is not liable to third parties for purported injuries caused by the services performed on behalf of a client or advice offered to that client.  </w:t>
      </w:r>
    </w:p>
    <w:p w14:paraId="38A2BC6B" w14:textId="77777777" w:rsidR="002D136E" w:rsidRPr="007D029F" w:rsidRDefault="002D136E" w:rsidP="002D136E">
      <w:pPr>
        <w:rPr>
          <w:rFonts w:cstheme="minorHAnsi"/>
        </w:rPr>
      </w:pPr>
      <w:r w:rsidRPr="007D029F">
        <w:rPr>
          <w:rFonts w:cstheme="minorHAnsi"/>
        </w:rPr>
        <w:tab/>
        <w:t xml:space="preserve">The plaintiff is entitled to summary judgment for specific performance of the contract.  </w:t>
      </w:r>
    </w:p>
    <w:p w14:paraId="1B0978BA" w14:textId="7C7A8FDD" w:rsidR="002D136E" w:rsidRPr="007D029F" w:rsidRDefault="002D136E" w:rsidP="00A9401E">
      <w:pPr>
        <w:ind w:left="720"/>
        <w:rPr>
          <w:rFonts w:cstheme="minorHAnsi"/>
        </w:rPr>
      </w:pPr>
      <w:r w:rsidRPr="007D029F">
        <w:rPr>
          <w:rFonts w:cstheme="minorHAnsi"/>
        </w:rPr>
        <w:t xml:space="preserve">The attorney Traeco is not entitled for summary judgment dismissing his client Reynolds claim for legal malpractice.  The claim of malpractice is based </w:t>
      </w:r>
      <w:r w:rsidR="00932C9F" w:rsidRPr="007D029F">
        <w:rPr>
          <w:rFonts w:cstheme="minorHAnsi"/>
        </w:rPr>
        <w:t>on</w:t>
      </w:r>
      <w:r w:rsidRPr="007D029F">
        <w:rPr>
          <w:rFonts w:cstheme="minorHAnsi"/>
        </w:rPr>
        <w:t xml:space="preserve"> 1) the attorney failed to exercise ordinary reasonable skill and knowledge commonly possessed by a member of </w:t>
      </w:r>
      <w:r w:rsidRPr="007D029F">
        <w:rPr>
          <w:rFonts w:cstheme="minorHAnsi"/>
        </w:rPr>
        <w:lastRenderedPageBreak/>
        <w:t xml:space="preserve">the legal profession; 2) the attorney’s breach of this duty proximately caused the plaintiff’s sustained actual or ascertainable damages.  Here Traeco cannot demonstrate that Reynolds could not satisfy at least one of these elements.  The claim of negligence and fraud asserted by the Ausch party against Traeco similarly dismissed.  Traeco demonstrated any alleged injury to the Ausch defendants was caused by Traeco’s services performed on its client’s behalf and within the scope of his authority as Reynold’s attorney and that there was no fraud, collusion or malice or tortious act. </w:t>
      </w:r>
    </w:p>
    <w:p w14:paraId="23AEBC1A" w14:textId="77777777" w:rsidR="00A9401E" w:rsidRPr="00283EC2" w:rsidRDefault="00A9401E" w:rsidP="00283EC2">
      <w:pPr>
        <w:ind w:left="720"/>
      </w:pPr>
    </w:p>
    <w:p w14:paraId="48C10B21" w14:textId="152A8F21" w:rsidR="009964C3" w:rsidRPr="009964C3" w:rsidRDefault="00C06C5D" w:rsidP="009964C3">
      <w:pPr>
        <w:rPr>
          <w:b/>
          <w:bCs/>
          <w:u w:val="single"/>
        </w:rPr>
      </w:pPr>
      <w:r>
        <w:rPr>
          <w:b/>
          <w:bCs/>
          <w:u w:val="single"/>
        </w:rPr>
        <w:t xml:space="preserve">3. </w:t>
      </w:r>
      <w:r w:rsidR="009964C3" w:rsidRPr="009964C3">
        <w:rPr>
          <w:b/>
          <w:bCs/>
          <w:u w:val="single"/>
        </w:rPr>
        <w:t>DEEDS / DESCRIPTIONS / SURVEYORS - Who knew?</w:t>
      </w:r>
    </w:p>
    <w:p w14:paraId="67B4C2A5" w14:textId="265C6FED" w:rsidR="002D136E" w:rsidRPr="007D029F" w:rsidRDefault="002D136E" w:rsidP="002D136E">
      <w:pPr>
        <w:rPr>
          <w:rFonts w:cstheme="minorHAnsi"/>
        </w:rPr>
      </w:pPr>
      <w:r w:rsidRPr="007D029F">
        <w:rPr>
          <w:rFonts w:cstheme="minorHAnsi"/>
          <w:u w:val="single"/>
        </w:rPr>
        <w:t>Sunnyview Farm LLC v. Levy Leverage, LLC</w:t>
      </w:r>
      <w:r w:rsidRPr="007D029F">
        <w:rPr>
          <w:rFonts w:cstheme="minorHAnsi"/>
        </w:rPr>
        <w:t>, 223 A</w:t>
      </w:r>
      <w:r w:rsidR="00A9401E">
        <w:rPr>
          <w:rFonts w:cstheme="minorHAnsi"/>
        </w:rPr>
        <w:t>.</w:t>
      </w:r>
      <w:r w:rsidRPr="007D029F">
        <w:rPr>
          <w:rFonts w:cstheme="minorHAnsi"/>
        </w:rPr>
        <w:t>D</w:t>
      </w:r>
      <w:r w:rsidR="00A9401E">
        <w:rPr>
          <w:rFonts w:cstheme="minorHAnsi"/>
        </w:rPr>
        <w:t xml:space="preserve">. </w:t>
      </w:r>
      <w:r w:rsidRPr="007D029F">
        <w:rPr>
          <w:rFonts w:cstheme="minorHAnsi"/>
        </w:rPr>
        <w:t>3d 955 (3</w:t>
      </w:r>
      <w:r w:rsidRPr="007D029F">
        <w:rPr>
          <w:rFonts w:cstheme="minorHAnsi"/>
          <w:vertAlign w:val="superscript"/>
        </w:rPr>
        <w:t>rd</w:t>
      </w:r>
      <w:r w:rsidRPr="007D029F">
        <w:rPr>
          <w:rFonts w:cstheme="minorHAnsi"/>
        </w:rPr>
        <w:t xml:space="preserve"> Dept. 2024).</w:t>
      </w:r>
    </w:p>
    <w:p w14:paraId="2A47FDA4" w14:textId="0A968F8E" w:rsidR="002D136E" w:rsidRPr="007D029F" w:rsidRDefault="002D136E" w:rsidP="002D136E">
      <w:pPr>
        <w:ind w:left="720"/>
        <w:rPr>
          <w:rFonts w:cstheme="minorHAnsi"/>
        </w:rPr>
      </w:pPr>
      <w:r w:rsidRPr="007D029F">
        <w:rPr>
          <w:rFonts w:cstheme="minorHAnsi"/>
        </w:rPr>
        <w:t xml:space="preserve">The defendant Levys transfer a piece of property known as the Schnackenberg property.  A dispute arose as to just what was conveyed.  The description used the same long-term description contained in numerous deeds together with a more modern description.  It was difficult to find the boundaries given in the description of the deed.  The plaintiffs – the Levys – claimed that ambiguity in the deed and accordingly extrinsic evidence is to be offered to determine just what was conveyed.  </w:t>
      </w:r>
      <w:r w:rsidR="008B7B91" w:rsidRPr="007D029F">
        <w:rPr>
          <w:rFonts w:cstheme="minorHAnsi"/>
        </w:rPr>
        <w:t>Defendant</w:t>
      </w:r>
      <w:r w:rsidRPr="007D029F">
        <w:rPr>
          <w:rFonts w:cstheme="minorHAnsi"/>
        </w:rPr>
        <w:t xml:space="preserve"> Greenberg commissioned a survey by Daniel Russell, a licensed professional surveyor, and maintained that this description bound the parties.  </w:t>
      </w:r>
    </w:p>
    <w:p w14:paraId="2C93057B" w14:textId="77777777" w:rsidR="002D136E" w:rsidRDefault="002D136E" w:rsidP="002D136E">
      <w:pPr>
        <w:rPr>
          <w:rFonts w:cstheme="minorHAnsi"/>
        </w:rPr>
      </w:pPr>
      <w:r w:rsidRPr="007D029F">
        <w:rPr>
          <w:rFonts w:cstheme="minorHAnsi"/>
        </w:rPr>
        <w:tab/>
      </w:r>
      <w:r w:rsidRPr="007D029F">
        <w:rPr>
          <w:rFonts w:cstheme="minorHAnsi"/>
          <w:u w:val="single"/>
        </w:rPr>
        <w:t>Held</w:t>
      </w:r>
      <w:r>
        <w:rPr>
          <w:rFonts w:cstheme="minorHAnsi"/>
        </w:rPr>
        <w:t xml:space="preserve">: </w:t>
      </w:r>
    </w:p>
    <w:p w14:paraId="1CF3896E" w14:textId="7B3719E8" w:rsidR="002D136E" w:rsidRPr="007D029F" w:rsidRDefault="002D136E" w:rsidP="002D136E">
      <w:pPr>
        <w:ind w:left="720"/>
        <w:rPr>
          <w:rFonts w:cstheme="minorHAnsi"/>
        </w:rPr>
      </w:pPr>
      <w:r w:rsidRPr="007D029F">
        <w:rPr>
          <w:rFonts w:cstheme="minorHAnsi"/>
        </w:rPr>
        <w:t xml:space="preserve">The issue is whether or not the description in the deed used was ambiguous or unambiguous.  Although it is admitted that the boundaries were difficult of location the deed itself was unambiguous so held the lower court.  The Appellate Division held “a deed description is adequate so long as it allows the property to be located even if an actual survey is required in order to do so.  The question is not whether there are errors in the description but whether the land can be identified with reasonable certainty </w:t>
      </w:r>
      <w:r w:rsidR="009423F5" w:rsidRPr="007D029F">
        <w:rPr>
          <w:rFonts w:cstheme="minorHAnsi"/>
        </w:rPr>
        <w:t>notwithstanding</w:t>
      </w:r>
      <w:r w:rsidRPr="007D029F">
        <w:rPr>
          <w:rFonts w:cstheme="minorHAnsi"/>
        </w:rPr>
        <w:t xml:space="preserve"> the </w:t>
      </w:r>
      <w:r w:rsidR="00287E7E" w:rsidRPr="007D029F">
        <w:rPr>
          <w:rFonts w:cstheme="minorHAnsi"/>
        </w:rPr>
        <w:t>errors.</w:t>
      </w:r>
      <w:r w:rsidRPr="007D029F">
        <w:rPr>
          <w:rFonts w:cstheme="minorHAnsi"/>
        </w:rPr>
        <w:t xml:space="preserve">  Despite the problems</w:t>
      </w:r>
      <w:r w:rsidR="00523951">
        <w:rPr>
          <w:rFonts w:cstheme="minorHAnsi"/>
        </w:rPr>
        <w:t>,</w:t>
      </w:r>
      <w:r w:rsidRPr="007D029F">
        <w:rPr>
          <w:rFonts w:cstheme="minorHAnsi"/>
        </w:rPr>
        <w:t xml:space="preserve"> the lower court held that the description was </w:t>
      </w:r>
      <w:r w:rsidR="00932C9F" w:rsidRPr="007D029F">
        <w:rPr>
          <w:rFonts w:cstheme="minorHAnsi"/>
        </w:rPr>
        <w:t>unambiguous</w:t>
      </w:r>
      <w:r w:rsidR="00523951">
        <w:rPr>
          <w:rFonts w:cstheme="minorHAnsi"/>
        </w:rPr>
        <w:t>.</w:t>
      </w:r>
      <w:r w:rsidR="00932C9F" w:rsidRPr="007D029F">
        <w:rPr>
          <w:rFonts w:cstheme="minorHAnsi"/>
        </w:rPr>
        <w:t xml:space="preserve"> </w:t>
      </w:r>
      <w:r w:rsidR="00523951">
        <w:rPr>
          <w:rFonts w:cstheme="minorHAnsi"/>
        </w:rPr>
        <w:t>N</w:t>
      </w:r>
      <w:r w:rsidRPr="007D029F">
        <w:rPr>
          <w:rFonts w:cstheme="minorHAnsi"/>
        </w:rPr>
        <w:t>otably</w:t>
      </w:r>
      <w:r w:rsidR="00754881">
        <w:rPr>
          <w:rFonts w:cstheme="minorHAnsi"/>
        </w:rPr>
        <w:t>,</w:t>
      </w:r>
      <w:r w:rsidRPr="007D029F">
        <w:rPr>
          <w:rFonts w:cstheme="minorHAnsi"/>
        </w:rPr>
        <w:t xml:space="preserve"> a deed description is not rendered ambiguous merely based on the absence of natural objects or artificial landmarks and in this case the language contained in the deed description sufficiently identifies the metes and bounds of the property by reference to adjoining parcels.  The issue then</w:t>
      </w:r>
      <w:r w:rsidR="00754881">
        <w:rPr>
          <w:rFonts w:cstheme="minorHAnsi"/>
        </w:rPr>
        <w:t xml:space="preserve">, </w:t>
      </w:r>
      <w:r w:rsidRPr="007D029F">
        <w:rPr>
          <w:rFonts w:cstheme="minorHAnsi"/>
        </w:rPr>
        <w:t>and so held by the Appellate Division</w:t>
      </w:r>
      <w:r w:rsidR="00754881">
        <w:rPr>
          <w:rFonts w:cstheme="minorHAnsi"/>
        </w:rPr>
        <w:t>,</w:t>
      </w:r>
      <w:r w:rsidRPr="007D029F">
        <w:rPr>
          <w:rFonts w:cstheme="minorHAnsi"/>
        </w:rPr>
        <w:t xml:space="preserve"> is not whether there are problems with the description but whether the description sufficiently identifies the parcel.  Here it did.  </w:t>
      </w:r>
    </w:p>
    <w:p w14:paraId="58A9655A" w14:textId="77777777" w:rsidR="00225E38" w:rsidRDefault="00225E38" w:rsidP="009964C3">
      <w:pPr>
        <w:ind w:left="720"/>
      </w:pPr>
    </w:p>
    <w:p w14:paraId="535A5531" w14:textId="77777777" w:rsidR="00CF7B32" w:rsidRPr="009964C3" w:rsidRDefault="00CF7B32" w:rsidP="009964C3">
      <w:pPr>
        <w:ind w:left="720"/>
      </w:pPr>
    </w:p>
    <w:p w14:paraId="6E6B3DFD" w14:textId="3978112E" w:rsidR="009964C3" w:rsidRPr="00B81B34" w:rsidRDefault="00C06C5D" w:rsidP="009964C3">
      <w:pPr>
        <w:rPr>
          <w:b/>
          <w:bCs/>
          <w:u w:val="single"/>
        </w:rPr>
      </w:pPr>
      <w:r>
        <w:rPr>
          <w:b/>
          <w:bCs/>
          <w:u w:val="single"/>
        </w:rPr>
        <w:lastRenderedPageBreak/>
        <w:t xml:space="preserve">4. </w:t>
      </w:r>
      <w:r w:rsidR="009964C3" w:rsidRPr="00B81B34">
        <w:rPr>
          <w:b/>
          <w:bCs/>
          <w:u w:val="single"/>
        </w:rPr>
        <w:t>BOUNDARY LINE</w:t>
      </w:r>
    </w:p>
    <w:p w14:paraId="2336149D" w14:textId="05FE9D2B" w:rsidR="009964C3" w:rsidRDefault="009964C3" w:rsidP="009964C3">
      <w:r w:rsidRPr="00A354D4">
        <w:rPr>
          <w:u w:val="single"/>
        </w:rPr>
        <w:t>Czenszak v. Iasello</w:t>
      </w:r>
      <w:r w:rsidRPr="00A354D4">
        <w:t>, 227 A.D.</w:t>
      </w:r>
      <w:r w:rsidR="00A9401E">
        <w:t xml:space="preserve"> </w:t>
      </w:r>
      <w:r w:rsidRPr="00A354D4">
        <w:t>3d 772 (</w:t>
      </w:r>
      <w:r>
        <w:t>2</w:t>
      </w:r>
      <w:r w:rsidRPr="00B81B34">
        <w:rPr>
          <w:vertAlign w:val="superscript"/>
        </w:rPr>
        <w:t>nd</w:t>
      </w:r>
      <w:r>
        <w:t xml:space="preserve"> Dept</w:t>
      </w:r>
      <w:r w:rsidRPr="00A354D4">
        <w:t>. 2024)</w:t>
      </w:r>
    </w:p>
    <w:p w14:paraId="6CC18EB1" w14:textId="4A8533D0" w:rsidR="009964C3" w:rsidRDefault="009964C3" w:rsidP="009964C3">
      <w:pPr>
        <w:ind w:left="720"/>
      </w:pPr>
      <w:r>
        <w:t>Action to quiet title that involved a property boundary dispute for a small strip of land</w:t>
      </w:r>
      <w:r w:rsidR="002D136E">
        <w:t>.</w:t>
      </w:r>
    </w:p>
    <w:p w14:paraId="35036703" w14:textId="4C3AEB2F" w:rsidR="00A9401E" w:rsidRDefault="009964C3" w:rsidP="009964C3">
      <w:pPr>
        <w:ind w:left="720"/>
      </w:pPr>
      <w:r>
        <w:t>Plaintiffs and defendants own adjoining properties separated by a cinder block wall boundary line that differs slightly from the recorded boundary line in the deeds. The boundary has been in place for over 10 years and agreed to by the parties’ predecessors in interest.</w:t>
      </w:r>
    </w:p>
    <w:p w14:paraId="124DF144" w14:textId="77777777" w:rsidR="009964C3" w:rsidRDefault="009964C3" w:rsidP="009964C3">
      <w:pPr>
        <w:ind w:left="720"/>
        <w:rPr>
          <w:u w:val="single"/>
        </w:rPr>
      </w:pPr>
      <w:r>
        <w:rPr>
          <w:u w:val="single"/>
        </w:rPr>
        <w:t>Held:</w:t>
      </w:r>
    </w:p>
    <w:p w14:paraId="532D77B2" w14:textId="77777777" w:rsidR="009964C3" w:rsidRDefault="009964C3" w:rsidP="009964C3">
      <w:pPr>
        <w:ind w:left="720"/>
      </w:pPr>
      <w:r>
        <w:t>The court denied defendant’s motion for summary judgment, searched the record, and awarded summary judgment to plaintiffs, declaring plaintiffs own the disputed property under the doctrine of practical location.</w:t>
      </w:r>
    </w:p>
    <w:p w14:paraId="62FE6E67" w14:textId="77777777" w:rsidR="00A9401E" w:rsidRDefault="00A9401E" w:rsidP="009964C3">
      <w:pPr>
        <w:rPr>
          <w:b/>
          <w:bCs/>
          <w:u w:val="single"/>
        </w:rPr>
      </w:pPr>
    </w:p>
    <w:p w14:paraId="494DD434" w14:textId="77777777" w:rsidR="00F57ECD" w:rsidRPr="00F05C45" w:rsidRDefault="00C06C5D" w:rsidP="00F57ECD">
      <w:pPr>
        <w:rPr>
          <w:b/>
          <w:bCs/>
          <w:u w:val="single"/>
        </w:rPr>
      </w:pPr>
      <w:r>
        <w:rPr>
          <w:b/>
          <w:bCs/>
          <w:u w:val="single"/>
        </w:rPr>
        <w:t xml:space="preserve">5. </w:t>
      </w:r>
      <w:r w:rsidR="00F57ECD" w:rsidRPr="00F05C45">
        <w:rPr>
          <w:b/>
          <w:bCs/>
          <w:u w:val="single"/>
        </w:rPr>
        <w:t xml:space="preserve">FORECLOSURE </w:t>
      </w:r>
    </w:p>
    <w:p w14:paraId="49D2A0A3" w14:textId="4E30F4C8" w:rsidR="00F57ECD" w:rsidRDefault="00F57ECD" w:rsidP="00F57ECD">
      <w:r w:rsidRPr="00345160">
        <w:rPr>
          <w:u w:val="single"/>
        </w:rPr>
        <w:t>Perelmuter v. LRM Builders, LLC</w:t>
      </w:r>
      <w:r w:rsidRPr="00345160">
        <w:t>, 230 A.D.3d 1165 (</w:t>
      </w:r>
      <w:r>
        <w:t>2</w:t>
      </w:r>
      <w:r w:rsidRPr="00F05C45">
        <w:rPr>
          <w:vertAlign w:val="superscript"/>
        </w:rPr>
        <w:t>nd</w:t>
      </w:r>
      <w:r>
        <w:t xml:space="preserve"> Dept</w:t>
      </w:r>
      <w:r w:rsidRPr="00382F4F">
        <w:t>.</w:t>
      </w:r>
      <w:r w:rsidRPr="00345160">
        <w:t xml:space="preserve"> 2024)</w:t>
      </w:r>
    </w:p>
    <w:p w14:paraId="30696D93" w14:textId="15666055" w:rsidR="00F57ECD" w:rsidRDefault="00F57ECD" w:rsidP="00F57ECD">
      <w:pPr>
        <w:ind w:left="720"/>
      </w:pPr>
      <w:r>
        <w:t xml:space="preserve">Nonparty </w:t>
      </w:r>
      <w:r w:rsidRPr="00345160">
        <w:t>MI had been the successful bidder at a foreclosure sale but failed to close by the law date due to title issues, including defects that would make the title unmarketable. MI's attorney raised concerns about the seller's failure to comply with procedural requirements, including proper service of the judgment of foreclosure and sale</w:t>
      </w:r>
      <w:r>
        <w:t xml:space="preserve"> and requested return of downpayment.</w:t>
      </w:r>
    </w:p>
    <w:p w14:paraId="579D6A81" w14:textId="77777777" w:rsidR="00F57ECD" w:rsidRPr="00345160" w:rsidRDefault="00F57ECD" w:rsidP="00F57ECD">
      <w:pPr>
        <w:ind w:left="720"/>
        <w:rPr>
          <w:u w:val="single"/>
        </w:rPr>
      </w:pPr>
      <w:r>
        <w:rPr>
          <w:u w:val="single"/>
        </w:rPr>
        <w:t>Held:</w:t>
      </w:r>
    </w:p>
    <w:p w14:paraId="4D0BC95A" w14:textId="77777777" w:rsidR="00F57ECD" w:rsidRDefault="00F57ECD" w:rsidP="00F57ECD">
      <w:pPr>
        <w:ind w:left="720"/>
      </w:pPr>
      <w:r>
        <w:t>The</w:t>
      </w:r>
      <w:r w:rsidRPr="00345160">
        <w:t xml:space="preserve"> Appellate Division reversed the Supreme Court's decision, ruling that the down payment from MI Buyer WB, LLC (MI) should be returned</w:t>
      </w:r>
      <w:r>
        <w:t>.</w:t>
      </w:r>
      <w:r w:rsidRPr="00345160">
        <w:t xml:space="preserve"> The court emphasized that to forfeit the down payment, the seller (plaintiff) must demonstrate that they were ready, willing, and able to perform on the closing date. </w:t>
      </w:r>
    </w:p>
    <w:p w14:paraId="58387083" w14:textId="77777777" w:rsidR="00F57ECD" w:rsidRDefault="00F57ECD" w:rsidP="00F57ECD">
      <w:pPr>
        <w:ind w:left="720"/>
      </w:pPr>
      <w:r w:rsidRPr="00345160">
        <w:t xml:space="preserve">The plaintiff, however, failed to prove this. Instead, MI provided evidence showing that the plaintiff could not transfer marketable title at the time of closing. </w:t>
      </w:r>
    </w:p>
    <w:p w14:paraId="0841443C" w14:textId="77777777" w:rsidR="00F57ECD" w:rsidRDefault="00F57ECD" w:rsidP="00F57ECD">
      <w:pPr>
        <w:ind w:left="720"/>
      </w:pPr>
      <w:r>
        <w:t>Th</w:t>
      </w:r>
      <w:r w:rsidRPr="00345160">
        <w:t>e court granted MI's motion for the return of the down payment, concluding that the plaintiff had not met its burden to show that they were prepared to close and transfer clear title.</w:t>
      </w:r>
    </w:p>
    <w:p w14:paraId="2D062739" w14:textId="77777777" w:rsidR="002177A9" w:rsidRPr="004F2F81" w:rsidRDefault="002177A9" w:rsidP="002177A9">
      <w:pPr>
        <w:rPr>
          <w:b/>
          <w:bCs/>
          <w:u w:val="single"/>
        </w:rPr>
      </w:pPr>
      <w:r w:rsidRPr="004F2F81">
        <w:rPr>
          <w:b/>
          <w:bCs/>
        </w:rPr>
        <w:t xml:space="preserve">*Note See </w:t>
      </w:r>
      <w:r w:rsidRPr="004F2F81">
        <w:rPr>
          <w:b/>
          <w:bCs/>
          <w:u w:val="single"/>
        </w:rPr>
        <w:t>Lane v. Chantilly Court</w:t>
      </w:r>
      <w:r>
        <w:rPr>
          <w:b/>
          <w:bCs/>
          <w:u w:val="single"/>
        </w:rPr>
        <w:t>,</w:t>
      </w:r>
      <w:r>
        <w:rPr>
          <w:b/>
          <w:bCs/>
        </w:rPr>
        <w:t xml:space="preserve"> 251 N.Y. 435 (1929)</w:t>
      </w:r>
      <w:r w:rsidRPr="004F2F81">
        <w:rPr>
          <w:b/>
          <w:bCs/>
          <w:u w:val="single"/>
        </w:rPr>
        <w:t xml:space="preserve"> </w:t>
      </w:r>
    </w:p>
    <w:p w14:paraId="20B6B7DE" w14:textId="77777777" w:rsidR="00F57ECD" w:rsidRPr="009964C3" w:rsidRDefault="00F57ECD" w:rsidP="00F57ECD"/>
    <w:p w14:paraId="3473F926" w14:textId="273CBA30" w:rsidR="009964C3" w:rsidRPr="00C06C5D" w:rsidRDefault="00C06C5D" w:rsidP="009964C3">
      <w:pPr>
        <w:rPr>
          <w:b/>
          <w:bCs/>
          <w:u w:val="single"/>
        </w:rPr>
      </w:pPr>
      <w:r w:rsidRPr="00C06C5D">
        <w:rPr>
          <w:b/>
          <w:bCs/>
          <w:u w:val="single"/>
        </w:rPr>
        <w:lastRenderedPageBreak/>
        <w:t xml:space="preserve">6. </w:t>
      </w:r>
      <w:r w:rsidR="00193501" w:rsidRPr="00C06C5D">
        <w:rPr>
          <w:b/>
          <w:bCs/>
          <w:u w:val="single"/>
        </w:rPr>
        <w:t>DOCK RIGHTS</w:t>
      </w:r>
    </w:p>
    <w:p w14:paraId="32EEFE3A" w14:textId="7C7CECF9" w:rsidR="00193501" w:rsidRPr="00C87159" w:rsidRDefault="00465E8D" w:rsidP="009964C3">
      <w:pPr>
        <w:rPr>
          <w:u w:val="single"/>
        </w:rPr>
      </w:pPr>
      <w:r w:rsidRPr="00C87159">
        <w:rPr>
          <w:u w:val="single"/>
        </w:rPr>
        <w:t>Gugino v. Scripa</w:t>
      </w:r>
      <w:r w:rsidR="00970AE5" w:rsidRPr="00C87159">
        <w:rPr>
          <w:u w:val="single"/>
        </w:rPr>
        <w:t>,</w:t>
      </w:r>
      <w:r w:rsidR="00F57ECD" w:rsidRPr="00C87159">
        <w:t xml:space="preserve"> 228 A.D. 3d</w:t>
      </w:r>
      <w:r w:rsidR="00970AE5" w:rsidRPr="00C87159">
        <w:t xml:space="preserve"> 1112</w:t>
      </w:r>
      <w:r w:rsidRPr="00C87159">
        <w:t xml:space="preserve"> (3</w:t>
      </w:r>
      <w:r w:rsidRPr="00C87159">
        <w:rPr>
          <w:vertAlign w:val="superscript"/>
        </w:rPr>
        <w:t>rd</w:t>
      </w:r>
      <w:r w:rsidRPr="00C87159">
        <w:t xml:space="preserve"> Dept. 2024)</w:t>
      </w:r>
    </w:p>
    <w:p w14:paraId="6D587A67" w14:textId="1FFA0D70" w:rsidR="00465E8D" w:rsidRDefault="00D77C14" w:rsidP="00D77C14">
      <w:pPr>
        <w:ind w:left="720"/>
      </w:pPr>
      <w:r w:rsidRPr="00465E8D">
        <w:t>P</w:t>
      </w:r>
      <w:r>
        <w:t>l</w:t>
      </w:r>
      <w:r w:rsidRPr="00465E8D">
        <w:t>aintiffs</w:t>
      </w:r>
      <w:r w:rsidR="00465E8D" w:rsidRPr="00465E8D">
        <w:t xml:space="preserve"> and </w:t>
      </w:r>
      <w:r w:rsidRPr="00465E8D">
        <w:t>Defendants</w:t>
      </w:r>
      <w:r w:rsidR="00465E8D" w:rsidRPr="00465E8D">
        <w:t xml:space="preserve"> own p</w:t>
      </w:r>
      <w:r w:rsidR="00465E8D">
        <w:t xml:space="preserve">roperties near Cazenovia Lake. The </w:t>
      </w:r>
      <w:r>
        <w:t>predecessors</w:t>
      </w:r>
      <w:r w:rsidR="00465E8D">
        <w:t xml:space="preserve"> in interest entered into an a</w:t>
      </w:r>
      <w:r>
        <w:t>g</w:t>
      </w:r>
      <w:r w:rsidR="00465E8D">
        <w:t>reement to allow each other, their successors a</w:t>
      </w:r>
      <w:r>
        <w:t>n</w:t>
      </w:r>
      <w:r w:rsidR="00465E8D">
        <w:t>d assigns to have a perpetual right of way an easement over a 44</w:t>
      </w:r>
      <w:r w:rsidR="004A324C">
        <w:t>ft</w:t>
      </w:r>
      <w:r w:rsidR="00465E8D">
        <w:t xml:space="preserve"> </w:t>
      </w:r>
      <w:r w:rsidR="004A324C">
        <w:t>x</w:t>
      </w:r>
      <w:r w:rsidR="00465E8D">
        <w:t xml:space="preserve"> 38</w:t>
      </w:r>
      <w:r w:rsidR="004A324C">
        <w:t>ft</w:t>
      </w:r>
      <w:r w:rsidR="00465E8D">
        <w:t xml:space="preserve"> parcel, including lake shore frontage, “for the purposes of boating, bathing and docking</w:t>
      </w:r>
      <w:r>
        <w:t>”</w:t>
      </w:r>
      <w:r w:rsidR="00465E8D">
        <w:t xml:space="preserve">. Plaintiffs </w:t>
      </w:r>
      <w:r>
        <w:t xml:space="preserve">(owners of property in Marlyn Park) used the lot and annually place a seasonal dock in the center of the lake frontage. </w:t>
      </w:r>
    </w:p>
    <w:p w14:paraId="19ACEAF3" w14:textId="6FD7B31B" w:rsidR="00D77C14" w:rsidRDefault="00D77C14" w:rsidP="009964C3">
      <w:r>
        <w:tab/>
        <w:t>Defendant purchased the property in 2021 and built a permanent dock.</w:t>
      </w:r>
    </w:p>
    <w:p w14:paraId="2ABCB0CD" w14:textId="7EDB0A87" w:rsidR="00D77C14" w:rsidRDefault="00D77C14" w:rsidP="00D77C14">
      <w:pPr>
        <w:ind w:left="720"/>
      </w:pPr>
      <w:r>
        <w:t xml:space="preserve">Plaintiff commenced action for an order declaring that lake shore frontage parcel is for the common use of plaintiffs and directing defendants to remove the permanent dock and restore property. </w:t>
      </w:r>
    </w:p>
    <w:p w14:paraId="2A7894F2" w14:textId="2EB7DFF9" w:rsidR="00D77C14" w:rsidRDefault="00D77C14" w:rsidP="00D77C14">
      <w:pPr>
        <w:ind w:left="720"/>
      </w:pPr>
      <w:r>
        <w:t xml:space="preserve">Supreme Court held that plaintiffs had both an express appurtenant and prescriptive easement over the entire property. </w:t>
      </w:r>
    </w:p>
    <w:p w14:paraId="38F4034E" w14:textId="0B2DEAA4" w:rsidR="00D77C14" w:rsidRDefault="00D77C14" w:rsidP="00D77C14">
      <w:pPr>
        <w:ind w:left="720"/>
      </w:pPr>
      <w:r>
        <w:t xml:space="preserve">Defendants appealed arguing that Supreme Court improperly construed the nature and scope of the easement. </w:t>
      </w:r>
    </w:p>
    <w:p w14:paraId="42AA92FE" w14:textId="464620E7" w:rsidR="00D77C14" w:rsidRPr="00465E8D" w:rsidRDefault="00D77C14" w:rsidP="00D77C14">
      <w:pPr>
        <w:ind w:left="720"/>
      </w:pPr>
      <w:r>
        <w:t xml:space="preserve">Appellate Division affirmed, finding the agreement unambiguous. Court found that seasonal docked has been placed every year for 30 days – “long- time use” establishes the location of the easement. </w:t>
      </w:r>
    </w:p>
    <w:p w14:paraId="2968670C" w14:textId="77777777" w:rsidR="003C4E91" w:rsidRDefault="003C4E91" w:rsidP="00193501"/>
    <w:p w14:paraId="12ECA5AD" w14:textId="089A7ADF" w:rsidR="00193501" w:rsidRPr="00D8311D" w:rsidRDefault="00C06C5D" w:rsidP="00193501">
      <w:pPr>
        <w:rPr>
          <w:b/>
          <w:bCs/>
          <w:u w:val="single"/>
        </w:rPr>
      </w:pPr>
      <w:r>
        <w:rPr>
          <w:b/>
          <w:bCs/>
          <w:u w:val="single"/>
        </w:rPr>
        <w:t xml:space="preserve">7. </w:t>
      </w:r>
      <w:r w:rsidR="00193501" w:rsidRPr="00D8311D">
        <w:rPr>
          <w:b/>
          <w:bCs/>
          <w:u w:val="single"/>
        </w:rPr>
        <w:t>ADJACENT OWNERS V. AIRBNB</w:t>
      </w:r>
    </w:p>
    <w:p w14:paraId="1B9C8FFA" w14:textId="20225977" w:rsidR="00193501" w:rsidRPr="00EE61EE" w:rsidRDefault="00193501" w:rsidP="00193501">
      <w:pPr>
        <w:rPr>
          <w:lang w:val="fr-FR"/>
        </w:rPr>
      </w:pPr>
      <w:r>
        <w:rPr>
          <w:u w:val="single"/>
        </w:rPr>
        <w:t>West Mtn.</w:t>
      </w:r>
      <w:r w:rsidRPr="00E84EBB">
        <w:rPr>
          <w:u w:val="single"/>
        </w:rPr>
        <w:t xml:space="preserve"> </w:t>
      </w:r>
      <w:r w:rsidRPr="00EE61EE">
        <w:rPr>
          <w:u w:val="single"/>
          <w:lang w:val="fr-FR"/>
        </w:rPr>
        <w:t>Assets LLC v. Dobkowski</w:t>
      </w:r>
      <w:r w:rsidRPr="00EE61EE">
        <w:rPr>
          <w:lang w:val="fr-FR"/>
        </w:rPr>
        <w:t>, 228 A.D.</w:t>
      </w:r>
      <w:r w:rsidR="00A9401E">
        <w:rPr>
          <w:lang w:val="fr-FR"/>
        </w:rPr>
        <w:t xml:space="preserve"> </w:t>
      </w:r>
      <w:r w:rsidRPr="00EE61EE">
        <w:rPr>
          <w:lang w:val="fr-FR"/>
        </w:rPr>
        <w:t>3d 48 (3</w:t>
      </w:r>
      <w:r w:rsidRPr="00EE61EE">
        <w:rPr>
          <w:vertAlign w:val="superscript"/>
          <w:lang w:val="fr-FR"/>
        </w:rPr>
        <w:t>rd</w:t>
      </w:r>
      <w:r w:rsidRPr="00EE61EE">
        <w:rPr>
          <w:lang w:val="fr-FR"/>
        </w:rPr>
        <w:t xml:space="preserve"> Dept. 2024)</w:t>
      </w:r>
    </w:p>
    <w:p w14:paraId="604C3127" w14:textId="2BCB473D" w:rsidR="00193501" w:rsidRDefault="00193501" w:rsidP="00193501">
      <w:pPr>
        <w:ind w:left="720"/>
      </w:pPr>
      <w:r>
        <w:t>Plaintiff alleges defendant’s neighbors have interfered with its use of and enjoyment of the property. Plaintiff rents the property through Airbnb for short rentals. Restrictive covenants require “residential use”.</w:t>
      </w:r>
    </w:p>
    <w:p w14:paraId="66067C02" w14:textId="77777777" w:rsidR="00193501" w:rsidRDefault="00193501" w:rsidP="00193501">
      <w:pPr>
        <w:ind w:left="720"/>
      </w:pPr>
      <w:r w:rsidRPr="000D20DE">
        <w:rPr>
          <w:u w:val="single"/>
        </w:rPr>
        <w:t>Held</w:t>
      </w:r>
      <w:r>
        <w:t>:</w:t>
      </w:r>
    </w:p>
    <w:p w14:paraId="21D04693" w14:textId="77777777" w:rsidR="00193501" w:rsidRDefault="00193501" w:rsidP="00193501">
      <w:pPr>
        <w:ind w:left="720"/>
      </w:pPr>
      <w:r>
        <w:t xml:space="preserve"> The court granted summary judgment in favor of the respondents, finding that the appellant's use of the property did not fit the definition of a residence necessary to establish compliance with the restrictive covenant.</w:t>
      </w:r>
    </w:p>
    <w:p w14:paraId="244CD1A1" w14:textId="77777777" w:rsidR="0081377B" w:rsidRDefault="00193501" w:rsidP="000E241A">
      <w:pPr>
        <w:ind w:left="720"/>
      </w:pPr>
      <w:r w:rsidRPr="000D20DE">
        <w:rPr>
          <w:rFonts w:ascii="Lato" w:hAnsi="Lato"/>
          <w:color w:val="455A64"/>
          <w:shd w:val="clear" w:color="auto" w:fill="FFFFFF"/>
        </w:rPr>
        <w:t xml:space="preserve"> </w:t>
      </w:r>
      <w:r w:rsidRPr="000D20DE">
        <w:t>The court also noted that restrictive covenants are enforceable when the intention of the parties is clear, the limitation is reasonable, and it does not offend public policy</w:t>
      </w:r>
      <w:r>
        <w:t>.</w:t>
      </w:r>
    </w:p>
    <w:p w14:paraId="2B7ED618" w14:textId="3C625B14" w:rsidR="00193501" w:rsidRPr="000E241A" w:rsidRDefault="00C06C5D" w:rsidP="0081377B">
      <w:r>
        <w:rPr>
          <w:b/>
          <w:bCs/>
          <w:u w:val="single"/>
        </w:rPr>
        <w:lastRenderedPageBreak/>
        <w:t xml:space="preserve">8. </w:t>
      </w:r>
      <w:r w:rsidR="00193501" w:rsidRPr="00193501">
        <w:rPr>
          <w:b/>
          <w:bCs/>
          <w:u w:val="single"/>
        </w:rPr>
        <w:t>ADVERSE POSSESSION</w:t>
      </w:r>
    </w:p>
    <w:p w14:paraId="4A28A0C3" w14:textId="687EE22E" w:rsidR="00304D4C" w:rsidRPr="007D029F" w:rsidRDefault="00304D4C" w:rsidP="00304D4C">
      <w:pPr>
        <w:rPr>
          <w:rFonts w:cstheme="minorHAnsi"/>
        </w:rPr>
      </w:pPr>
      <w:r w:rsidRPr="007D029F">
        <w:rPr>
          <w:rFonts w:cstheme="minorHAnsi"/>
          <w:u w:val="single"/>
        </w:rPr>
        <w:t>Hongwei Guan v. EZC Carolinas, LLC</w:t>
      </w:r>
      <w:r w:rsidRPr="007D029F">
        <w:rPr>
          <w:rFonts w:cstheme="minorHAnsi"/>
        </w:rPr>
        <w:t>, 222 A</w:t>
      </w:r>
      <w:r w:rsidR="00A9401E">
        <w:rPr>
          <w:rFonts w:cstheme="minorHAnsi"/>
        </w:rPr>
        <w:t>.</w:t>
      </w:r>
      <w:r w:rsidRPr="007D029F">
        <w:rPr>
          <w:rFonts w:cstheme="minorHAnsi"/>
        </w:rPr>
        <w:t>D</w:t>
      </w:r>
      <w:r w:rsidR="00A9401E">
        <w:rPr>
          <w:rFonts w:cstheme="minorHAnsi"/>
        </w:rPr>
        <w:t xml:space="preserve">. </w:t>
      </w:r>
      <w:r w:rsidRPr="007D029F">
        <w:rPr>
          <w:rFonts w:cstheme="minorHAnsi"/>
        </w:rPr>
        <w:t>3d 1086 (3</w:t>
      </w:r>
      <w:r w:rsidRPr="007D029F">
        <w:rPr>
          <w:rFonts w:cstheme="minorHAnsi"/>
          <w:vertAlign w:val="superscript"/>
        </w:rPr>
        <w:t>rd</w:t>
      </w:r>
      <w:r w:rsidRPr="007D029F">
        <w:rPr>
          <w:rFonts w:cstheme="minorHAnsi"/>
        </w:rPr>
        <w:t xml:space="preserve"> Dept. 2023).  </w:t>
      </w:r>
    </w:p>
    <w:p w14:paraId="51E73A73" w14:textId="3E56293B" w:rsidR="00304D4C" w:rsidRPr="007D029F" w:rsidRDefault="00304D4C" w:rsidP="00304D4C">
      <w:pPr>
        <w:ind w:left="720"/>
        <w:rPr>
          <w:rFonts w:cstheme="minorHAnsi"/>
        </w:rPr>
      </w:pPr>
      <w:r w:rsidRPr="007D029F">
        <w:rPr>
          <w:rFonts w:cstheme="minorHAnsi"/>
        </w:rPr>
        <w:t xml:space="preserve">The dispute involves a shed located on defendant’s property which plaintiff used.  Defendant thereafter constructed a fence along the boundary of its property preventing plaintiff from accessing the shed.  Since the shed had existed in its location for more than ten years prior to the lawsuit plaintiff claimed adverse possession.  </w:t>
      </w:r>
    </w:p>
    <w:p w14:paraId="2A16DF17" w14:textId="77777777" w:rsidR="00304D4C" w:rsidRDefault="00304D4C" w:rsidP="00304D4C">
      <w:pPr>
        <w:rPr>
          <w:rFonts w:cstheme="minorHAnsi"/>
        </w:rPr>
      </w:pPr>
      <w:r w:rsidRPr="007D029F">
        <w:rPr>
          <w:rFonts w:cstheme="minorHAnsi"/>
        </w:rPr>
        <w:tab/>
      </w:r>
      <w:r w:rsidRPr="007D029F">
        <w:rPr>
          <w:rFonts w:cstheme="minorHAnsi"/>
          <w:u w:val="single"/>
        </w:rPr>
        <w:t>Held</w:t>
      </w:r>
      <w:r>
        <w:rPr>
          <w:rFonts w:cstheme="minorHAnsi"/>
        </w:rPr>
        <w:t xml:space="preserve">: </w:t>
      </w:r>
    </w:p>
    <w:p w14:paraId="36A5A909" w14:textId="27CF4625" w:rsidR="00304D4C" w:rsidRPr="007D029F" w:rsidRDefault="00304D4C" w:rsidP="00304D4C">
      <w:pPr>
        <w:ind w:left="720"/>
        <w:rPr>
          <w:rFonts w:cstheme="minorHAnsi"/>
        </w:rPr>
      </w:pPr>
      <w:r w:rsidRPr="007D029F">
        <w:rPr>
          <w:rFonts w:cstheme="minorHAnsi"/>
        </w:rPr>
        <w:t xml:space="preserve">Not so.  The revised statute RPAPL Article 5 specifically defines sheds as a </w:t>
      </w:r>
      <w:r w:rsidRPr="007D029F">
        <w:rPr>
          <w:rFonts w:cstheme="minorHAnsi"/>
          <w:i/>
          <w:iCs/>
        </w:rPr>
        <w:t xml:space="preserve">de minis </w:t>
      </w:r>
      <w:r w:rsidRPr="007D029F">
        <w:rPr>
          <w:rFonts w:cstheme="minorHAnsi"/>
        </w:rPr>
        <w:t>non-structural encroachment “which shall be deemed to be permissive and not adverse.</w:t>
      </w:r>
    </w:p>
    <w:p w14:paraId="6DED4F8E" w14:textId="4EB38F6B" w:rsidR="00A9401E" w:rsidRPr="007D029F" w:rsidRDefault="00304D4C" w:rsidP="00304D4C">
      <w:pPr>
        <w:ind w:left="720"/>
        <w:rPr>
          <w:rFonts w:cstheme="minorHAnsi"/>
          <w:u w:val="single"/>
        </w:rPr>
      </w:pPr>
      <w:r w:rsidRPr="007D029F">
        <w:rPr>
          <w:rFonts w:cstheme="minorHAnsi"/>
          <w:b/>
          <w:bCs/>
        </w:rPr>
        <w:t>Editorial comment</w:t>
      </w:r>
      <w:r w:rsidRPr="007D029F">
        <w:rPr>
          <w:rFonts w:cstheme="minorHAnsi"/>
        </w:rPr>
        <w:t xml:space="preserve"> – The Court cites the classic definition of adverse possession.  In order “to demonstrate ownership of the disputed area by adverse possession the plaintiffs bore the burden of showing by clear and convincing evidence that the character of the possession was </w:t>
      </w:r>
      <w:r w:rsidRPr="007D029F">
        <w:rPr>
          <w:rFonts w:cstheme="minorHAnsi"/>
          <w:u w:val="single"/>
        </w:rPr>
        <w:t>hostile</w:t>
      </w:r>
      <w:r w:rsidRPr="007D029F">
        <w:rPr>
          <w:rFonts w:cstheme="minorHAnsi"/>
        </w:rPr>
        <w:t xml:space="preserve"> </w:t>
      </w:r>
      <w:r w:rsidRPr="007D029F">
        <w:rPr>
          <w:rFonts w:cstheme="minorHAnsi"/>
          <w:b/>
          <w:bCs/>
        </w:rPr>
        <w:t xml:space="preserve">under claim of right, actual, </w:t>
      </w:r>
      <w:r w:rsidR="007B3DB4" w:rsidRPr="007D029F">
        <w:rPr>
          <w:rFonts w:cstheme="minorHAnsi"/>
          <w:b/>
          <w:bCs/>
        </w:rPr>
        <w:t>open,</w:t>
      </w:r>
      <w:r w:rsidRPr="007D029F">
        <w:rPr>
          <w:rFonts w:cstheme="minorHAnsi"/>
          <w:b/>
          <w:bCs/>
        </w:rPr>
        <w:t xml:space="preserve"> and notorious, </w:t>
      </w:r>
      <w:r w:rsidR="007B3DB4" w:rsidRPr="007D029F">
        <w:rPr>
          <w:rFonts w:cstheme="minorHAnsi"/>
          <w:b/>
          <w:bCs/>
        </w:rPr>
        <w:t>exclusive,</w:t>
      </w:r>
      <w:r w:rsidRPr="007D029F">
        <w:rPr>
          <w:rFonts w:cstheme="minorHAnsi"/>
          <w:b/>
          <w:bCs/>
        </w:rPr>
        <w:t xml:space="preserve"> and continuous for statutory period.  </w:t>
      </w:r>
      <w:r w:rsidRPr="007D029F">
        <w:rPr>
          <w:rFonts w:cstheme="minorHAnsi"/>
        </w:rPr>
        <w:t xml:space="preserve">However the Third Department goes on to cite </w:t>
      </w:r>
      <w:r w:rsidRPr="007D029F">
        <w:rPr>
          <w:rFonts w:cstheme="minorHAnsi"/>
          <w:u w:val="single"/>
        </w:rPr>
        <w:t>Walling v. Prisbo</w:t>
      </w:r>
      <w:r w:rsidRPr="007D029F">
        <w:rPr>
          <w:rFonts w:cstheme="minorHAnsi"/>
        </w:rPr>
        <w:t xml:space="preserve">, a Third Department case, 7 NY3d 228 (2006), which specifically adhered to the Third Department’s holdings that a claim of right does not involve an examination of the mind previous.  If party sits on the property for ten years they have a claim of right.  This was the holding of </w:t>
      </w:r>
      <w:r w:rsidRPr="007D029F">
        <w:rPr>
          <w:rFonts w:cstheme="minorHAnsi"/>
          <w:u w:val="single"/>
        </w:rPr>
        <w:t>Walling v. Prisbo</w:t>
      </w:r>
      <w:r w:rsidRPr="007D029F">
        <w:rPr>
          <w:rFonts w:cstheme="minorHAnsi"/>
        </w:rPr>
        <w:t xml:space="preserve">, 7 NY3d 228 (2006), cited by the Court.  </w:t>
      </w:r>
    </w:p>
    <w:p w14:paraId="1F74D952" w14:textId="17F32F8B" w:rsidR="00193501" w:rsidRPr="003C4E91" w:rsidRDefault="00C06C5D" w:rsidP="00C06C5D">
      <w:pPr>
        <w:rPr>
          <w:u w:val="single"/>
        </w:rPr>
      </w:pPr>
      <w:r w:rsidRPr="003C4E91">
        <w:rPr>
          <w:u w:val="single"/>
        </w:rPr>
        <w:t>Kagan v</w:t>
      </w:r>
      <w:r w:rsidR="003C4E91" w:rsidRPr="003C4E91">
        <w:rPr>
          <w:u w:val="single"/>
        </w:rPr>
        <w:t>.</w:t>
      </w:r>
      <w:r w:rsidRPr="003C4E91">
        <w:rPr>
          <w:u w:val="single"/>
        </w:rPr>
        <w:t xml:space="preserve"> Kropp</w:t>
      </w:r>
      <w:r w:rsidR="00970AE5">
        <w:rPr>
          <w:u w:val="single"/>
        </w:rPr>
        <w:t>,</w:t>
      </w:r>
      <w:r w:rsidR="00F57ECD">
        <w:t xml:space="preserve"> 228 A.D. 3d</w:t>
      </w:r>
      <w:r w:rsidR="00970AE5">
        <w:t xml:space="preserve"> 920</w:t>
      </w:r>
      <w:r w:rsidR="00F57ECD">
        <w:t xml:space="preserve"> </w:t>
      </w:r>
      <w:r w:rsidR="003C4E91" w:rsidRPr="00F57ECD">
        <w:t>(2</w:t>
      </w:r>
      <w:r w:rsidR="003C4E91" w:rsidRPr="00F57ECD">
        <w:rPr>
          <w:vertAlign w:val="superscript"/>
        </w:rPr>
        <w:t>nd</w:t>
      </w:r>
      <w:r w:rsidR="003C4E91" w:rsidRPr="00F57ECD">
        <w:t xml:space="preserve"> Dept. 2024)</w:t>
      </w:r>
    </w:p>
    <w:p w14:paraId="5557AC46" w14:textId="3F1C4E3D" w:rsidR="00225E38" w:rsidRDefault="003C4E91" w:rsidP="003C4E91">
      <w:pPr>
        <w:ind w:left="720"/>
      </w:pPr>
      <w:r>
        <w:t>Plaintiffs and Defendants are neighbors on Crestwood Lane. Prior to plaintiffs purchase in 1970, defendants’ predecessors installed a chain link fence and planted trees on either side of the fence. When plaintiffs purchased, they got a survey which showed their property line extended up to 7 feet beyond the fence.</w:t>
      </w:r>
    </w:p>
    <w:p w14:paraId="4965C20A" w14:textId="7E457C35" w:rsidR="003C4E91" w:rsidRDefault="003C4E91" w:rsidP="003C4E91">
      <w:pPr>
        <w:ind w:left="720"/>
      </w:pPr>
      <w:r>
        <w:t>Defendants decided to remove the trees and build a retaining wall and made the mistake of telling their neighbors, the plaintiffs. The plaintiffs then commenced an action for adverse possession, alleging they owned area from the chain link fence to their property.</w:t>
      </w:r>
    </w:p>
    <w:p w14:paraId="03551AC6" w14:textId="3BF25666" w:rsidR="003C4E91" w:rsidRDefault="003C4E91" w:rsidP="003C4E91">
      <w:pPr>
        <w:ind w:left="720"/>
      </w:pPr>
      <w:r>
        <w:t>Note: Old adverse possession statute applies</w:t>
      </w:r>
      <w:r w:rsidR="00F57ECD">
        <w:t>.</w:t>
      </w:r>
    </w:p>
    <w:p w14:paraId="69AC4DB7" w14:textId="7DD76912" w:rsidR="003C4E91" w:rsidRDefault="003C4E91" w:rsidP="003C4E91">
      <w:pPr>
        <w:ind w:left="720"/>
      </w:pPr>
      <w:r w:rsidRPr="00CF7B32">
        <w:rPr>
          <w:u w:val="single"/>
        </w:rPr>
        <w:t>Held</w:t>
      </w:r>
      <w:r>
        <w:t>:</w:t>
      </w:r>
    </w:p>
    <w:p w14:paraId="4DCD7954" w14:textId="77777777" w:rsidR="0081377B" w:rsidRDefault="003C4E91" w:rsidP="007B3DB4">
      <w:pPr>
        <w:ind w:left="720"/>
      </w:pPr>
      <w:r>
        <w:t>Plaintiffs failed to show the</w:t>
      </w:r>
      <w:r w:rsidR="00C34005">
        <w:t>y</w:t>
      </w:r>
      <w:r>
        <w:t xml:space="preserve"> cultivated or improved the area in issue, therefore, </w:t>
      </w:r>
      <w:r w:rsidR="00C34005">
        <w:t xml:space="preserve">the </w:t>
      </w:r>
      <w:r>
        <w:t xml:space="preserve">Supreme Court property granted defendants motions for summary judgement dismissing the complaint. </w:t>
      </w:r>
    </w:p>
    <w:p w14:paraId="04523F12" w14:textId="5EB46C2C" w:rsidR="00C06C5D" w:rsidRPr="007B3DB4" w:rsidRDefault="00C06C5D" w:rsidP="0081377B">
      <w:r w:rsidRPr="00E212BE">
        <w:rPr>
          <w:b/>
          <w:bCs/>
          <w:u w:val="single"/>
        </w:rPr>
        <w:lastRenderedPageBreak/>
        <w:t>9. DEED DESCRIPTIONS/ MAPS</w:t>
      </w:r>
    </w:p>
    <w:p w14:paraId="749CB27F" w14:textId="7080399A" w:rsidR="00304D4C" w:rsidRPr="002177A9" w:rsidRDefault="00304D4C" w:rsidP="00304D4C">
      <w:pPr>
        <w:rPr>
          <w:rFonts w:cstheme="minorHAnsi"/>
        </w:rPr>
      </w:pPr>
      <w:r w:rsidRPr="002177A9">
        <w:rPr>
          <w:rFonts w:cstheme="minorHAnsi"/>
          <w:u w:val="single"/>
        </w:rPr>
        <w:t>D’Andrea v. 3 Unique Place LLC</w:t>
      </w:r>
      <w:r w:rsidRPr="002177A9">
        <w:rPr>
          <w:rFonts w:cstheme="minorHAnsi"/>
        </w:rPr>
        <w:t>, 222 A</w:t>
      </w:r>
      <w:r w:rsidR="00A9401E" w:rsidRPr="002177A9">
        <w:rPr>
          <w:rFonts w:cstheme="minorHAnsi"/>
        </w:rPr>
        <w:t>.</w:t>
      </w:r>
      <w:r w:rsidRPr="002177A9">
        <w:rPr>
          <w:rFonts w:cstheme="minorHAnsi"/>
        </w:rPr>
        <w:t>D</w:t>
      </w:r>
      <w:r w:rsidR="00A9401E" w:rsidRPr="002177A9">
        <w:rPr>
          <w:rFonts w:cstheme="minorHAnsi"/>
        </w:rPr>
        <w:t>.</w:t>
      </w:r>
      <w:r w:rsidRPr="002177A9">
        <w:rPr>
          <w:rFonts w:cstheme="minorHAnsi"/>
        </w:rPr>
        <w:t>3d 830 (2</w:t>
      </w:r>
      <w:r w:rsidRPr="002177A9">
        <w:rPr>
          <w:rFonts w:cstheme="minorHAnsi"/>
          <w:vertAlign w:val="superscript"/>
        </w:rPr>
        <w:t>nd</w:t>
      </w:r>
      <w:r w:rsidRPr="002177A9">
        <w:rPr>
          <w:rFonts w:cstheme="minorHAnsi"/>
        </w:rPr>
        <w:t xml:space="preserve"> Dept. 2023).</w:t>
      </w:r>
    </w:p>
    <w:p w14:paraId="43A0A274" w14:textId="015C97DA" w:rsidR="00304D4C" w:rsidRPr="007D029F" w:rsidRDefault="00304D4C" w:rsidP="00304D4C">
      <w:pPr>
        <w:ind w:left="720"/>
        <w:rPr>
          <w:rFonts w:cstheme="minorHAnsi"/>
        </w:rPr>
      </w:pPr>
      <w:r w:rsidRPr="007D029F">
        <w:rPr>
          <w:rFonts w:cstheme="minorHAnsi"/>
        </w:rPr>
        <w:t xml:space="preserve">Plaintiff and defendant owned adjoining property.  Defendant built a stone fence on a portion of </w:t>
      </w:r>
      <w:r w:rsidR="00B26C0E" w:rsidRPr="007D029F">
        <w:rPr>
          <w:rFonts w:cstheme="minorHAnsi"/>
        </w:rPr>
        <w:t>land,</w:t>
      </w:r>
      <w:r w:rsidRPr="007D029F">
        <w:rPr>
          <w:rFonts w:cstheme="minorHAnsi"/>
        </w:rPr>
        <w:t xml:space="preserve"> claimed by the plaintiff that she was the sole owner of an approximately four foot strip of land.  Defendant counterclaimed that the description in his deed was set forth in a deed dated April 19, 2018, and that his description extends to the bulkhead and wall erected by defendant.  Defendant’s description </w:t>
      </w:r>
      <w:r w:rsidR="00C34005" w:rsidRPr="007D029F">
        <w:rPr>
          <w:rFonts w:cstheme="minorHAnsi"/>
        </w:rPr>
        <w:t>referred</w:t>
      </w:r>
      <w:r w:rsidRPr="007D029F">
        <w:rPr>
          <w:rFonts w:cstheme="minorHAnsi"/>
        </w:rPr>
        <w:t xml:space="preserve"> to a filed map.  </w:t>
      </w:r>
    </w:p>
    <w:p w14:paraId="42EA94CB" w14:textId="77777777" w:rsidR="00304D4C" w:rsidRDefault="00304D4C" w:rsidP="00304D4C">
      <w:pPr>
        <w:rPr>
          <w:rFonts w:cstheme="minorHAnsi"/>
        </w:rPr>
      </w:pPr>
      <w:r w:rsidRPr="007D029F">
        <w:rPr>
          <w:rFonts w:cstheme="minorHAnsi"/>
        </w:rPr>
        <w:tab/>
      </w:r>
      <w:r w:rsidRPr="007D029F">
        <w:rPr>
          <w:rFonts w:cstheme="minorHAnsi"/>
          <w:u w:val="single"/>
        </w:rPr>
        <w:t>Held</w:t>
      </w:r>
      <w:r>
        <w:rPr>
          <w:rFonts w:cstheme="minorHAnsi"/>
        </w:rPr>
        <w:t>:</w:t>
      </w:r>
    </w:p>
    <w:p w14:paraId="7FF9B7BE" w14:textId="53BE3455" w:rsidR="00304D4C" w:rsidRPr="007D029F" w:rsidRDefault="00304D4C" w:rsidP="00304D4C">
      <w:pPr>
        <w:ind w:left="720"/>
        <w:rPr>
          <w:rFonts w:cstheme="minorHAnsi"/>
        </w:rPr>
      </w:pPr>
      <w:r w:rsidRPr="007D029F">
        <w:rPr>
          <w:rFonts w:cstheme="minorHAnsi"/>
        </w:rPr>
        <w:t xml:space="preserve">The filed map must be taken as part of the deed.  Because the filed map created ambiguity neither party was entitled to summary judgment.  The subject deeds are ambiguous.  </w:t>
      </w:r>
    </w:p>
    <w:p w14:paraId="584771B8" w14:textId="77777777" w:rsidR="00225E38" w:rsidRDefault="00225E38" w:rsidP="00C06C5D">
      <w:pPr>
        <w:ind w:left="720"/>
      </w:pPr>
    </w:p>
    <w:p w14:paraId="12C58E16" w14:textId="56822E05" w:rsidR="00C06C5D" w:rsidRPr="00B81B34" w:rsidRDefault="00C06C5D" w:rsidP="00C06C5D">
      <w:pPr>
        <w:rPr>
          <w:b/>
          <w:bCs/>
          <w:u w:val="single"/>
        </w:rPr>
      </w:pPr>
      <w:r>
        <w:rPr>
          <w:b/>
          <w:bCs/>
          <w:u w:val="single"/>
        </w:rPr>
        <w:t xml:space="preserve">10. </w:t>
      </w:r>
      <w:r w:rsidRPr="00B81B34">
        <w:rPr>
          <w:b/>
          <w:bCs/>
          <w:u w:val="single"/>
        </w:rPr>
        <w:t>CAVEAT EMPTOR, CO-OP</w:t>
      </w:r>
    </w:p>
    <w:p w14:paraId="3FE8A92D" w14:textId="6624920C" w:rsidR="00C06C5D" w:rsidRDefault="00C06C5D" w:rsidP="00C06C5D">
      <w:r w:rsidRPr="00092309">
        <w:rPr>
          <w:u w:val="single"/>
        </w:rPr>
        <w:t>Suber v. Churchill Owners Corp.</w:t>
      </w:r>
      <w:r w:rsidRPr="00092309">
        <w:t>, 228 A.D.</w:t>
      </w:r>
      <w:r w:rsidR="00A9401E">
        <w:t xml:space="preserve"> </w:t>
      </w:r>
      <w:r w:rsidRPr="00092309">
        <w:t>3d 414 (</w:t>
      </w:r>
      <w:r>
        <w:t>1</w:t>
      </w:r>
      <w:r w:rsidRPr="00B81B34">
        <w:rPr>
          <w:vertAlign w:val="superscript"/>
        </w:rPr>
        <w:t>st</w:t>
      </w:r>
      <w:r>
        <w:t xml:space="preserve"> Dept</w:t>
      </w:r>
      <w:r w:rsidRPr="00092309">
        <w:t>. 2024)</w:t>
      </w:r>
    </w:p>
    <w:p w14:paraId="5BAEEC40" w14:textId="6349D634" w:rsidR="00C06C5D" w:rsidRDefault="00C06C5D" w:rsidP="00C06C5D">
      <w:pPr>
        <w:ind w:left="720"/>
      </w:pPr>
      <w:r>
        <w:t>Plaintiff purchased a co-op apartment from the defendants (sellers). Three weeks after the purchase, the plaintiff learned of the asbestos condition in the building from a board memorandum. The contract of sale between the plaintiff and sellers contained merger and "as is" clauses.</w:t>
      </w:r>
    </w:p>
    <w:p w14:paraId="60AA4956" w14:textId="77777777" w:rsidR="00C06C5D" w:rsidRDefault="00C06C5D" w:rsidP="00C06C5D">
      <w:pPr>
        <w:ind w:left="720"/>
        <w:rPr>
          <w:u w:val="single"/>
        </w:rPr>
      </w:pPr>
      <w:r>
        <w:rPr>
          <w:u w:val="single"/>
        </w:rPr>
        <w:t>Held:</w:t>
      </w:r>
    </w:p>
    <w:p w14:paraId="7FCC4C45" w14:textId="77777777" w:rsidR="00C06C5D" w:rsidRPr="004B12CA" w:rsidRDefault="00C06C5D" w:rsidP="00C06C5D">
      <w:pPr>
        <w:ind w:left="720"/>
      </w:pPr>
      <w:r>
        <w:t>S</w:t>
      </w:r>
      <w:r w:rsidRPr="004B12CA">
        <w:t>ellers of the co-op apartment had no duty to disclose the discovery of asbestos in the building or related documents under the parties' contract of sale.</w:t>
      </w:r>
      <w:r>
        <w:t xml:space="preserve"> </w:t>
      </w:r>
      <w:r w:rsidRPr="004B12CA">
        <w:t>The merger and "as is" clauses in the contract and riders barred the plaintiff's breach of contract claim and claims arising out of reliance on purported representations.</w:t>
      </w:r>
    </w:p>
    <w:p w14:paraId="5B96DFB6" w14:textId="77777777" w:rsidR="00C06C5D" w:rsidRPr="004B12CA" w:rsidRDefault="00C06C5D" w:rsidP="00C06C5D">
      <w:pPr>
        <w:ind w:left="720"/>
      </w:pPr>
      <w:r w:rsidRPr="004B12CA">
        <w:t>The claim for breach of the implied covenant of good faith and fair dealing was duplicative of the contract claim and properly dismissed.</w:t>
      </w:r>
    </w:p>
    <w:p w14:paraId="461131A4" w14:textId="77777777" w:rsidR="00C06C5D" w:rsidRDefault="00C06C5D" w:rsidP="00C06C5D">
      <w:pPr>
        <w:ind w:left="720"/>
      </w:pPr>
      <w:r w:rsidRPr="004B12CA">
        <w:t>The corporation itself did not owe the plaintiff (shareholder) a fiduciary duty, nor did the board owe the plaintiff a fiduciary duty prior to the sale of the apartment.</w:t>
      </w:r>
    </w:p>
    <w:p w14:paraId="0751C7DF" w14:textId="77777777" w:rsidR="00A9401E" w:rsidRDefault="00A9401E" w:rsidP="00C06C5D">
      <w:pPr>
        <w:rPr>
          <w:b/>
          <w:bCs/>
          <w:u w:val="single"/>
        </w:rPr>
      </w:pPr>
    </w:p>
    <w:p w14:paraId="3342392F" w14:textId="77777777" w:rsidR="000F57C2" w:rsidRDefault="000F57C2" w:rsidP="00C06C5D">
      <w:pPr>
        <w:rPr>
          <w:b/>
          <w:bCs/>
          <w:u w:val="single"/>
        </w:rPr>
      </w:pPr>
    </w:p>
    <w:p w14:paraId="76CBE715" w14:textId="77777777" w:rsidR="0081377B" w:rsidRDefault="0081377B" w:rsidP="00C06C5D">
      <w:pPr>
        <w:rPr>
          <w:b/>
          <w:bCs/>
          <w:u w:val="single"/>
        </w:rPr>
      </w:pPr>
    </w:p>
    <w:p w14:paraId="4DED3238" w14:textId="381E1BD0" w:rsidR="00180397" w:rsidRPr="00180397" w:rsidRDefault="00180397" w:rsidP="00C06C5D">
      <w:pPr>
        <w:rPr>
          <w:b/>
          <w:bCs/>
          <w:u w:val="single"/>
        </w:rPr>
      </w:pPr>
      <w:r w:rsidRPr="00180397">
        <w:rPr>
          <w:b/>
          <w:bCs/>
          <w:u w:val="single"/>
        </w:rPr>
        <w:lastRenderedPageBreak/>
        <w:t>CAVEAT EMPTOR- It still lives- not here.</w:t>
      </w:r>
    </w:p>
    <w:p w14:paraId="05BB640A" w14:textId="3F722F92" w:rsidR="00304D4C" w:rsidRPr="007D029F" w:rsidRDefault="00304D4C" w:rsidP="00304D4C">
      <w:pPr>
        <w:rPr>
          <w:rFonts w:cstheme="minorHAnsi"/>
        </w:rPr>
      </w:pPr>
      <w:r w:rsidRPr="007D029F">
        <w:rPr>
          <w:rFonts w:cstheme="minorHAnsi"/>
          <w:u w:val="single"/>
        </w:rPr>
        <w:t>New Hackensack Realty, LLC v. Lawrence Dev. Realty, LLC</w:t>
      </w:r>
      <w:r w:rsidRPr="007D029F">
        <w:rPr>
          <w:rFonts w:cstheme="minorHAnsi"/>
        </w:rPr>
        <w:t>, 226 A</w:t>
      </w:r>
      <w:r w:rsidR="00A9401E">
        <w:rPr>
          <w:rFonts w:cstheme="minorHAnsi"/>
        </w:rPr>
        <w:t>.</w:t>
      </w:r>
      <w:r w:rsidRPr="007D029F">
        <w:rPr>
          <w:rFonts w:cstheme="minorHAnsi"/>
        </w:rPr>
        <w:t>D</w:t>
      </w:r>
      <w:r w:rsidR="00A9401E">
        <w:rPr>
          <w:rFonts w:cstheme="minorHAnsi"/>
        </w:rPr>
        <w:t xml:space="preserve">. </w:t>
      </w:r>
      <w:r w:rsidRPr="007D029F">
        <w:rPr>
          <w:rFonts w:cstheme="minorHAnsi"/>
        </w:rPr>
        <w:t>3d 799 (2</w:t>
      </w:r>
      <w:r w:rsidRPr="007D029F">
        <w:rPr>
          <w:rFonts w:cstheme="minorHAnsi"/>
          <w:vertAlign w:val="superscript"/>
        </w:rPr>
        <w:t>nd</w:t>
      </w:r>
      <w:r w:rsidRPr="007D029F">
        <w:rPr>
          <w:rFonts w:cstheme="minorHAnsi"/>
        </w:rPr>
        <w:t xml:space="preserve"> Dept. 2024).  </w:t>
      </w:r>
    </w:p>
    <w:p w14:paraId="00D5026F" w14:textId="3B1F8114" w:rsidR="00304D4C" w:rsidRDefault="00304D4C" w:rsidP="00304D4C">
      <w:pPr>
        <w:ind w:left="720"/>
        <w:rPr>
          <w:rFonts w:cstheme="minorHAnsi"/>
        </w:rPr>
      </w:pPr>
      <w:r w:rsidRPr="007D029F">
        <w:rPr>
          <w:rFonts w:cstheme="minorHAnsi"/>
        </w:rPr>
        <w:t xml:space="preserve">The case involves the sale of a shopping center with claims that the seller misrepresented the amount of rental income, the potential for additional development of the property and the condition of the septic system.  The action was based on a claim of fraud, fraudulent </w:t>
      </w:r>
      <w:r w:rsidR="00C34005" w:rsidRPr="007D029F">
        <w:rPr>
          <w:rFonts w:cstheme="minorHAnsi"/>
        </w:rPr>
        <w:t>inducement,</w:t>
      </w:r>
      <w:r w:rsidRPr="007D029F">
        <w:rPr>
          <w:rFonts w:cstheme="minorHAnsi"/>
        </w:rPr>
        <w:t xml:space="preserve"> and unjust enrichment.  Sellers set forth a defense of merger.</w:t>
      </w:r>
    </w:p>
    <w:p w14:paraId="2EE2F76A" w14:textId="77777777" w:rsidR="00304D4C" w:rsidRDefault="00304D4C" w:rsidP="00304D4C">
      <w:pPr>
        <w:rPr>
          <w:rFonts w:cstheme="minorHAnsi"/>
        </w:rPr>
      </w:pPr>
      <w:r w:rsidRPr="007D029F">
        <w:rPr>
          <w:rFonts w:cstheme="minorHAnsi"/>
        </w:rPr>
        <w:tab/>
      </w:r>
      <w:r w:rsidRPr="007D029F">
        <w:rPr>
          <w:rFonts w:cstheme="minorHAnsi"/>
          <w:u w:val="single"/>
        </w:rPr>
        <w:t>Held</w:t>
      </w:r>
      <w:r>
        <w:rPr>
          <w:rFonts w:cstheme="minorHAnsi"/>
        </w:rPr>
        <w:t>:</w:t>
      </w:r>
    </w:p>
    <w:p w14:paraId="354CDE1D" w14:textId="3AD0F2A6" w:rsidR="00304D4C" w:rsidRPr="007D029F" w:rsidRDefault="00304D4C" w:rsidP="00304D4C">
      <w:pPr>
        <w:ind w:left="720"/>
        <w:rPr>
          <w:rFonts w:cstheme="minorHAnsi"/>
        </w:rPr>
      </w:pPr>
      <w:r w:rsidRPr="007D029F">
        <w:rPr>
          <w:rFonts w:cstheme="minorHAnsi"/>
        </w:rPr>
        <w:t xml:space="preserve">As for fraud it is required (1) </w:t>
      </w:r>
      <w:r w:rsidR="009D3218" w:rsidRPr="007D029F">
        <w:rPr>
          <w:rFonts w:cstheme="minorHAnsi"/>
        </w:rPr>
        <w:t>proof of</w:t>
      </w:r>
      <w:r w:rsidRPr="007D029F">
        <w:rPr>
          <w:rFonts w:cstheme="minorHAnsi"/>
        </w:rPr>
        <w:t xml:space="preserve"> a misrepresentation of a material omission or fact; (2) which was false and known to be so; (3) made for the purpose of inducing the other party to rely upon it; (4) justifiable reliance of the other party.</w:t>
      </w:r>
    </w:p>
    <w:p w14:paraId="36BE12D7" w14:textId="543A709A" w:rsidR="00304D4C" w:rsidRPr="007D029F" w:rsidRDefault="00304D4C" w:rsidP="00304D4C">
      <w:pPr>
        <w:ind w:left="720"/>
        <w:rPr>
          <w:rFonts w:cstheme="minorHAnsi"/>
        </w:rPr>
      </w:pPr>
      <w:r w:rsidRPr="007D029F">
        <w:rPr>
          <w:rFonts w:cstheme="minorHAnsi"/>
        </w:rPr>
        <w:t xml:space="preserve">Fraudulent inducement requires (1) that there was a knowing misrepresentation of a material present fact; (2) was intended to deceive the other party; (3) that it induced the party to rely upon it; (4) resulting in injury.  </w:t>
      </w:r>
    </w:p>
    <w:p w14:paraId="66887100" w14:textId="75F04BFD" w:rsidR="00304D4C" w:rsidRPr="007D029F" w:rsidRDefault="000F57C2" w:rsidP="00304D4C">
      <w:pPr>
        <w:ind w:left="720"/>
        <w:rPr>
          <w:rFonts w:cstheme="minorHAnsi"/>
        </w:rPr>
      </w:pPr>
      <w:r>
        <w:rPr>
          <w:rFonts w:cstheme="minorHAnsi"/>
        </w:rPr>
        <w:t xml:space="preserve">The </w:t>
      </w:r>
      <w:r w:rsidR="00304D4C" w:rsidRPr="007D029F">
        <w:rPr>
          <w:rFonts w:cstheme="minorHAnsi"/>
        </w:rPr>
        <w:t>Court held “moreover a general merger clause such as the one in the subject contract of sale is ineffective t</w:t>
      </w:r>
      <w:r w:rsidR="0081600E">
        <w:rPr>
          <w:rFonts w:cstheme="minorHAnsi"/>
        </w:rPr>
        <w:t>o</w:t>
      </w:r>
      <w:r w:rsidR="00304D4C" w:rsidRPr="007D029F">
        <w:rPr>
          <w:rFonts w:cstheme="minorHAnsi"/>
        </w:rPr>
        <w:t xml:space="preserve"> exclude parole evidence of fraud.”  </w:t>
      </w:r>
    </w:p>
    <w:p w14:paraId="5C7639D8" w14:textId="5A208F7F" w:rsidR="00304D4C" w:rsidRPr="007D029F" w:rsidRDefault="00304D4C" w:rsidP="00304D4C">
      <w:pPr>
        <w:ind w:left="720"/>
        <w:rPr>
          <w:rFonts w:cstheme="minorHAnsi"/>
        </w:rPr>
      </w:pPr>
      <w:r w:rsidRPr="007D029F">
        <w:rPr>
          <w:rFonts w:cstheme="minorHAnsi"/>
        </w:rPr>
        <w:t xml:space="preserve">Furthermore the claim for misrepresentation of the potential for additional development must be dismissed as they were statements of “future expectations” and do not contain material misstatements of present facts.  As to the claim of unjust </w:t>
      </w:r>
      <w:r w:rsidR="00C34005" w:rsidRPr="007D029F">
        <w:rPr>
          <w:rFonts w:cstheme="minorHAnsi"/>
        </w:rPr>
        <w:t>enrichment,</w:t>
      </w:r>
      <w:r w:rsidRPr="007D029F">
        <w:rPr>
          <w:rFonts w:cstheme="minorHAnsi"/>
        </w:rPr>
        <w:t xml:space="preserve"> that is a duplication of a claim for damages under the contract and accordingly is not sustainable.  However included in the action were certain parties who were not party to the contract and therefore the claim of unjust enrichment is sustained as to them.</w:t>
      </w:r>
    </w:p>
    <w:p w14:paraId="3E95F507" w14:textId="0528D627" w:rsidR="00304D4C" w:rsidRPr="007D029F" w:rsidRDefault="00304D4C" w:rsidP="00304D4C">
      <w:pPr>
        <w:ind w:left="720"/>
        <w:rPr>
          <w:rFonts w:cstheme="minorHAnsi"/>
        </w:rPr>
      </w:pPr>
      <w:r w:rsidRPr="007D029F">
        <w:rPr>
          <w:rFonts w:cstheme="minorHAnsi"/>
        </w:rPr>
        <w:t xml:space="preserve">Finally the claim of actual concealment regarding the condition of the septic system is maintainable under the rules of as set forth above.  </w:t>
      </w:r>
    </w:p>
    <w:p w14:paraId="11EDC0AA" w14:textId="77777777" w:rsidR="00225E38" w:rsidRPr="00C06C5D" w:rsidRDefault="00225E38" w:rsidP="00C06C5D">
      <w:pPr>
        <w:ind w:left="720"/>
      </w:pPr>
    </w:p>
    <w:p w14:paraId="5306E699" w14:textId="77777777" w:rsidR="00180397" w:rsidRPr="00180397" w:rsidRDefault="00180397" w:rsidP="00180397">
      <w:pPr>
        <w:rPr>
          <w:b/>
          <w:bCs/>
          <w:u w:val="single"/>
        </w:rPr>
      </w:pPr>
      <w:r w:rsidRPr="00180397">
        <w:rPr>
          <w:b/>
          <w:bCs/>
          <w:u w:val="single"/>
        </w:rPr>
        <w:t>CAVEAT EMPTOR - Why won't you let me look?</w:t>
      </w:r>
    </w:p>
    <w:p w14:paraId="1BB26ECA" w14:textId="2FBAF9B6" w:rsidR="00304D4C" w:rsidRPr="007D029F" w:rsidRDefault="00304D4C" w:rsidP="00304D4C">
      <w:pPr>
        <w:rPr>
          <w:rFonts w:cstheme="minorHAnsi"/>
        </w:rPr>
      </w:pPr>
      <w:r w:rsidRPr="007D029F">
        <w:rPr>
          <w:rFonts w:cstheme="minorHAnsi"/>
          <w:u w:val="single"/>
        </w:rPr>
        <w:t>Gordon v. Connie Profaci Realty, LLC</w:t>
      </w:r>
      <w:r w:rsidRPr="007D029F">
        <w:rPr>
          <w:rFonts w:cstheme="minorHAnsi"/>
        </w:rPr>
        <w:t>, 217 NYS 3d 658 (2</w:t>
      </w:r>
      <w:r w:rsidRPr="007D029F">
        <w:rPr>
          <w:rFonts w:cstheme="minorHAnsi"/>
          <w:vertAlign w:val="superscript"/>
        </w:rPr>
        <w:t>nd</w:t>
      </w:r>
      <w:r w:rsidRPr="007D029F">
        <w:rPr>
          <w:rFonts w:cstheme="minorHAnsi"/>
        </w:rPr>
        <w:t xml:space="preserve"> Dept. 2024).  </w:t>
      </w:r>
    </w:p>
    <w:p w14:paraId="6A9FB4C9" w14:textId="7798EE2E" w:rsidR="00304D4C" w:rsidRPr="007D029F" w:rsidRDefault="00304D4C" w:rsidP="00304D4C">
      <w:pPr>
        <w:ind w:left="720"/>
        <w:rPr>
          <w:rFonts w:cstheme="minorHAnsi"/>
        </w:rPr>
      </w:pPr>
      <w:r w:rsidRPr="007D029F">
        <w:rPr>
          <w:rFonts w:cstheme="minorHAnsi"/>
        </w:rPr>
        <w:t xml:space="preserve">This suit is against the broker for misrepresenting that the house actually had six bedrooms when in fact it only had four.  Plaintiff inspected the property and four of the </w:t>
      </w:r>
      <w:r w:rsidR="00B26C0E" w:rsidRPr="007D029F">
        <w:rPr>
          <w:rFonts w:cstheme="minorHAnsi"/>
        </w:rPr>
        <w:t>bedrooms</w:t>
      </w:r>
      <w:r w:rsidR="00B26C0E">
        <w:rPr>
          <w:rFonts w:cstheme="minorHAnsi"/>
        </w:rPr>
        <w:t xml:space="preserve"> and</w:t>
      </w:r>
      <w:r w:rsidRPr="007D029F">
        <w:rPr>
          <w:rFonts w:cstheme="minorHAnsi"/>
        </w:rPr>
        <w:t xml:space="preserve"> thereafter executed a contract of sale claiming that it did so only on the defendant’s purported misrepresentation that the home contained six bedrooms.  </w:t>
      </w:r>
      <w:r w:rsidRPr="007D029F">
        <w:rPr>
          <w:rFonts w:cstheme="minorHAnsi"/>
        </w:rPr>
        <w:lastRenderedPageBreak/>
        <w:t>Plaintiff claims that when inspecting the property the owner made certain statement</w:t>
      </w:r>
      <w:r w:rsidR="0081600E">
        <w:rPr>
          <w:rFonts w:cstheme="minorHAnsi"/>
        </w:rPr>
        <w:t>s</w:t>
      </w:r>
      <w:r w:rsidRPr="007D029F">
        <w:rPr>
          <w:rFonts w:cstheme="minorHAnsi"/>
        </w:rPr>
        <w:t xml:space="preserve"> indicating that two of the bedrooms were not available for inspection.  </w:t>
      </w:r>
    </w:p>
    <w:p w14:paraId="3B69E4AC" w14:textId="77777777" w:rsidR="00304D4C" w:rsidRDefault="00304D4C" w:rsidP="00304D4C">
      <w:pPr>
        <w:ind w:firstLine="720"/>
        <w:rPr>
          <w:rFonts w:cstheme="minorHAnsi"/>
          <w:u w:val="single"/>
        </w:rPr>
      </w:pPr>
      <w:r w:rsidRPr="007D029F">
        <w:rPr>
          <w:rFonts w:cstheme="minorHAnsi"/>
          <w:u w:val="single"/>
        </w:rPr>
        <w:t>Held</w:t>
      </w:r>
      <w:r>
        <w:rPr>
          <w:rFonts w:cstheme="minorHAnsi"/>
          <w:u w:val="single"/>
        </w:rPr>
        <w:t>:</w:t>
      </w:r>
    </w:p>
    <w:p w14:paraId="08BE284B" w14:textId="4074B367" w:rsidR="00225E38" w:rsidRPr="0081377B" w:rsidRDefault="00304D4C" w:rsidP="00180397">
      <w:pPr>
        <w:ind w:left="720"/>
        <w:rPr>
          <w:rFonts w:cstheme="minorHAnsi"/>
        </w:rPr>
      </w:pPr>
      <w:r w:rsidRPr="007D029F">
        <w:rPr>
          <w:rFonts w:cstheme="minorHAnsi"/>
        </w:rPr>
        <w:t>Mere silence does not constitute deception.  However if there is more than mere silence such as an actual misrepresentation</w:t>
      </w:r>
      <w:r w:rsidR="00E30A23">
        <w:rPr>
          <w:rFonts w:cstheme="minorHAnsi"/>
        </w:rPr>
        <w:t>,</w:t>
      </w:r>
      <w:r w:rsidRPr="007D029F">
        <w:rPr>
          <w:rFonts w:cstheme="minorHAnsi"/>
        </w:rPr>
        <w:t xml:space="preserve"> the action can be maintained and even in that case the purchaser must show that the seller prevented the buyer from ascertaining the facts of the matter.  In this case however plaintiff failed to show that the matter’s peculiarly within the defendant’s knowledge could not have been discovered by exercise of ordinary intelligence.</w:t>
      </w:r>
    </w:p>
    <w:p w14:paraId="72E0F38E" w14:textId="14ED72A0" w:rsidR="00180397" w:rsidRPr="008B39F7" w:rsidRDefault="00180397" w:rsidP="00180397">
      <w:pPr>
        <w:rPr>
          <w:b/>
          <w:bCs/>
          <w:u w:val="single"/>
        </w:rPr>
      </w:pPr>
      <w:r>
        <w:rPr>
          <w:b/>
          <w:bCs/>
          <w:u w:val="single"/>
        </w:rPr>
        <w:t xml:space="preserve">11. </w:t>
      </w:r>
      <w:r w:rsidRPr="008B39F7">
        <w:rPr>
          <w:b/>
          <w:bCs/>
          <w:u w:val="single"/>
        </w:rPr>
        <w:t>BROKERS</w:t>
      </w:r>
    </w:p>
    <w:p w14:paraId="3AEC7311" w14:textId="2EADE3E1" w:rsidR="00180397" w:rsidRDefault="00180397" w:rsidP="00180397">
      <w:r w:rsidRPr="00A55690">
        <w:rPr>
          <w:u w:val="single"/>
        </w:rPr>
        <w:t>S</w:t>
      </w:r>
      <w:r>
        <w:rPr>
          <w:u w:val="single"/>
        </w:rPr>
        <w:t xml:space="preserve">outh </w:t>
      </w:r>
      <w:r w:rsidRPr="00A55690">
        <w:rPr>
          <w:u w:val="single"/>
        </w:rPr>
        <w:t>Shore Estates, Inc. v. Guy Friedman Realty Corp.</w:t>
      </w:r>
      <w:r w:rsidRPr="00A55690">
        <w:t>, 230 A.D.</w:t>
      </w:r>
      <w:r w:rsidR="00A9401E">
        <w:t xml:space="preserve"> </w:t>
      </w:r>
      <w:r w:rsidRPr="00A55690">
        <w:t>3d 522 (</w:t>
      </w:r>
      <w:r>
        <w:t>2</w:t>
      </w:r>
      <w:r w:rsidRPr="008B39F7">
        <w:rPr>
          <w:vertAlign w:val="superscript"/>
        </w:rPr>
        <w:t>nd</w:t>
      </w:r>
      <w:r>
        <w:t xml:space="preserve"> Dept</w:t>
      </w:r>
      <w:r w:rsidRPr="00A55690">
        <w:t>. 2024)</w:t>
      </w:r>
    </w:p>
    <w:p w14:paraId="1C071CFC" w14:textId="1868BE86" w:rsidR="00180397" w:rsidRDefault="00180397" w:rsidP="00180397">
      <w:pPr>
        <w:ind w:left="720"/>
      </w:pPr>
      <w:r>
        <w:t>Involved a dispute between South Shore Estates (Plaintiff) and Guy Friedman Realty Corp. (Defendant) regarding brokerage commissions and enforceability of agreements under the statute of frauds.</w:t>
      </w:r>
    </w:p>
    <w:p w14:paraId="57EF9FCD" w14:textId="77777777" w:rsidR="00180397" w:rsidRDefault="00180397" w:rsidP="00180397">
      <w:pPr>
        <w:ind w:left="720"/>
      </w:pPr>
      <w:r>
        <w:t>Several listing agreements between the parties of note, Broker alleged that plaintiffs failed to sell the broker an interest in the property. Court found there was no agreement because the agreement</w:t>
      </w:r>
      <w:r w:rsidRPr="00092309">
        <w:t xml:space="preserve"> failed to include essential terms such as the time and terms of payment, required financing, closing date, quality of title, risk of loss, or adjustments for taxes and utilities</w:t>
      </w:r>
      <w:r>
        <w:t>.</w:t>
      </w:r>
    </w:p>
    <w:p w14:paraId="1ED2546A" w14:textId="77777777" w:rsidR="00180397" w:rsidRDefault="00180397" w:rsidP="00180397">
      <w:pPr>
        <w:ind w:left="720"/>
        <w:rPr>
          <w:u w:val="single"/>
        </w:rPr>
      </w:pPr>
      <w:r>
        <w:rPr>
          <w:u w:val="single"/>
        </w:rPr>
        <w:t>Held:</w:t>
      </w:r>
    </w:p>
    <w:p w14:paraId="05FD314A" w14:textId="2AD882EB" w:rsidR="00180397" w:rsidRPr="00092309" w:rsidRDefault="00180397" w:rsidP="00180397">
      <w:pPr>
        <w:ind w:left="720"/>
      </w:pPr>
      <w:r>
        <w:t>P</w:t>
      </w:r>
      <w:r w:rsidRPr="00092309">
        <w:t xml:space="preserve">laintiffs were not entitled to </w:t>
      </w:r>
      <w:r w:rsidR="00AC284F" w:rsidRPr="00092309">
        <w:t>commissions</w:t>
      </w:r>
      <w:r>
        <w:t>.</w:t>
      </w:r>
    </w:p>
    <w:p w14:paraId="240C2CB7" w14:textId="5B462A2F" w:rsidR="00A9401E" w:rsidRDefault="00180397" w:rsidP="00180397">
      <w:pPr>
        <w:ind w:left="720"/>
      </w:pPr>
      <w:r>
        <w:t xml:space="preserve">Also noteworthy: </w:t>
      </w:r>
      <w:r w:rsidRPr="00092309">
        <w:t xml:space="preserve">The breach of fiduciary duty counterclaim was time-barred under the six-year statute of limitations for fraud, as claims concerning transactions that occurred before March 9, 2010, were time-barred. </w:t>
      </w:r>
    </w:p>
    <w:p w14:paraId="34F66703" w14:textId="10314B90" w:rsidR="00180397" w:rsidRDefault="00180397" w:rsidP="00180397">
      <w:pPr>
        <w:rPr>
          <w:u w:val="single"/>
        </w:rPr>
      </w:pPr>
      <w:r w:rsidRPr="00180397">
        <w:rPr>
          <w:u w:val="single"/>
        </w:rPr>
        <w:t>Global X Inc v Hogwart</w:t>
      </w:r>
      <w:r w:rsidR="00304D4C">
        <w:rPr>
          <w:u w:val="single"/>
        </w:rPr>
        <w:t>s</w:t>
      </w:r>
      <w:r w:rsidR="00CC03F5">
        <w:rPr>
          <w:u w:val="single"/>
        </w:rPr>
        <w:t xml:space="preserve"> Capital, LLC</w:t>
      </w:r>
      <w:r w:rsidR="00D95047">
        <w:rPr>
          <w:u w:val="single"/>
        </w:rPr>
        <w:t>,</w:t>
      </w:r>
      <w:r w:rsidR="00CC03F5" w:rsidRPr="00D95047">
        <w:t xml:space="preserve"> </w:t>
      </w:r>
      <w:r w:rsidR="00D95047">
        <w:t xml:space="preserve">226 A.D. 3d 535 </w:t>
      </w:r>
      <w:r w:rsidR="00CC03F5" w:rsidRPr="00D95047">
        <w:t>(2</w:t>
      </w:r>
      <w:r w:rsidR="00CC03F5" w:rsidRPr="00D95047">
        <w:rPr>
          <w:vertAlign w:val="superscript"/>
        </w:rPr>
        <w:t>nd</w:t>
      </w:r>
      <w:r w:rsidR="00CC03F5" w:rsidRPr="00D95047">
        <w:t xml:space="preserve"> Dept. 2024)</w:t>
      </w:r>
    </w:p>
    <w:p w14:paraId="001C36D6" w14:textId="2B58CAB1" w:rsidR="00CC03F5" w:rsidRDefault="00CC03F5" w:rsidP="00CC03F5">
      <w:pPr>
        <w:ind w:left="720"/>
      </w:pPr>
      <w:r>
        <w:t>Plaintiff claims it’s owed a broker’s fee. No written agreement. Plaintiff claims there is an implied or oral agreement</w:t>
      </w:r>
    </w:p>
    <w:p w14:paraId="04FA6A98" w14:textId="2B303DE5" w:rsidR="00CC03F5" w:rsidRDefault="00CC03F5" w:rsidP="00CC03F5">
      <w:pPr>
        <w:ind w:left="720"/>
      </w:pPr>
      <w:r>
        <w:t>Problem: No [proposed] sale agreement</w:t>
      </w:r>
    </w:p>
    <w:p w14:paraId="01ACE8EA" w14:textId="5B8212D8" w:rsidR="00CC03F5" w:rsidRDefault="00CC03F5" w:rsidP="00CC03F5">
      <w:pPr>
        <w:ind w:left="720"/>
      </w:pPr>
      <w:r w:rsidRPr="00A9401E">
        <w:rPr>
          <w:u w:val="single"/>
        </w:rPr>
        <w:t>Held</w:t>
      </w:r>
      <w:r>
        <w:t>:</w:t>
      </w:r>
    </w:p>
    <w:p w14:paraId="521FD69F" w14:textId="0971DA14" w:rsidR="00225E38" w:rsidRDefault="00AC284F" w:rsidP="00CC03F5">
      <w:pPr>
        <w:ind w:left="720"/>
        <w:rPr>
          <w:u w:val="single"/>
        </w:rPr>
      </w:pPr>
      <w:r>
        <w:t>Plaintiffs’</w:t>
      </w:r>
      <w:r w:rsidR="00CC03F5">
        <w:t xml:space="preserve"> claims for fraud, quantum meruit, unjust enrichment, breach of implied contract and tortious interference with contract claims are dismissed.</w:t>
      </w:r>
    </w:p>
    <w:p w14:paraId="190165E8" w14:textId="005FE94A" w:rsidR="00180397" w:rsidRPr="00180397" w:rsidRDefault="00180397" w:rsidP="00180397">
      <w:pPr>
        <w:rPr>
          <w:b/>
          <w:bCs/>
          <w:u w:val="single"/>
        </w:rPr>
      </w:pPr>
      <w:r w:rsidRPr="0028489D">
        <w:rPr>
          <w:b/>
          <w:bCs/>
          <w:u w:val="single"/>
        </w:rPr>
        <w:lastRenderedPageBreak/>
        <w:t xml:space="preserve">12. </w:t>
      </w:r>
      <w:r w:rsidRPr="00180397">
        <w:rPr>
          <w:b/>
          <w:bCs/>
          <w:u w:val="single"/>
        </w:rPr>
        <w:t>T/T BENEFICIARIES</w:t>
      </w:r>
    </w:p>
    <w:p w14:paraId="7CD1B4F6" w14:textId="67CA7E58" w:rsidR="00304D4C" w:rsidRPr="00353FE4" w:rsidRDefault="00304D4C" w:rsidP="00304D4C">
      <w:pPr>
        <w:rPr>
          <w:rFonts w:cstheme="minorHAnsi"/>
        </w:rPr>
      </w:pPr>
      <w:bookmarkStart w:id="0" w:name="_Hlk192764764"/>
      <w:r w:rsidRPr="00353FE4">
        <w:rPr>
          <w:rFonts w:cstheme="minorHAnsi"/>
          <w:u w:val="single"/>
        </w:rPr>
        <w:t>Clark v. Clark</w:t>
      </w:r>
      <w:r w:rsidRPr="00353FE4">
        <w:rPr>
          <w:rFonts w:cstheme="minorHAnsi"/>
        </w:rPr>
        <w:t>, 227 A</w:t>
      </w:r>
      <w:r w:rsidR="00A9401E">
        <w:rPr>
          <w:rFonts w:cstheme="minorHAnsi"/>
        </w:rPr>
        <w:t>.</w:t>
      </w:r>
      <w:r w:rsidRPr="00353FE4">
        <w:rPr>
          <w:rFonts w:cstheme="minorHAnsi"/>
        </w:rPr>
        <w:t>D</w:t>
      </w:r>
      <w:r w:rsidR="00A9401E">
        <w:rPr>
          <w:rFonts w:cstheme="minorHAnsi"/>
        </w:rPr>
        <w:t xml:space="preserve">. </w:t>
      </w:r>
      <w:r w:rsidRPr="00353FE4">
        <w:rPr>
          <w:rFonts w:cstheme="minorHAnsi"/>
        </w:rPr>
        <w:t>3d 359 (2</w:t>
      </w:r>
      <w:r w:rsidRPr="00353FE4">
        <w:rPr>
          <w:rFonts w:cstheme="minorHAnsi"/>
          <w:vertAlign w:val="superscript"/>
        </w:rPr>
        <w:t>nd</w:t>
      </w:r>
      <w:r w:rsidRPr="00353FE4">
        <w:rPr>
          <w:rFonts w:cstheme="minorHAnsi"/>
        </w:rPr>
        <w:t xml:space="preserve"> Dept. 2024).</w:t>
      </w:r>
    </w:p>
    <w:p w14:paraId="0216CA19" w14:textId="7296C0B1" w:rsidR="00304D4C" w:rsidRPr="00353FE4" w:rsidRDefault="00304D4C" w:rsidP="00304D4C">
      <w:pPr>
        <w:ind w:left="720"/>
        <w:rPr>
          <w:rFonts w:cstheme="minorHAnsi"/>
        </w:rPr>
      </w:pPr>
      <w:r w:rsidRPr="00353FE4">
        <w:rPr>
          <w:rFonts w:cstheme="minorHAnsi"/>
        </w:rPr>
        <w:t xml:space="preserve">Marcia Clark and Rudolph Clark, husband and wife, enter into a settlement agreement in their divorce action.  The agreement provided that the two Clark children would each own 50% of the property upon the death of the last surviving party to the agreement.  The lawsuit by the children against the father (the mother having died) claimed that the father failed to make payments on the mortgage on the subject property as required in the settlement agreement.  </w:t>
      </w:r>
    </w:p>
    <w:p w14:paraId="36FE33AD" w14:textId="77777777" w:rsidR="00304D4C" w:rsidRDefault="00304D4C" w:rsidP="00304D4C">
      <w:pPr>
        <w:rPr>
          <w:rFonts w:cstheme="minorHAnsi"/>
          <w:u w:val="single"/>
        </w:rPr>
      </w:pPr>
      <w:r w:rsidRPr="00353FE4">
        <w:rPr>
          <w:rFonts w:cstheme="minorHAnsi"/>
        </w:rPr>
        <w:tab/>
      </w:r>
      <w:r w:rsidRPr="00353FE4">
        <w:rPr>
          <w:rFonts w:cstheme="minorHAnsi"/>
          <w:u w:val="single"/>
        </w:rPr>
        <w:t>Held</w:t>
      </w:r>
      <w:r>
        <w:rPr>
          <w:rFonts w:cstheme="minorHAnsi"/>
          <w:u w:val="single"/>
        </w:rPr>
        <w:t>:</w:t>
      </w:r>
    </w:p>
    <w:p w14:paraId="62B8100A" w14:textId="0481782B" w:rsidR="00304D4C" w:rsidRPr="007D029F" w:rsidRDefault="00304D4C" w:rsidP="00304D4C">
      <w:pPr>
        <w:ind w:left="720"/>
        <w:rPr>
          <w:rFonts w:cstheme="minorHAnsi"/>
        </w:rPr>
      </w:pPr>
      <w:r w:rsidRPr="00353FE4">
        <w:rPr>
          <w:rFonts w:cstheme="minorHAnsi"/>
        </w:rPr>
        <w:t xml:space="preserve">The children bring an action to enforce the agreement on the basis that they are third-party beneficiaries.  The Court held that “a party asserting rights as a third-party beneficiary must establish:  1) the existence of a valid and binding contract between other parties; 2) that the contract was intended for the third-party’s benefit; and 3) that the benefit to the third party is sufficiently immediate rather than incidental to indicate the assumption by the contracting parties of a duty to compensate the third party if the benefit is lost.”  </w:t>
      </w:r>
      <w:r w:rsidR="00E30A23">
        <w:rPr>
          <w:rFonts w:cstheme="minorHAnsi"/>
        </w:rPr>
        <w:t>Th</w:t>
      </w:r>
      <w:r w:rsidRPr="00353FE4">
        <w:rPr>
          <w:rFonts w:cstheme="minorHAnsi"/>
        </w:rPr>
        <w:t xml:space="preserve">e hang-up here is the “immediate” requirement.  The Court held that the children failed to demonstrate an immediate benefit but something in the future which rendered the involvement of the children incidental.  </w:t>
      </w:r>
      <w:bookmarkEnd w:id="0"/>
    </w:p>
    <w:p w14:paraId="69AE7927" w14:textId="4473602F" w:rsidR="0028489D" w:rsidRDefault="0028489D" w:rsidP="0028489D">
      <w:pPr>
        <w:rPr>
          <w:b/>
          <w:bCs/>
          <w:u w:val="single"/>
        </w:rPr>
      </w:pPr>
      <w:r w:rsidRPr="0028489D">
        <w:rPr>
          <w:b/>
          <w:bCs/>
          <w:u w:val="single"/>
        </w:rPr>
        <w:t>DEED- PURCHASE MONEY MORTGAGE- SKULLDUGGERY</w:t>
      </w:r>
    </w:p>
    <w:p w14:paraId="2E833311" w14:textId="0A55F089" w:rsidR="00304D4C" w:rsidRPr="007D029F" w:rsidRDefault="00304D4C" w:rsidP="00304D4C">
      <w:pPr>
        <w:rPr>
          <w:rFonts w:cstheme="minorHAnsi"/>
        </w:rPr>
      </w:pPr>
      <w:r w:rsidRPr="007D029F">
        <w:rPr>
          <w:rFonts w:cstheme="minorHAnsi"/>
          <w:u w:val="single"/>
        </w:rPr>
        <w:t>Bennett v. Bennett</w:t>
      </w:r>
      <w:r w:rsidRPr="007D029F">
        <w:rPr>
          <w:rFonts w:cstheme="minorHAnsi"/>
        </w:rPr>
        <w:t>, 223 A</w:t>
      </w:r>
      <w:r w:rsidR="004F2F81">
        <w:rPr>
          <w:rFonts w:cstheme="minorHAnsi"/>
        </w:rPr>
        <w:t>.</w:t>
      </w:r>
      <w:r w:rsidRPr="007D029F">
        <w:rPr>
          <w:rFonts w:cstheme="minorHAnsi"/>
        </w:rPr>
        <w:t>D</w:t>
      </w:r>
      <w:r w:rsidR="004F2F81">
        <w:rPr>
          <w:rFonts w:cstheme="minorHAnsi"/>
        </w:rPr>
        <w:t>.</w:t>
      </w:r>
      <w:r w:rsidRPr="007D029F">
        <w:rPr>
          <w:rFonts w:cstheme="minorHAnsi"/>
        </w:rPr>
        <w:t>3d 1013 (3</w:t>
      </w:r>
      <w:r w:rsidRPr="007D029F">
        <w:rPr>
          <w:rFonts w:cstheme="minorHAnsi"/>
          <w:vertAlign w:val="superscript"/>
        </w:rPr>
        <w:t>rd</w:t>
      </w:r>
      <w:r w:rsidRPr="007D029F">
        <w:rPr>
          <w:rFonts w:cstheme="minorHAnsi"/>
        </w:rPr>
        <w:t xml:space="preserve"> Dept. 2024).  </w:t>
      </w:r>
    </w:p>
    <w:p w14:paraId="229C9BDE" w14:textId="2536829F" w:rsidR="00304D4C" w:rsidRPr="007D029F" w:rsidRDefault="00304D4C" w:rsidP="00304D4C">
      <w:pPr>
        <w:ind w:left="720"/>
        <w:rPr>
          <w:rFonts w:cstheme="minorHAnsi"/>
        </w:rPr>
      </w:pPr>
      <w:r w:rsidRPr="007D029F">
        <w:rPr>
          <w:rFonts w:cstheme="minorHAnsi"/>
        </w:rPr>
        <w:t xml:space="preserve">Plaintiff and his wife entered into a contract to purchase the family farm for the sum of $70,000 pursuant to an installment agreement.  The plaintiff and his wife then </w:t>
      </w:r>
      <w:r w:rsidR="00AC284F" w:rsidRPr="007D029F">
        <w:rPr>
          <w:rFonts w:cstheme="minorHAnsi"/>
        </w:rPr>
        <w:t>divorced,</w:t>
      </w:r>
      <w:r w:rsidRPr="007D029F">
        <w:rPr>
          <w:rFonts w:cstheme="minorHAnsi"/>
        </w:rPr>
        <w:t xml:space="preserve"> and defendant’s attorney stated that they needed security during the divorce with the idea that plaintiff’s wife may claim an interest in the farm in the divorce.  The only solution was that the property be conveyed back to the defendant, that plaintiff’s execute a purchase money mortgage and other documentation.  During this period plaintiff and his wife expended hundreds of thousands of dollars to put the property in good shape.  The plaintiff was assured in several meetings with defendant and defendant’s attorney that the reconveyance was simply to protect the property and at the end of the divorce the property would be reconveyed to plaintiff.  When plaintiff sought a reconveyance he was met with a purchase price of $93,168 with the defendant maintaining that the payments made pursuant to the mortgage were simply rental payments.  Defendant then raised the price to $190,000 and ultimately to $450,000.  All the papers</w:t>
      </w:r>
      <w:r w:rsidR="00C375F6">
        <w:rPr>
          <w:rFonts w:cstheme="minorHAnsi"/>
        </w:rPr>
        <w:t>,</w:t>
      </w:r>
      <w:r w:rsidRPr="007D029F">
        <w:rPr>
          <w:rFonts w:cstheme="minorHAnsi"/>
        </w:rPr>
        <w:t xml:space="preserve"> including an amortization schedule</w:t>
      </w:r>
      <w:r w:rsidR="00C375F6">
        <w:rPr>
          <w:rFonts w:cstheme="minorHAnsi"/>
        </w:rPr>
        <w:t>,</w:t>
      </w:r>
      <w:r w:rsidRPr="007D029F">
        <w:rPr>
          <w:rFonts w:cstheme="minorHAnsi"/>
        </w:rPr>
        <w:t xml:space="preserve"> were prepared by defendant’s attorney.  The reconveyance and surrounding documents and events took place in 2012.  </w:t>
      </w:r>
      <w:r w:rsidRPr="007D029F">
        <w:rPr>
          <w:rFonts w:cstheme="minorHAnsi"/>
        </w:rPr>
        <w:lastRenderedPageBreak/>
        <w:t>Defendant maintains that pursuant to the statute of limitations the claim of fraud expired in March 2018.</w:t>
      </w:r>
    </w:p>
    <w:p w14:paraId="798E975D" w14:textId="77777777" w:rsidR="00304D4C" w:rsidRDefault="00304D4C" w:rsidP="00304D4C">
      <w:pPr>
        <w:ind w:left="720"/>
        <w:rPr>
          <w:rFonts w:cstheme="minorHAnsi"/>
        </w:rPr>
      </w:pPr>
      <w:r w:rsidRPr="007D029F">
        <w:rPr>
          <w:rFonts w:cstheme="minorHAnsi"/>
          <w:u w:val="single"/>
        </w:rPr>
        <w:t>Held</w:t>
      </w:r>
      <w:r>
        <w:rPr>
          <w:rFonts w:cstheme="minorHAnsi"/>
        </w:rPr>
        <w:t>:</w:t>
      </w:r>
      <w:r w:rsidRPr="007D029F">
        <w:rPr>
          <w:rFonts w:cstheme="minorHAnsi"/>
        </w:rPr>
        <w:t xml:space="preserve"> </w:t>
      </w:r>
    </w:p>
    <w:p w14:paraId="3FA2D528" w14:textId="42E2D92C" w:rsidR="00304D4C" w:rsidRPr="007D029F" w:rsidRDefault="00304D4C" w:rsidP="00304D4C">
      <w:pPr>
        <w:ind w:left="720"/>
        <w:rPr>
          <w:rFonts w:cstheme="minorHAnsi"/>
        </w:rPr>
      </w:pPr>
      <w:r w:rsidRPr="007D029F">
        <w:rPr>
          <w:rFonts w:cstheme="minorHAnsi"/>
        </w:rPr>
        <w:t xml:space="preserve">The essential elements of the cause of action sounding in fraud are a material misrepresentation of a fact by the defendants, knowledge by defendant of the falsity of their intent to induce reliance thereon, justifiable reliance by the plaintiff and damages.  As to justifiable reliance it can be concluded from the decision that the participation of defendant’s attorney in these actions established justifiable reliance on the part of the plaintiff.  As for the statute of </w:t>
      </w:r>
      <w:r w:rsidR="00AC284F" w:rsidRPr="007D029F">
        <w:rPr>
          <w:rFonts w:cstheme="minorHAnsi"/>
        </w:rPr>
        <w:t>limitations,</w:t>
      </w:r>
      <w:r w:rsidRPr="007D029F">
        <w:rPr>
          <w:rFonts w:cstheme="minorHAnsi"/>
        </w:rPr>
        <w:t xml:space="preserve"> the mere fact of recording the instruments is insufficient to constitute constructive notice of alleged fraud in the absence of some knowledge that would have required</w:t>
      </w:r>
      <w:r w:rsidR="00D05A2D">
        <w:rPr>
          <w:rFonts w:cstheme="minorHAnsi"/>
        </w:rPr>
        <w:t xml:space="preserve"> investigation</w:t>
      </w:r>
      <w:r w:rsidRPr="007D029F">
        <w:rPr>
          <w:rFonts w:cstheme="minorHAnsi"/>
        </w:rPr>
        <w:t xml:space="preserve">.  According to plaintiff’s papers it was not until August 2021 that plaintiff had reason to revisit defendant’s promise to reconvey the property and it was not until defendant’s response to this litigation that plaintiff had reason to believe that defendant’s promise was fraudulent at its inception and it was not until that time that defendant wrongfully refused to reconvey the property.  Accordingly plaintiff should be able to prove that it justifiably relied upon the statements that the papers were only executed to protect the property from plaintiff’s wife and plaintiff should be permitted to prove that he had no knowledge of </w:t>
      </w:r>
      <w:r w:rsidR="00B26C0E" w:rsidRPr="007D029F">
        <w:rPr>
          <w:rFonts w:cstheme="minorHAnsi"/>
        </w:rPr>
        <w:t>fraud</w:t>
      </w:r>
      <w:r w:rsidRPr="007D029F">
        <w:rPr>
          <w:rFonts w:cstheme="minorHAnsi"/>
        </w:rPr>
        <w:t xml:space="preserve"> until the refusal to reconvey</w:t>
      </w:r>
      <w:r w:rsidR="00443CDE">
        <w:rPr>
          <w:rFonts w:cstheme="minorHAnsi"/>
        </w:rPr>
        <w:t>.</w:t>
      </w:r>
    </w:p>
    <w:p w14:paraId="2DC6313E" w14:textId="77777777" w:rsidR="00225E38" w:rsidRDefault="00225E38" w:rsidP="0028489D">
      <w:pPr>
        <w:ind w:left="720"/>
      </w:pPr>
    </w:p>
    <w:p w14:paraId="7BA32A95" w14:textId="2D71A192" w:rsidR="0028489D" w:rsidRPr="0028489D" w:rsidRDefault="00010D7B" w:rsidP="0028489D">
      <w:pPr>
        <w:rPr>
          <w:b/>
          <w:bCs/>
          <w:u w:val="single"/>
        </w:rPr>
      </w:pPr>
      <w:r>
        <w:rPr>
          <w:b/>
          <w:bCs/>
          <w:u w:val="single"/>
        </w:rPr>
        <w:t xml:space="preserve">13. </w:t>
      </w:r>
      <w:r w:rsidR="0028489D" w:rsidRPr="0028489D">
        <w:rPr>
          <w:b/>
          <w:bCs/>
          <w:u w:val="single"/>
        </w:rPr>
        <w:t>DEPOSITS AND CONTRACTS</w:t>
      </w:r>
    </w:p>
    <w:p w14:paraId="473F4DA6" w14:textId="5C532C3C" w:rsidR="0028489D" w:rsidRPr="00B81B34" w:rsidRDefault="0028489D" w:rsidP="0028489D">
      <w:r w:rsidRPr="00B81B34">
        <w:rPr>
          <w:u w:val="single"/>
        </w:rPr>
        <w:t>Carpio v. Morris</w:t>
      </w:r>
      <w:r w:rsidRPr="00B81B34">
        <w:t>, 223 A.D.3d 781 (</w:t>
      </w:r>
      <w:r>
        <w:t>2</w:t>
      </w:r>
      <w:r w:rsidRPr="00B81B34">
        <w:rPr>
          <w:vertAlign w:val="superscript"/>
        </w:rPr>
        <w:t>nd</w:t>
      </w:r>
      <w:r>
        <w:t xml:space="preserve"> Dept</w:t>
      </w:r>
      <w:r w:rsidRPr="00B81B34">
        <w:t>. 2024)</w:t>
      </w:r>
    </w:p>
    <w:p w14:paraId="6292B205" w14:textId="4D31F2E2" w:rsidR="0028489D" w:rsidRDefault="00C87159" w:rsidP="0028489D">
      <w:pPr>
        <w:ind w:left="720"/>
      </w:pPr>
      <w:r>
        <w:t>Contract</w:t>
      </w:r>
      <w:r w:rsidR="0028489D">
        <w:t xml:space="preserve"> to purchase property from defendant with an $18,375 down payment and a mortgage contingency clause. The contract contained a rider that specified that if the lender failed to fund the loan for any reason other than buyer’s bad faith, the contract would be terminated, and the buyer’s down payment would be refunded</w:t>
      </w:r>
    </w:p>
    <w:p w14:paraId="30C4460E" w14:textId="77777777" w:rsidR="0028489D" w:rsidRDefault="0028489D" w:rsidP="0028489D">
      <w:pPr>
        <w:ind w:left="720"/>
      </w:pPr>
      <w:r>
        <w:t>Buyer alleged that the lender refused to fund the loan because defendant failed to repair a pool cover. Based on the rider’s terms, the contract would be terminated, and buyer’s down payment would be refunded.</w:t>
      </w:r>
    </w:p>
    <w:p w14:paraId="74C05190" w14:textId="77777777" w:rsidR="0028489D" w:rsidRDefault="0028489D" w:rsidP="0028489D">
      <w:pPr>
        <w:ind w:left="720"/>
      </w:pPr>
      <w:r w:rsidRPr="00BF0657">
        <w:t>The buyer filed a notice of pendency against the property and commenced an action for damages. The defendant moved to dismiss the case, arguing lack of personal jurisdiction, improper service, and failure to state a claim, and also sought to vacate the notice of pendency. The Supreme Court denied the motion, and the defendant appealed.</w:t>
      </w:r>
    </w:p>
    <w:p w14:paraId="1105F049" w14:textId="77777777" w:rsidR="0028489D" w:rsidRPr="00BF0657" w:rsidRDefault="0028489D" w:rsidP="0028489D">
      <w:pPr>
        <w:ind w:left="720"/>
        <w:rPr>
          <w:u w:val="single"/>
        </w:rPr>
      </w:pPr>
      <w:r>
        <w:rPr>
          <w:u w:val="single"/>
        </w:rPr>
        <w:t>Held:</w:t>
      </w:r>
    </w:p>
    <w:p w14:paraId="2BDFD472" w14:textId="77777777" w:rsidR="0028489D" w:rsidRDefault="0028489D" w:rsidP="0028489D">
      <w:pPr>
        <w:ind w:left="720"/>
      </w:pPr>
      <w:r w:rsidRPr="00BF0657">
        <w:lastRenderedPageBreak/>
        <w:t xml:space="preserve">The appellate court affirmed the lower court’s decision, holding that the buyer adequately alleged a breach of contract claim by asserting the existence of a valid contract, performance under the contract, breach by the defendant, and resulting damages. </w:t>
      </w:r>
    </w:p>
    <w:p w14:paraId="44E5EE88" w14:textId="77777777" w:rsidR="0028489D" w:rsidRDefault="0028489D" w:rsidP="0028489D">
      <w:pPr>
        <w:ind w:left="720"/>
      </w:pPr>
      <w:r w:rsidRPr="00BF0657">
        <w:t xml:space="preserve">The court emphasized that dismissal under CPLR 3211(a)(7) is inappropriate unless the plaintiff’s allegations are conclusively refuted by documentary evidence. </w:t>
      </w:r>
      <w:r>
        <w:t>**</w:t>
      </w:r>
      <w:r w:rsidRPr="00BF0657">
        <w:t>Additionally, the court found that service was proper because it was made to a person of suitable age and discretion at the defendant’s actual place of business</w:t>
      </w:r>
      <w:r>
        <w:t xml:space="preserve"> (a law firm)</w:t>
      </w:r>
      <w:r w:rsidRPr="00BF0657">
        <w:t>, satisfying CPLR 308(2).</w:t>
      </w:r>
    </w:p>
    <w:p w14:paraId="43FCBE6F" w14:textId="77777777" w:rsidR="0028489D" w:rsidRDefault="0028489D" w:rsidP="0028489D">
      <w:pPr>
        <w:ind w:left="720"/>
      </w:pPr>
      <w:r w:rsidRPr="00BF0657">
        <w:t xml:space="preserve"> The notice of pendency was also deemed appropriate, as the contract specified that payments made would become liens on the property, and the buyer’s claim sought to recover those funds. </w:t>
      </w:r>
    </w:p>
    <w:p w14:paraId="353BB24A" w14:textId="77777777" w:rsidR="00225E38" w:rsidRDefault="00225E38" w:rsidP="0028489D">
      <w:pPr>
        <w:ind w:left="720"/>
      </w:pPr>
    </w:p>
    <w:p w14:paraId="7777EE53" w14:textId="77777777" w:rsidR="00010D7B" w:rsidRPr="00010D7B" w:rsidRDefault="00010D7B" w:rsidP="00010D7B">
      <w:pPr>
        <w:rPr>
          <w:b/>
          <w:bCs/>
          <w:u w:val="single"/>
        </w:rPr>
      </w:pPr>
      <w:r w:rsidRPr="00010D7B">
        <w:rPr>
          <w:b/>
          <w:bCs/>
          <w:u w:val="single"/>
        </w:rPr>
        <w:t>CONTRACTS / PURCHASE AND SALE</w:t>
      </w:r>
    </w:p>
    <w:p w14:paraId="2A889CAE" w14:textId="5E80B910" w:rsidR="00304D4C" w:rsidRPr="007D029F" w:rsidRDefault="00304D4C" w:rsidP="00304D4C">
      <w:pPr>
        <w:rPr>
          <w:rFonts w:cstheme="minorHAnsi"/>
        </w:rPr>
      </w:pPr>
      <w:r w:rsidRPr="007D029F">
        <w:rPr>
          <w:rFonts w:cstheme="minorHAnsi"/>
          <w:u w:val="single"/>
        </w:rPr>
        <w:t>Special Corp. v. 3RF, LLC</w:t>
      </w:r>
      <w:r w:rsidRPr="007D029F">
        <w:rPr>
          <w:rFonts w:cstheme="minorHAnsi"/>
        </w:rPr>
        <w:t>, 230 A</w:t>
      </w:r>
      <w:r w:rsidR="004F2F81">
        <w:rPr>
          <w:rFonts w:cstheme="minorHAnsi"/>
        </w:rPr>
        <w:t>.</w:t>
      </w:r>
      <w:r w:rsidRPr="007D029F">
        <w:rPr>
          <w:rFonts w:cstheme="minorHAnsi"/>
        </w:rPr>
        <w:t>D</w:t>
      </w:r>
      <w:r w:rsidR="004F2F81">
        <w:rPr>
          <w:rFonts w:cstheme="minorHAnsi"/>
        </w:rPr>
        <w:t>.</w:t>
      </w:r>
      <w:r w:rsidRPr="007D029F">
        <w:rPr>
          <w:rFonts w:cstheme="minorHAnsi"/>
        </w:rPr>
        <w:t>3d 527 (2</w:t>
      </w:r>
      <w:r w:rsidRPr="007D029F">
        <w:rPr>
          <w:rFonts w:cstheme="minorHAnsi"/>
          <w:vertAlign w:val="superscript"/>
        </w:rPr>
        <w:t>nd</w:t>
      </w:r>
      <w:r w:rsidRPr="007D029F">
        <w:rPr>
          <w:rFonts w:cstheme="minorHAnsi"/>
        </w:rPr>
        <w:t xml:space="preserve"> Dept. 2024).</w:t>
      </w:r>
    </w:p>
    <w:p w14:paraId="632E60A3" w14:textId="5BE2F472" w:rsidR="00304D4C" w:rsidRPr="007D029F" w:rsidRDefault="00304D4C" w:rsidP="00304D4C">
      <w:pPr>
        <w:ind w:left="720"/>
        <w:rPr>
          <w:rFonts w:cstheme="minorHAnsi"/>
        </w:rPr>
      </w:pPr>
      <w:r w:rsidRPr="007D029F">
        <w:rPr>
          <w:rFonts w:cstheme="minorHAnsi"/>
        </w:rPr>
        <w:t xml:space="preserve">This case involves the sale of an apartment complex.  The contract provided that the seller </w:t>
      </w:r>
      <w:r w:rsidR="00AC284F" w:rsidRPr="007D029F">
        <w:rPr>
          <w:rFonts w:cstheme="minorHAnsi"/>
        </w:rPr>
        <w:t>should</w:t>
      </w:r>
      <w:r w:rsidRPr="007D029F">
        <w:rPr>
          <w:rFonts w:cstheme="minorHAnsi"/>
        </w:rPr>
        <w:t xml:space="preserve"> obtain and deliver estoppel letters from each of the current tenants. One tenant refused.  The seller offered three options to the purchaser – the return of the plaintiff’s security deposit and cancellation of the contract; an offer to spend up to $10,000 to convince the holdout tenant to sign; or a $20,000 reduction of the contract price.  Plaintiff/purchaser rejected the offer and stated the defendants inability to convey title in accordance with the provisions of the contract was an anticipatory breach.</w:t>
      </w:r>
    </w:p>
    <w:p w14:paraId="3D79065A" w14:textId="77777777" w:rsidR="00304D4C" w:rsidRDefault="00304D4C" w:rsidP="00304D4C">
      <w:pPr>
        <w:rPr>
          <w:rFonts w:cstheme="minorHAnsi"/>
        </w:rPr>
      </w:pPr>
      <w:r w:rsidRPr="007D029F">
        <w:rPr>
          <w:rFonts w:cstheme="minorHAnsi"/>
        </w:rPr>
        <w:tab/>
      </w:r>
      <w:r w:rsidRPr="007D029F">
        <w:rPr>
          <w:rFonts w:cstheme="minorHAnsi"/>
          <w:u w:val="single"/>
        </w:rPr>
        <w:t>Held</w:t>
      </w:r>
      <w:r>
        <w:rPr>
          <w:rFonts w:cstheme="minorHAnsi"/>
        </w:rPr>
        <w:t>:</w:t>
      </w:r>
    </w:p>
    <w:p w14:paraId="3C72D580" w14:textId="0F500A0A" w:rsidR="00304D4C" w:rsidRPr="007D029F" w:rsidRDefault="00304D4C" w:rsidP="00304D4C">
      <w:pPr>
        <w:ind w:left="720"/>
        <w:rPr>
          <w:rFonts w:cstheme="minorHAnsi"/>
        </w:rPr>
      </w:pPr>
      <w:r w:rsidRPr="007D029F">
        <w:rPr>
          <w:rFonts w:cstheme="minorHAnsi"/>
        </w:rPr>
        <w:t>Pursuant to the contract defendant/seller was entitled to offer the remedies it did.  Plaintiff/purchaser refused to accept any of the offers which were made pursuant to the provision of Section 13.02 of the contract.  Purchaser having refused any of the three options offered which were legitimately made pursuant to the contract plaintiff/purchaser breached the contract</w:t>
      </w:r>
      <w:r w:rsidR="004B5E13">
        <w:rPr>
          <w:rFonts w:cstheme="minorHAnsi"/>
        </w:rPr>
        <w:t>,</w:t>
      </w:r>
      <w:r w:rsidRPr="007D029F">
        <w:rPr>
          <w:rFonts w:cstheme="minorHAnsi"/>
        </w:rPr>
        <w:t xml:space="preserve"> not the defendant.  Seller was entitled to retain the deposit.  </w:t>
      </w:r>
    </w:p>
    <w:p w14:paraId="3848C942" w14:textId="77777777" w:rsidR="00225E38" w:rsidRPr="00193501" w:rsidRDefault="00225E38" w:rsidP="00010D7B">
      <w:pPr>
        <w:ind w:left="720"/>
      </w:pPr>
    </w:p>
    <w:p w14:paraId="5AAF953E" w14:textId="7F96C317" w:rsidR="00193501" w:rsidRDefault="00010D7B" w:rsidP="00193501">
      <w:pPr>
        <w:rPr>
          <w:b/>
          <w:bCs/>
          <w:u w:val="single"/>
        </w:rPr>
      </w:pPr>
      <w:r w:rsidRPr="00010D7B">
        <w:rPr>
          <w:b/>
          <w:bCs/>
          <w:u w:val="single"/>
        </w:rPr>
        <w:t>CONTRACTS/CONVEYANCES</w:t>
      </w:r>
    </w:p>
    <w:p w14:paraId="4BBED458" w14:textId="27DEFB30" w:rsidR="008039A2" w:rsidRPr="007D029F" w:rsidRDefault="008039A2" w:rsidP="008039A2">
      <w:pPr>
        <w:rPr>
          <w:rFonts w:cstheme="minorHAnsi"/>
        </w:rPr>
      </w:pPr>
      <w:r w:rsidRPr="007D029F">
        <w:rPr>
          <w:rFonts w:cstheme="minorHAnsi"/>
          <w:u w:val="single"/>
        </w:rPr>
        <w:t>D&amp;J Realty Partners, LLC v. Booth</w:t>
      </w:r>
      <w:r w:rsidRPr="007D029F">
        <w:rPr>
          <w:rFonts w:cstheme="minorHAnsi"/>
        </w:rPr>
        <w:t>, 225 A</w:t>
      </w:r>
      <w:r w:rsidR="004F2F81">
        <w:rPr>
          <w:rFonts w:cstheme="minorHAnsi"/>
        </w:rPr>
        <w:t>.</w:t>
      </w:r>
      <w:r w:rsidRPr="007D029F">
        <w:rPr>
          <w:rFonts w:cstheme="minorHAnsi"/>
        </w:rPr>
        <w:t>D</w:t>
      </w:r>
      <w:r w:rsidR="004F2F81">
        <w:rPr>
          <w:rFonts w:cstheme="minorHAnsi"/>
        </w:rPr>
        <w:t>.</w:t>
      </w:r>
      <w:r w:rsidRPr="007D029F">
        <w:rPr>
          <w:rFonts w:cstheme="minorHAnsi"/>
        </w:rPr>
        <w:t>3d 585 (2</w:t>
      </w:r>
      <w:r w:rsidRPr="007D029F">
        <w:rPr>
          <w:rFonts w:cstheme="minorHAnsi"/>
          <w:vertAlign w:val="superscript"/>
        </w:rPr>
        <w:t>nd</w:t>
      </w:r>
      <w:r w:rsidRPr="007D029F">
        <w:rPr>
          <w:rFonts w:cstheme="minorHAnsi"/>
        </w:rPr>
        <w:t xml:space="preserve"> Dept. 2024).</w:t>
      </w:r>
    </w:p>
    <w:p w14:paraId="58E22946" w14:textId="6044ED05" w:rsidR="008039A2" w:rsidRPr="007D029F" w:rsidRDefault="008039A2" w:rsidP="008039A2">
      <w:pPr>
        <w:ind w:left="720"/>
        <w:rPr>
          <w:rFonts w:cstheme="minorHAnsi"/>
        </w:rPr>
      </w:pPr>
      <w:r w:rsidRPr="007D029F">
        <w:rPr>
          <w:rFonts w:cstheme="minorHAnsi"/>
        </w:rPr>
        <w:lastRenderedPageBreak/>
        <w:t>Originally the parcels involved in the contract of sale w</w:t>
      </w:r>
      <w:r w:rsidR="004B5E13">
        <w:rPr>
          <w:rFonts w:cstheme="minorHAnsi"/>
        </w:rPr>
        <w:t>ere</w:t>
      </w:r>
      <w:r w:rsidRPr="007D029F">
        <w:rPr>
          <w:rFonts w:cstheme="minorHAnsi"/>
        </w:rPr>
        <w:t xml:space="preserve"> a single parcel.  However Norman Hubbard (the owner) in 1981 applied for permission to subdivide the property into two lots.  Permission was </w:t>
      </w:r>
      <w:r w:rsidRPr="007D029F">
        <w:rPr>
          <w:rFonts w:cstheme="minorHAnsi"/>
          <w:b/>
          <w:bCs/>
        </w:rPr>
        <w:t>apparently</w:t>
      </w:r>
      <w:r w:rsidRPr="007D029F">
        <w:rPr>
          <w:rFonts w:cstheme="minorHAnsi"/>
        </w:rPr>
        <w:t xml:space="preserve"> </w:t>
      </w:r>
      <w:r w:rsidR="003901BC" w:rsidRPr="007D029F">
        <w:rPr>
          <w:rFonts w:cstheme="minorHAnsi"/>
        </w:rPr>
        <w:t>obtained,</w:t>
      </w:r>
      <w:r w:rsidRPr="007D029F">
        <w:rPr>
          <w:rFonts w:cstheme="minorHAnsi"/>
        </w:rPr>
        <w:t xml:space="preserve"> and Norman conveyed 114 Jessup Lane to Eugene and gave Eugene a life estate in 112 Jessup Lane.   Turns out that the subdivision process was not complete.  Both seller and buyer did what they could to obtain </w:t>
      </w:r>
      <w:r w:rsidR="003901BC" w:rsidRPr="007D029F">
        <w:rPr>
          <w:rFonts w:cstheme="minorHAnsi"/>
        </w:rPr>
        <w:t>permission,</w:t>
      </w:r>
      <w:r w:rsidRPr="007D029F">
        <w:rPr>
          <w:rFonts w:cstheme="minorHAnsi"/>
        </w:rPr>
        <w:t xml:space="preserve"> but their efforts failed.  Plaintiff/purchaser then informed the defendant that it was willing to proceed without satisfying the condition.  No way said Eugene and moved to rescind the contract on the failure of the contingency.  </w:t>
      </w:r>
    </w:p>
    <w:p w14:paraId="3528BD68" w14:textId="77777777" w:rsidR="00CF7B32" w:rsidRDefault="008039A2" w:rsidP="008039A2">
      <w:pPr>
        <w:rPr>
          <w:rFonts w:cstheme="minorHAnsi"/>
        </w:rPr>
      </w:pPr>
      <w:r w:rsidRPr="007D029F">
        <w:rPr>
          <w:rFonts w:cstheme="minorHAnsi"/>
        </w:rPr>
        <w:tab/>
      </w:r>
    </w:p>
    <w:p w14:paraId="734A47E2" w14:textId="7DB8C9F5" w:rsidR="008039A2" w:rsidRDefault="008039A2" w:rsidP="00CF7B32">
      <w:pPr>
        <w:ind w:firstLine="720"/>
        <w:rPr>
          <w:rFonts w:cstheme="minorHAnsi"/>
        </w:rPr>
      </w:pPr>
      <w:r w:rsidRPr="007D029F">
        <w:rPr>
          <w:rFonts w:cstheme="minorHAnsi"/>
          <w:u w:val="single"/>
        </w:rPr>
        <w:t>Held</w:t>
      </w:r>
      <w:r>
        <w:rPr>
          <w:rFonts w:cstheme="minorHAnsi"/>
        </w:rPr>
        <w:t>:</w:t>
      </w:r>
    </w:p>
    <w:p w14:paraId="42FE3C09" w14:textId="4A54E774" w:rsidR="008039A2" w:rsidRPr="007D5CB2" w:rsidRDefault="008039A2" w:rsidP="007D5CB2">
      <w:pPr>
        <w:ind w:left="720"/>
        <w:rPr>
          <w:rFonts w:cstheme="minorHAnsi"/>
        </w:rPr>
      </w:pPr>
      <w:r w:rsidRPr="007D029F">
        <w:rPr>
          <w:rFonts w:cstheme="minorHAnsi"/>
        </w:rPr>
        <w:t xml:space="preserve">The contingency was for the benefit of both parties – obviously for the plaintiff but also for Eugene inasmuch as he retained an interest in 112 Jessup Lane.  Accordingly the contingency was for the mutual benefit of both parties.  Where the relevant circumstances reveal that the condition has been inserted for the benefit of both parties to the agreement either party may validly cancel the contract upon failure of the condition and the condition may be waived only by mutual ascent of both parties.  Here there was no mutual consent to waive the </w:t>
      </w:r>
      <w:r w:rsidR="003901BC" w:rsidRPr="007D029F">
        <w:rPr>
          <w:rFonts w:cstheme="minorHAnsi"/>
        </w:rPr>
        <w:t>condition,</w:t>
      </w:r>
      <w:r w:rsidRPr="007D029F">
        <w:rPr>
          <w:rFonts w:cstheme="minorHAnsi"/>
        </w:rPr>
        <w:t xml:space="preserve"> and purchaser cannot unilaterally under these circumstances waive the condition.  Either party under these circumstances may rescind the contract which Eugene did.  Since Eugene</w:t>
      </w:r>
      <w:r w:rsidR="007D5CB2">
        <w:rPr>
          <w:rFonts w:cstheme="minorHAnsi"/>
        </w:rPr>
        <w:t xml:space="preserve"> </w:t>
      </w:r>
      <w:r w:rsidRPr="007D029F">
        <w:rPr>
          <w:rFonts w:cstheme="minorHAnsi"/>
        </w:rPr>
        <w:t xml:space="preserve">declined to waive the condition and diligent efforts to obtain the building permit </w:t>
      </w:r>
      <w:r w:rsidR="00B26C0E" w:rsidRPr="007D029F">
        <w:rPr>
          <w:rFonts w:cstheme="minorHAnsi"/>
        </w:rPr>
        <w:t>failed,</w:t>
      </w:r>
      <w:r w:rsidRPr="007D029F">
        <w:rPr>
          <w:rFonts w:cstheme="minorHAnsi"/>
        </w:rPr>
        <w:t xml:space="preserve"> he was entitled to rescind the contract.</w:t>
      </w:r>
    </w:p>
    <w:p w14:paraId="1657B390" w14:textId="03B49D2B" w:rsidR="00010D7B" w:rsidRPr="00B81B34" w:rsidRDefault="00010D7B" w:rsidP="00010D7B">
      <w:pPr>
        <w:rPr>
          <w:b/>
          <w:bCs/>
          <w:u w:val="single"/>
        </w:rPr>
      </w:pPr>
      <w:r w:rsidRPr="00B81B34">
        <w:rPr>
          <w:b/>
          <w:bCs/>
          <w:u w:val="single"/>
        </w:rPr>
        <w:t xml:space="preserve">LICENSES </w:t>
      </w:r>
    </w:p>
    <w:p w14:paraId="3D906617" w14:textId="77777777" w:rsidR="00010D7B" w:rsidRDefault="00010D7B" w:rsidP="00010D7B">
      <w:pPr>
        <w:rPr>
          <w:u w:val="single"/>
        </w:rPr>
      </w:pPr>
      <w:r w:rsidRPr="00A17A4C">
        <w:rPr>
          <w:u w:val="single"/>
        </w:rPr>
        <w:t>Matter of 269-273 14th St NY Corp. v. Stein,</w:t>
      </w:r>
      <w:r w:rsidRPr="004F2F81">
        <w:t xml:space="preserve"> 221 A.D.3d 807 (2</w:t>
      </w:r>
      <w:r w:rsidRPr="004F2F81">
        <w:rPr>
          <w:vertAlign w:val="superscript"/>
        </w:rPr>
        <w:t>nd</w:t>
      </w:r>
      <w:r w:rsidRPr="004F2F81">
        <w:t xml:space="preserve"> Dept. 2023)</w:t>
      </w:r>
    </w:p>
    <w:p w14:paraId="67A964D5" w14:textId="77777777" w:rsidR="00010D7B" w:rsidRDefault="00010D7B" w:rsidP="00010D7B">
      <w:pPr>
        <w:ind w:left="720"/>
      </w:pPr>
      <w:r>
        <w:t>Involved a dispute over where the petitioner obtained a license to enter a property owned by a trust to demolish buildings. The license was suspended due to the petitioner’s failure to provide proof of insurance.</w:t>
      </w:r>
    </w:p>
    <w:p w14:paraId="688E2F78" w14:textId="77777777" w:rsidR="00010D7B" w:rsidRPr="004B12CA" w:rsidRDefault="00010D7B" w:rsidP="00010D7B">
      <w:pPr>
        <w:ind w:left="720"/>
      </w:pPr>
      <w:r>
        <w:t>Petitioner moved to reinstate the license, while trustee cross-moved for damages and attorney’s fees. Lower court reinstated the license but denied trustee’s request for damages and attorney’s fees.</w:t>
      </w:r>
    </w:p>
    <w:p w14:paraId="31C0049B" w14:textId="77777777" w:rsidR="00010D7B" w:rsidRDefault="00010D7B" w:rsidP="00010D7B">
      <w:pPr>
        <w:ind w:left="720"/>
        <w:rPr>
          <w:u w:val="single"/>
        </w:rPr>
      </w:pPr>
      <w:r>
        <w:rPr>
          <w:u w:val="single"/>
        </w:rPr>
        <w:t>Held:</w:t>
      </w:r>
    </w:p>
    <w:p w14:paraId="2E7D8B5F" w14:textId="77777777" w:rsidR="00010D7B" w:rsidRDefault="00010D7B" w:rsidP="00010D7B">
      <w:pPr>
        <w:ind w:left="720"/>
      </w:pPr>
      <w:r>
        <w:t>On appeal, the court dismissed the issue of the license reinstatement as moot since it had expired.</w:t>
      </w:r>
    </w:p>
    <w:p w14:paraId="215885EB" w14:textId="77777777" w:rsidR="00010D7B" w:rsidRDefault="00010D7B" w:rsidP="00010D7B">
      <w:pPr>
        <w:ind w:left="720"/>
      </w:pPr>
      <w:r>
        <w:lastRenderedPageBreak/>
        <w:t>The court reversed the denial of damages and attorney’s fees, remanding that matter for further consideration.</w:t>
      </w:r>
    </w:p>
    <w:p w14:paraId="5C164A02" w14:textId="77777777" w:rsidR="00010D7B" w:rsidRPr="004C2554" w:rsidRDefault="00010D7B" w:rsidP="00010D7B">
      <w:pPr>
        <w:ind w:left="720"/>
      </w:pPr>
      <w:r>
        <w:t>The court held that under RPAPL 881, the trustee’s incurred costs due to petitioner’s failure to provide insurance should be considered.</w:t>
      </w:r>
    </w:p>
    <w:p w14:paraId="7EB7F19B" w14:textId="77777777" w:rsidR="00CF7B32" w:rsidRPr="00010D7B" w:rsidRDefault="00CF7B32" w:rsidP="00193501">
      <w:pPr>
        <w:rPr>
          <w:u w:val="single"/>
        </w:rPr>
      </w:pPr>
    </w:p>
    <w:p w14:paraId="137A5C66" w14:textId="77777777" w:rsidR="00010D7B" w:rsidRPr="005D5B93" w:rsidRDefault="00010D7B" w:rsidP="00010D7B">
      <w:pPr>
        <w:rPr>
          <w:b/>
          <w:bCs/>
          <w:u w:val="single"/>
        </w:rPr>
      </w:pPr>
      <w:r w:rsidRPr="005D5B93">
        <w:rPr>
          <w:b/>
          <w:bCs/>
          <w:u w:val="single"/>
        </w:rPr>
        <w:t>STATUTE OF FRA</w:t>
      </w:r>
      <w:r>
        <w:rPr>
          <w:b/>
          <w:bCs/>
          <w:u w:val="single"/>
        </w:rPr>
        <w:t>UDS</w:t>
      </w:r>
    </w:p>
    <w:p w14:paraId="58378228" w14:textId="77777777" w:rsidR="00010D7B" w:rsidRDefault="00010D7B" w:rsidP="00010D7B">
      <w:r w:rsidRPr="0048139D">
        <w:rPr>
          <w:u w:val="single"/>
        </w:rPr>
        <w:t>Duffy v. Leteri</w:t>
      </w:r>
      <w:r w:rsidRPr="0048139D">
        <w:t>, 222 A.D.3d 838 (</w:t>
      </w:r>
      <w:r>
        <w:t>2</w:t>
      </w:r>
      <w:r w:rsidRPr="005D5B93">
        <w:rPr>
          <w:vertAlign w:val="superscript"/>
        </w:rPr>
        <w:t>nd</w:t>
      </w:r>
      <w:r>
        <w:t xml:space="preserve"> Dept</w:t>
      </w:r>
      <w:r w:rsidRPr="0048139D">
        <w:t>. 2023)</w:t>
      </w:r>
    </w:p>
    <w:p w14:paraId="64890ED9" w14:textId="77777777" w:rsidR="00010D7B" w:rsidRDefault="00010D7B" w:rsidP="00010D7B">
      <w:pPr>
        <w:ind w:left="720"/>
      </w:pPr>
      <w:r>
        <w:t>Plaintiff commenced an action seeking to declare a contract for sale of real property unenforceable. Defendant counterclaimed for specific performance of the contract.</w:t>
      </w:r>
    </w:p>
    <w:p w14:paraId="790B7E42" w14:textId="77777777" w:rsidR="00010D7B" w:rsidRDefault="00010D7B" w:rsidP="00010D7B">
      <w:pPr>
        <w:ind w:left="720"/>
      </w:pPr>
      <w:r>
        <w:t>Parties filed cross motions for summary judgment on the enforceability of the contract.</w:t>
      </w:r>
    </w:p>
    <w:p w14:paraId="48F7AB9A" w14:textId="77777777" w:rsidR="00010D7B" w:rsidRDefault="00010D7B" w:rsidP="00010D7B">
      <w:pPr>
        <w:ind w:left="720"/>
        <w:rPr>
          <w:u w:val="single"/>
        </w:rPr>
      </w:pPr>
      <w:r>
        <w:rPr>
          <w:u w:val="single"/>
        </w:rPr>
        <w:t>Held:</w:t>
      </w:r>
    </w:p>
    <w:p w14:paraId="607F1613" w14:textId="77777777" w:rsidR="00010D7B" w:rsidRDefault="00010D7B" w:rsidP="00010D7B">
      <w:pPr>
        <w:ind w:left="720"/>
      </w:pPr>
      <w:r>
        <w:t>The contract was held unenforceable because it lacks a material term- the property description is not sufficiently definite to satisfy the statute of frauds, which requires reasonable certainty in property descriptions. Extrinsic evidence cannot be used to ascertain the property location with reasonable certainty.</w:t>
      </w:r>
    </w:p>
    <w:p w14:paraId="067EBCA9" w14:textId="77777777" w:rsidR="00010D7B" w:rsidRDefault="00010D7B" w:rsidP="00010D7B">
      <w:pPr>
        <w:ind w:left="720"/>
      </w:pPr>
      <w:r>
        <w:t>The court granted plaintiff’s motion for summary judgment declaring the contract unenforceable. It denied defendant’s cross motion for summary judgment on his counterclaim for specific performance.</w:t>
      </w:r>
    </w:p>
    <w:p w14:paraId="07CC5DD7" w14:textId="77777777" w:rsidR="00225E38" w:rsidRDefault="00225E38" w:rsidP="00010D7B">
      <w:pPr>
        <w:ind w:left="720"/>
      </w:pPr>
    </w:p>
    <w:p w14:paraId="6F6FA4DC" w14:textId="77777777" w:rsidR="00F57ECD" w:rsidRDefault="00F57ECD" w:rsidP="00F57ECD">
      <w:pPr>
        <w:rPr>
          <w:b/>
          <w:bCs/>
          <w:u w:val="single"/>
        </w:rPr>
      </w:pPr>
      <w:r w:rsidRPr="009964C3">
        <w:rPr>
          <w:b/>
          <w:bCs/>
          <w:u w:val="single"/>
        </w:rPr>
        <w:t>WATER- Everywhere.</w:t>
      </w:r>
    </w:p>
    <w:p w14:paraId="29147EDD" w14:textId="540133C3" w:rsidR="00F57ECD" w:rsidRPr="007D029F" w:rsidRDefault="00F57ECD" w:rsidP="00F57ECD">
      <w:pPr>
        <w:rPr>
          <w:rFonts w:cstheme="minorHAnsi"/>
        </w:rPr>
      </w:pPr>
      <w:r w:rsidRPr="007D029F">
        <w:rPr>
          <w:rFonts w:cstheme="minorHAnsi"/>
          <w:u w:val="single"/>
        </w:rPr>
        <w:t>Kramer v. Kleiver</w:t>
      </w:r>
      <w:r w:rsidRPr="007D029F">
        <w:rPr>
          <w:rFonts w:cstheme="minorHAnsi"/>
        </w:rPr>
        <w:t>, 207 NYS</w:t>
      </w:r>
      <w:r>
        <w:rPr>
          <w:rFonts w:cstheme="minorHAnsi"/>
        </w:rPr>
        <w:t xml:space="preserve"> </w:t>
      </w:r>
      <w:r w:rsidRPr="007D029F">
        <w:rPr>
          <w:rFonts w:cstheme="minorHAnsi"/>
        </w:rPr>
        <w:t>3d 281 (4</w:t>
      </w:r>
      <w:r w:rsidRPr="007D029F">
        <w:rPr>
          <w:rFonts w:cstheme="minorHAnsi"/>
          <w:vertAlign w:val="superscript"/>
        </w:rPr>
        <w:t>th</w:t>
      </w:r>
      <w:r w:rsidRPr="007D029F">
        <w:rPr>
          <w:rFonts w:cstheme="minorHAnsi"/>
        </w:rPr>
        <w:t xml:space="preserve"> Dept. 2024).</w:t>
      </w:r>
    </w:p>
    <w:p w14:paraId="1253B057" w14:textId="294F1349" w:rsidR="00F57ECD" w:rsidRPr="007D029F" w:rsidRDefault="00F57ECD" w:rsidP="00F57ECD">
      <w:pPr>
        <w:ind w:left="720"/>
        <w:rPr>
          <w:rFonts w:cstheme="minorHAnsi"/>
        </w:rPr>
      </w:pPr>
      <w:r w:rsidRPr="007D029F">
        <w:rPr>
          <w:rFonts w:cstheme="minorHAnsi"/>
        </w:rPr>
        <w:t xml:space="preserve">Water flows where it wants to flow.  You can change the grade of a lot which may cause water to flow more vigorously onto your neighbor’s property but that is not a problem.  The one thing you cannot do is “install plumbing” that encroached on his neighbor’s property when they connected the plumbing from the garage to a septic system on his property in 2014.  That is a no-no.  The one thing you cannot do with water is direct it by piping.  The piping was installed in </w:t>
      </w:r>
      <w:r w:rsidR="003901BC" w:rsidRPr="007D029F">
        <w:rPr>
          <w:rFonts w:cstheme="minorHAnsi"/>
        </w:rPr>
        <w:t>2014,</w:t>
      </w:r>
      <w:r w:rsidRPr="007D029F">
        <w:rPr>
          <w:rFonts w:cstheme="minorHAnsi"/>
        </w:rPr>
        <w:t xml:space="preserve"> and the complaint was filed July 23, 2021, more than six years thereafter.</w:t>
      </w:r>
    </w:p>
    <w:p w14:paraId="2FA0BB18" w14:textId="77777777" w:rsidR="00F57ECD" w:rsidRDefault="00F57ECD" w:rsidP="00F57ECD">
      <w:pPr>
        <w:ind w:left="720"/>
        <w:rPr>
          <w:rFonts w:cstheme="minorHAnsi"/>
        </w:rPr>
      </w:pPr>
      <w:r w:rsidRPr="007D029F">
        <w:rPr>
          <w:rFonts w:cstheme="minorHAnsi"/>
          <w:u w:val="single"/>
        </w:rPr>
        <w:t>Held</w:t>
      </w:r>
      <w:r>
        <w:rPr>
          <w:rFonts w:cstheme="minorHAnsi"/>
        </w:rPr>
        <w:t>:</w:t>
      </w:r>
    </w:p>
    <w:p w14:paraId="4436581E" w14:textId="77777777" w:rsidR="00F57ECD" w:rsidRDefault="00F57ECD" w:rsidP="00F57ECD">
      <w:pPr>
        <w:ind w:left="720"/>
        <w:rPr>
          <w:rFonts w:cstheme="minorHAnsi"/>
        </w:rPr>
      </w:pPr>
      <w:r w:rsidRPr="007D029F">
        <w:rPr>
          <w:rFonts w:cstheme="minorHAnsi"/>
        </w:rPr>
        <w:t xml:space="preserve">The act of the defendant constituted a trespass.  The statute of limitations does not apply.  “The encroaching structure is a continuing trespass that gives rise to successive </w:t>
      </w:r>
      <w:r w:rsidRPr="007D029F">
        <w:rPr>
          <w:rFonts w:cstheme="minorHAnsi"/>
        </w:rPr>
        <w:lastRenderedPageBreak/>
        <w:t>causes of action except where barred by acquisition of title for an easement or operation of law.”</w:t>
      </w:r>
    </w:p>
    <w:p w14:paraId="0DC5CDA0" w14:textId="77777777" w:rsidR="00F57ECD" w:rsidRDefault="00F57ECD" w:rsidP="00010D7B">
      <w:pPr>
        <w:rPr>
          <w:b/>
          <w:bCs/>
          <w:u w:val="single"/>
        </w:rPr>
      </w:pPr>
    </w:p>
    <w:p w14:paraId="659C0203" w14:textId="77777777" w:rsidR="002177A9" w:rsidRDefault="002177A9" w:rsidP="00010D7B">
      <w:pPr>
        <w:rPr>
          <w:b/>
          <w:bCs/>
          <w:u w:val="single"/>
        </w:rPr>
      </w:pPr>
    </w:p>
    <w:p w14:paraId="361C047D" w14:textId="77777777" w:rsidR="00F57ECD" w:rsidRDefault="00F57ECD" w:rsidP="00010D7B">
      <w:pPr>
        <w:rPr>
          <w:b/>
          <w:bCs/>
          <w:u w:val="single"/>
        </w:rPr>
      </w:pPr>
    </w:p>
    <w:p w14:paraId="09AD339F" w14:textId="786E2F5D" w:rsidR="00010D7B" w:rsidRPr="00F05C45" w:rsidRDefault="00010D7B" w:rsidP="00010D7B">
      <w:pPr>
        <w:rPr>
          <w:b/>
          <w:bCs/>
          <w:u w:val="single"/>
        </w:rPr>
      </w:pPr>
      <w:r w:rsidRPr="00F05C45">
        <w:rPr>
          <w:b/>
          <w:bCs/>
          <w:u w:val="single"/>
        </w:rPr>
        <w:t>SPECIFIC PERFORMANCE AND SABOTAGE</w:t>
      </w:r>
    </w:p>
    <w:p w14:paraId="54A21CEC" w14:textId="77777777" w:rsidR="00010D7B" w:rsidRPr="00345160" w:rsidRDefault="00010D7B" w:rsidP="00010D7B">
      <w:r w:rsidRPr="00345160">
        <w:rPr>
          <w:u w:val="single"/>
        </w:rPr>
        <w:t>Saadia v. Nat'l Soc'y of Hebrew Day Sch., Inc.</w:t>
      </w:r>
      <w:r w:rsidRPr="00345160">
        <w:t>, 225 A.D.3d 806 (</w:t>
      </w:r>
      <w:r>
        <w:t>2</w:t>
      </w:r>
      <w:r w:rsidRPr="00F05C45">
        <w:rPr>
          <w:vertAlign w:val="superscript"/>
        </w:rPr>
        <w:t>nd</w:t>
      </w:r>
      <w:r>
        <w:t xml:space="preserve"> Dept</w:t>
      </w:r>
      <w:r w:rsidRPr="00382F4F">
        <w:t xml:space="preserve">. </w:t>
      </w:r>
      <w:r w:rsidRPr="00345160">
        <w:t>2024)</w:t>
      </w:r>
    </w:p>
    <w:p w14:paraId="6A3C727B" w14:textId="77777777" w:rsidR="00010D7B" w:rsidRDefault="00010D7B" w:rsidP="00010D7B">
      <w:pPr>
        <w:ind w:left="720"/>
      </w:pPr>
      <w:r w:rsidRPr="00345160">
        <w:t xml:space="preserve">Appellate Division modified the Supreme Court's decision and allowed the plaintiffs' claims for specific performance and breach of contract to proceed. The defendant had moved to dismiss these claims, arguing that a limitation of damages provision in a stipulation precluded such actions. </w:t>
      </w:r>
    </w:p>
    <w:p w14:paraId="2C00D657" w14:textId="77777777" w:rsidR="00010D7B" w:rsidRDefault="00010D7B" w:rsidP="00010D7B">
      <w:pPr>
        <w:ind w:left="720"/>
        <w:rPr>
          <w:u w:val="single"/>
        </w:rPr>
      </w:pPr>
      <w:r>
        <w:rPr>
          <w:u w:val="single"/>
        </w:rPr>
        <w:t>Held:</w:t>
      </w:r>
    </w:p>
    <w:p w14:paraId="372B9289" w14:textId="77777777" w:rsidR="00010D7B" w:rsidRPr="00345160" w:rsidRDefault="00010D7B" w:rsidP="00010D7B">
      <w:pPr>
        <w:ind w:left="720"/>
      </w:pPr>
      <w:r>
        <w:t>The</w:t>
      </w:r>
      <w:r w:rsidRPr="00345160">
        <w:t xml:space="preserve"> court found that the documentary evidence submitted by the defendant, such as emails and affidavits, did not conclusively refute the plaintiffs' allegations. Additionally, the court held that remedy limitation clauses do not bar a buyer from seeking specific performance when a seller sabotages efforts to close the deal, as was alleged in this case.</w:t>
      </w:r>
    </w:p>
    <w:p w14:paraId="1DA15DD3" w14:textId="77777777" w:rsidR="00010D7B" w:rsidRDefault="00010D7B" w:rsidP="00010D7B">
      <w:pPr>
        <w:ind w:left="720"/>
      </w:pPr>
      <w:r w:rsidRPr="00345160">
        <w:t xml:space="preserve">The court also ruled that the existence of a valid contract precluded the plaintiffs' unjust enrichment and quantum meruit claims, as these claims were based on the same subject matter governed by the contract. As a result, </w:t>
      </w:r>
      <w:r>
        <w:t>those</w:t>
      </w:r>
      <w:r w:rsidRPr="00345160">
        <w:t xml:space="preserve"> claims were properly dismissed.</w:t>
      </w:r>
    </w:p>
    <w:p w14:paraId="26535459" w14:textId="77777777" w:rsidR="00CC03F5" w:rsidRPr="00345160" w:rsidRDefault="00CC03F5" w:rsidP="00010D7B">
      <w:pPr>
        <w:ind w:left="720"/>
      </w:pPr>
    </w:p>
    <w:p w14:paraId="2145D6D6" w14:textId="29C38730" w:rsidR="00A23006" w:rsidRPr="00A23006" w:rsidRDefault="00A23006" w:rsidP="00A23006">
      <w:pPr>
        <w:rPr>
          <w:b/>
          <w:bCs/>
          <w:u w:val="single"/>
        </w:rPr>
      </w:pPr>
      <w:r w:rsidRPr="00A23006">
        <w:rPr>
          <w:b/>
          <w:bCs/>
          <w:u w:val="single"/>
        </w:rPr>
        <w:t xml:space="preserve">LIQUIDATED DAMAGES - </w:t>
      </w:r>
      <w:r w:rsidR="00C242F2" w:rsidRPr="00A23006">
        <w:rPr>
          <w:b/>
          <w:bCs/>
          <w:u w:val="single"/>
        </w:rPr>
        <w:t>Let us</w:t>
      </w:r>
      <w:r w:rsidRPr="00A23006">
        <w:rPr>
          <w:b/>
          <w:bCs/>
          <w:u w:val="single"/>
        </w:rPr>
        <w:t xml:space="preserve"> get reasonable.</w:t>
      </w:r>
    </w:p>
    <w:p w14:paraId="35EEDF5E" w14:textId="49161CB7" w:rsidR="008039A2" w:rsidRPr="007D029F" w:rsidRDefault="008039A2" w:rsidP="008039A2">
      <w:pPr>
        <w:rPr>
          <w:rFonts w:cstheme="minorHAnsi"/>
        </w:rPr>
      </w:pPr>
      <w:r w:rsidRPr="007D029F">
        <w:rPr>
          <w:rFonts w:cstheme="minorHAnsi"/>
          <w:u w:val="single"/>
        </w:rPr>
        <w:t>Schmuelian v. Bichoupan</w:t>
      </w:r>
      <w:r w:rsidRPr="007D029F">
        <w:rPr>
          <w:rFonts w:cstheme="minorHAnsi"/>
        </w:rPr>
        <w:t>, 225 A</w:t>
      </w:r>
      <w:r w:rsidR="004F2F81">
        <w:rPr>
          <w:rFonts w:cstheme="minorHAnsi"/>
        </w:rPr>
        <w:t>.</w:t>
      </w:r>
      <w:r w:rsidRPr="007D029F">
        <w:rPr>
          <w:rFonts w:cstheme="minorHAnsi"/>
        </w:rPr>
        <w:t>D</w:t>
      </w:r>
      <w:r w:rsidR="004F2F81">
        <w:rPr>
          <w:rFonts w:cstheme="minorHAnsi"/>
        </w:rPr>
        <w:t>.</w:t>
      </w:r>
      <w:r w:rsidRPr="007D029F">
        <w:rPr>
          <w:rFonts w:cstheme="minorHAnsi"/>
        </w:rPr>
        <w:t>3d 910 (2</w:t>
      </w:r>
      <w:r w:rsidRPr="007D029F">
        <w:rPr>
          <w:rFonts w:cstheme="minorHAnsi"/>
          <w:vertAlign w:val="superscript"/>
        </w:rPr>
        <w:t>nd</w:t>
      </w:r>
      <w:r w:rsidRPr="007D029F">
        <w:rPr>
          <w:rFonts w:cstheme="minorHAnsi"/>
        </w:rPr>
        <w:t xml:space="preserve"> Dept. 2024).  </w:t>
      </w:r>
    </w:p>
    <w:p w14:paraId="07CDE3C6" w14:textId="41D3154E" w:rsidR="008039A2" w:rsidRPr="007D029F" w:rsidRDefault="008039A2" w:rsidP="008039A2">
      <w:pPr>
        <w:ind w:left="720"/>
        <w:rPr>
          <w:rFonts w:cstheme="minorHAnsi"/>
        </w:rPr>
      </w:pPr>
      <w:r w:rsidRPr="007D029F">
        <w:rPr>
          <w:rFonts w:cstheme="minorHAnsi"/>
        </w:rPr>
        <w:t>The title report shows the existence of three open building permits.  The parties enter</w:t>
      </w:r>
      <w:r w:rsidR="00035C41">
        <w:rPr>
          <w:rFonts w:cstheme="minorHAnsi"/>
        </w:rPr>
        <w:t>ed</w:t>
      </w:r>
      <w:r w:rsidRPr="007D029F">
        <w:rPr>
          <w:rFonts w:cstheme="minorHAnsi"/>
        </w:rPr>
        <w:t xml:space="preserve"> into an escrow agreement which provided that the seller obtain proof of completion of the building permits or proof of cancellation.  The agreement called for a deposit of $35,000.  When seller failed to obtain proof of completion or release</w:t>
      </w:r>
      <w:r w:rsidR="00035C41">
        <w:rPr>
          <w:rFonts w:cstheme="minorHAnsi"/>
        </w:rPr>
        <w:t>,</w:t>
      </w:r>
      <w:r w:rsidRPr="007D029F">
        <w:rPr>
          <w:rFonts w:cstheme="minorHAnsi"/>
        </w:rPr>
        <w:t xml:space="preserve"> the lower court ordered the escrow agent to deliver the $35,000 to the purchaser.  Not so.  </w:t>
      </w:r>
    </w:p>
    <w:p w14:paraId="1840E29A" w14:textId="77777777" w:rsidR="008039A2" w:rsidRDefault="008039A2" w:rsidP="008039A2">
      <w:pPr>
        <w:ind w:firstLine="720"/>
        <w:rPr>
          <w:rFonts w:cstheme="minorHAnsi"/>
        </w:rPr>
      </w:pPr>
      <w:r w:rsidRPr="007D029F">
        <w:rPr>
          <w:rFonts w:cstheme="minorHAnsi"/>
          <w:u w:val="single"/>
        </w:rPr>
        <w:t>Held</w:t>
      </w:r>
      <w:r>
        <w:rPr>
          <w:rFonts w:cstheme="minorHAnsi"/>
        </w:rPr>
        <w:t>:</w:t>
      </w:r>
    </w:p>
    <w:p w14:paraId="44A20561" w14:textId="07E1954D" w:rsidR="008039A2" w:rsidRPr="007D029F" w:rsidRDefault="008039A2" w:rsidP="008039A2">
      <w:pPr>
        <w:ind w:left="720"/>
        <w:rPr>
          <w:rFonts w:cstheme="minorHAnsi"/>
        </w:rPr>
      </w:pPr>
      <w:r w:rsidRPr="007D029F">
        <w:rPr>
          <w:rFonts w:cstheme="minorHAnsi"/>
        </w:rPr>
        <w:lastRenderedPageBreak/>
        <w:t>The liquidated damages clause is “enforceable if the amount liquidated bears a reasonable proportion to the probable loss and the amount of actual loss is incapable or difficult of precise estimation.”  “The burden is on the party seeking to avoid liquidated damages…to show that the stated liquidated damages are in fact a penalty.”  Further “if the clause is rejected as being a penalty recover is limited to actual damages proven.”  The Court held that the sum deposited had no relationship to the estimated cost of closing out the open building permit</w:t>
      </w:r>
      <w:r w:rsidR="00291465">
        <w:rPr>
          <w:rFonts w:cstheme="minorHAnsi"/>
        </w:rPr>
        <w:t>s</w:t>
      </w:r>
      <w:r w:rsidRPr="007D029F">
        <w:rPr>
          <w:rFonts w:cstheme="minorHAnsi"/>
        </w:rPr>
        <w:t xml:space="preserve"> and further that at the time the agreement was entered into the estimated actual damages were readily ascertainable.  </w:t>
      </w:r>
    </w:p>
    <w:p w14:paraId="3FE4AADB" w14:textId="14C0C537" w:rsidR="00A23006" w:rsidRPr="00A23006" w:rsidRDefault="00A23006" w:rsidP="00A23006">
      <w:pPr>
        <w:rPr>
          <w:b/>
          <w:bCs/>
          <w:u w:val="single"/>
        </w:rPr>
      </w:pPr>
      <w:r w:rsidRPr="00A23006">
        <w:rPr>
          <w:b/>
          <w:bCs/>
          <w:u w:val="single"/>
        </w:rPr>
        <w:t xml:space="preserve">DEEDS- I </w:t>
      </w:r>
      <w:r w:rsidR="00A21F02" w:rsidRPr="00A23006">
        <w:rPr>
          <w:b/>
          <w:bCs/>
          <w:u w:val="single"/>
        </w:rPr>
        <w:t>did not</w:t>
      </w:r>
      <w:r w:rsidRPr="00A23006">
        <w:rPr>
          <w:b/>
          <w:bCs/>
          <w:u w:val="single"/>
        </w:rPr>
        <w:t xml:space="preserve"> mean it</w:t>
      </w:r>
    </w:p>
    <w:p w14:paraId="65E417D9" w14:textId="098BE92F" w:rsidR="008039A2" w:rsidRPr="007D029F" w:rsidRDefault="008039A2" w:rsidP="008039A2">
      <w:pPr>
        <w:rPr>
          <w:rFonts w:cstheme="minorHAnsi"/>
        </w:rPr>
      </w:pPr>
      <w:r w:rsidRPr="007D029F">
        <w:rPr>
          <w:rFonts w:cstheme="minorHAnsi"/>
          <w:u w:val="single"/>
        </w:rPr>
        <w:t>Pravda v. Gleeson</w:t>
      </w:r>
      <w:r w:rsidRPr="007D029F">
        <w:rPr>
          <w:rFonts w:cstheme="minorHAnsi"/>
        </w:rPr>
        <w:t>, 221 AD3d 1372 (3</w:t>
      </w:r>
      <w:r w:rsidRPr="007D029F">
        <w:rPr>
          <w:rFonts w:cstheme="minorHAnsi"/>
          <w:vertAlign w:val="superscript"/>
        </w:rPr>
        <w:t>rd</w:t>
      </w:r>
      <w:r w:rsidRPr="007D029F">
        <w:rPr>
          <w:rFonts w:cstheme="minorHAnsi"/>
        </w:rPr>
        <w:t xml:space="preserve"> Dept. 2023).</w:t>
      </w:r>
    </w:p>
    <w:p w14:paraId="461C7C58" w14:textId="72BCF7E3" w:rsidR="008039A2" w:rsidRPr="007D029F" w:rsidRDefault="008039A2" w:rsidP="008039A2">
      <w:pPr>
        <w:ind w:left="720"/>
        <w:rPr>
          <w:rFonts w:cstheme="minorHAnsi"/>
        </w:rPr>
      </w:pPr>
      <w:r w:rsidRPr="007D029F">
        <w:rPr>
          <w:rFonts w:cstheme="minorHAnsi"/>
        </w:rPr>
        <w:t xml:space="preserve">Plaintiff claims title by virtue of adverse possession (which claim was dismissed in a prior action) and pursuant to a deed which included both the parcel in dispute (farm parcel) and a wood lot.  Defendant estate claims title pursuant to a residuary bequest contained in the Will of Milton Pravda.  The issue is the 1984 deed which described both the wood parcel and the farm parcel.  This is a mistake.  It was the intent of the parties to convey only the wood </w:t>
      </w:r>
      <w:r w:rsidR="003901BC" w:rsidRPr="007D029F">
        <w:rPr>
          <w:rFonts w:cstheme="minorHAnsi"/>
        </w:rPr>
        <w:t>lot,</w:t>
      </w:r>
      <w:r w:rsidRPr="007D029F">
        <w:rPr>
          <w:rFonts w:cstheme="minorHAnsi"/>
        </w:rPr>
        <w:t xml:space="preserve"> leaving the farm parcel in Milton’s ownership.  Defendant asserts a reformation of the deed to accurately remove the farm parcel from that deed.  </w:t>
      </w:r>
    </w:p>
    <w:p w14:paraId="183BD859" w14:textId="77777777" w:rsidR="008039A2" w:rsidRDefault="008039A2" w:rsidP="008039A2">
      <w:pPr>
        <w:rPr>
          <w:rFonts w:cstheme="minorHAnsi"/>
        </w:rPr>
      </w:pPr>
      <w:r w:rsidRPr="007D029F">
        <w:rPr>
          <w:rFonts w:cstheme="minorHAnsi"/>
        </w:rPr>
        <w:tab/>
      </w:r>
      <w:r w:rsidRPr="007D029F">
        <w:rPr>
          <w:rFonts w:cstheme="minorHAnsi"/>
          <w:u w:val="single"/>
        </w:rPr>
        <w:t>Held</w:t>
      </w:r>
      <w:r>
        <w:rPr>
          <w:rFonts w:cstheme="minorHAnsi"/>
        </w:rPr>
        <w:t>:</w:t>
      </w:r>
    </w:p>
    <w:p w14:paraId="6902F651" w14:textId="4AE77C43" w:rsidR="008039A2" w:rsidRPr="007D029F" w:rsidRDefault="008039A2" w:rsidP="008039A2">
      <w:pPr>
        <w:ind w:left="720"/>
        <w:rPr>
          <w:rFonts w:cstheme="minorHAnsi"/>
        </w:rPr>
      </w:pPr>
      <w:r w:rsidRPr="007D029F">
        <w:rPr>
          <w:rFonts w:cstheme="minorHAnsi"/>
        </w:rPr>
        <w:t xml:space="preserve">It would appear that defendant is seeking a reformation of the deed to correct the scrivener’s error by including both parcel.  The plaintiff counters that such a claim would be barred by CPLR §213.6 which has a six-year statute of limitations to reform a deed.  “An action based upon mistake.”  The Court rejects that characterization and then goes on to state the law which is that the statute of limitations does not apply to an action by someone claiming title to real property who is in possession of the property.  If a party is in possession of the property that person can bring an action to reform an instrument </w:t>
      </w:r>
      <w:r w:rsidRPr="007D029F">
        <w:rPr>
          <w:rFonts w:cstheme="minorHAnsi"/>
          <w:u w:val="single"/>
        </w:rPr>
        <w:t>ad</w:t>
      </w:r>
      <w:r w:rsidRPr="007D029F">
        <w:rPr>
          <w:rFonts w:cstheme="minorHAnsi"/>
        </w:rPr>
        <w:t xml:space="preserve"> </w:t>
      </w:r>
      <w:r w:rsidRPr="007D029F">
        <w:rPr>
          <w:rFonts w:cstheme="minorHAnsi"/>
          <w:u w:val="single"/>
        </w:rPr>
        <w:t>infinitum</w:t>
      </w:r>
      <w:r w:rsidRPr="007D029F">
        <w:rPr>
          <w:rFonts w:cstheme="minorHAnsi"/>
        </w:rPr>
        <w:t>.  The Court ultimately holds that this is a question of superior title based upon the chains of title – in this case plaintiff’s title was superior.</w:t>
      </w:r>
    </w:p>
    <w:p w14:paraId="69550E11" w14:textId="77777777" w:rsidR="00225E38" w:rsidRDefault="00225E38" w:rsidP="00A23006">
      <w:pPr>
        <w:ind w:left="720"/>
      </w:pPr>
    </w:p>
    <w:p w14:paraId="5B1544A6" w14:textId="43A8BFC6" w:rsidR="00A23006" w:rsidRPr="00A23006" w:rsidRDefault="00A23006" w:rsidP="00A23006">
      <w:pPr>
        <w:rPr>
          <w:b/>
          <w:bCs/>
          <w:u w:val="single"/>
        </w:rPr>
      </w:pPr>
      <w:r w:rsidRPr="00A23006">
        <w:rPr>
          <w:b/>
          <w:bCs/>
          <w:u w:val="single"/>
        </w:rPr>
        <w:t xml:space="preserve">STATUTE OF LIMITATIONS - Now you see it; now you </w:t>
      </w:r>
      <w:r w:rsidR="00A21F02" w:rsidRPr="00A23006">
        <w:rPr>
          <w:b/>
          <w:bCs/>
          <w:u w:val="single"/>
        </w:rPr>
        <w:t>do not</w:t>
      </w:r>
      <w:r w:rsidRPr="00A23006">
        <w:rPr>
          <w:b/>
          <w:bCs/>
          <w:u w:val="single"/>
        </w:rPr>
        <w:t>.</w:t>
      </w:r>
    </w:p>
    <w:p w14:paraId="5ED78391" w14:textId="4625EB5E" w:rsidR="008039A2" w:rsidRPr="007D029F" w:rsidRDefault="008039A2" w:rsidP="008039A2">
      <w:pPr>
        <w:rPr>
          <w:rFonts w:cstheme="minorHAnsi"/>
        </w:rPr>
      </w:pPr>
      <w:r w:rsidRPr="007D029F">
        <w:rPr>
          <w:rFonts w:cstheme="minorHAnsi"/>
          <w:u w:val="single"/>
        </w:rPr>
        <w:t xml:space="preserve">Mostafa v. Pension Solutions LLC, </w:t>
      </w:r>
      <w:r w:rsidRPr="007D029F">
        <w:rPr>
          <w:rFonts w:cstheme="minorHAnsi"/>
        </w:rPr>
        <w:t>221 AD3d 997 (2</w:t>
      </w:r>
      <w:r w:rsidRPr="007D029F">
        <w:rPr>
          <w:rFonts w:cstheme="minorHAnsi"/>
          <w:vertAlign w:val="superscript"/>
        </w:rPr>
        <w:t>nd</w:t>
      </w:r>
      <w:r w:rsidRPr="007D029F">
        <w:rPr>
          <w:rFonts w:cstheme="minorHAnsi"/>
        </w:rPr>
        <w:t xml:space="preserve"> Dept. 2023).</w:t>
      </w:r>
    </w:p>
    <w:p w14:paraId="6D5801CA" w14:textId="37C33CDB" w:rsidR="008039A2" w:rsidRPr="007D029F" w:rsidRDefault="008039A2" w:rsidP="008039A2">
      <w:pPr>
        <w:ind w:left="720"/>
        <w:rPr>
          <w:rFonts w:cstheme="minorHAnsi"/>
        </w:rPr>
      </w:pPr>
      <w:r w:rsidRPr="007D029F">
        <w:rPr>
          <w:rFonts w:cstheme="minorHAnsi"/>
        </w:rPr>
        <w:t xml:space="preserve">There seems to be some definite skullduggery here.  The defendant Israel Grossman enticed the plaintiff to transfer house into a trust created by Grossman.  Grossman mortgaged the property through the trust.  The plaintiff brings two actions.  The first is essentially a quiet title action and the second is an action based on fraud.  Plaintiff had </w:t>
      </w:r>
      <w:r w:rsidRPr="007D029F">
        <w:rPr>
          <w:rFonts w:cstheme="minorHAnsi"/>
        </w:rPr>
        <w:lastRenderedPageBreak/>
        <w:t>notice of the mortgages due to a previous foreclosure of one of them more than six years ago.</w:t>
      </w:r>
    </w:p>
    <w:p w14:paraId="76737D5A" w14:textId="77777777" w:rsidR="008039A2" w:rsidRDefault="008039A2" w:rsidP="008039A2">
      <w:pPr>
        <w:rPr>
          <w:rFonts w:cstheme="minorHAnsi"/>
          <w:u w:val="single"/>
        </w:rPr>
      </w:pPr>
      <w:r w:rsidRPr="007D029F">
        <w:rPr>
          <w:rFonts w:cstheme="minorHAnsi"/>
        </w:rPr>
        <w:tab/>
      </w:r>
      <w:r w:rsidRPr="007D029F">
        <w:rPr>
          <w:rFonts w:cstheme="minorHAnsi"/>
          <w:u w:val="single"/>
        </w:rPr>
        <w:t>Hel</w:t>
      </w:r>
      <w:r>
        <w:rPr>
          <w:rFonts w:cstheme="minorHAnsi"/>
          <w:u w:val="single"/>
        </w:rPr>
        <w:t>d:</w:t>
      </w:r>
    </w:p>
    <w:p w14:paraId="79F085C9" w14:textId="677E619C" w:rsidR="008039A2" w:rsidRPr="007D029F" w:rsidRDefault="008039A2" w:rsidP="008039A2">
      <w:pPr>
        <w:ind w:left="720"/>
        <w:rPr>
          <w:rFonts w:cstheme="minorHAnsi"/>
        </w:rPr>
      </w:pPr>
      <w:r w:rsidRPr="007D029F">
        <w:rPr>
          <w:rFonts w:cstheme="minorHAnsi"/>
        </w:rPr>
        <w:t xml:space="preserve">Where a plaintiff seeks to remove a cloud on title the right to such relief is never barred by the statute of limitations.  It is a continuing right which exists as long as there is occasion for its exercise.  Although not mentioned by the Court the right exists only so long as the person occupies the premises.  The Court does state that because the plaintiffs were the owner of the premises they are entitled to possession.  See RPAPL §311 </w:t>
      </w:r>
      <w:r w:rsidRPr="007D029F">
        <w:rPr>
          <w:rFonts w:cstheme="minorHAnsi"/>
          <w:b/>
          <w:bCs/>
        </w:rPr>
        <w:t>Presumption of possession from legal title</w:t>
      </w:r>
      <w:r w:rsidRPr="007D029F">
        <w:rPr>
          <w:rFonts w:cstheme="minorHAnsi"/>
        </w:rPr>
        <w:t xml:space="preserve">.  </w:t>
      </w:r>
    </w:p>
    <w:p w14:paraId="6A3819E7" w14:textId="77777777" w:rsidR="008039A2" w:rsidRPr="007D029F" w:rsidRDefault="008039A2" w:rsidP="008039A2">
      <w:pPr>
        <w:ind w:left="720"/>
        <w:rPr>
          <w:rFonts w:cstheme="minorHAnsi"/>
        </w:rPr>
      </w:pPr>
      <w:r w:rsidRPr="007D029F">
        <w:rPr>
          <w:rFonts w:cstheme="minorHAnsi"/>
        </w:rPr>
        <w:t>However the Court held the claim of fraud was barred by the statute of limitations because the plaintiffs had knowledge of the situation more than six years prior to commencement of the lawsuit.</w:t>
      </w:r>
    </w:p>
    <w:p w14:paraId="6B002760" w14:textId="77777777" w:rsidR="00225E38" w:rsidRDefault="00225E38" w:rsidP="00A23006">
      <w:pPr>
        <w:ind w:left="720"/>
      </w:pPr>
    </w:p>
    <w:p w14:paraId="52F7A7EB" w14:textId="77777777" w:rsidR="00A23006" w:rsidRPr="00A23006" w:rsidRDefault="00A23006" w:rsidP="00A23006">
      <w:pPr>
        <w:rPr>
          <w:b/>
          <w:bCs/>
          <w:u w:val="single"/>
        </w:rPr>
      </w:pPr>
      <w:r w:rsidRPr="00A23006">
        <w:rPr>
          <w:b/>
          <w:bCs/>
          <w:u w:val="single"/>
        </w:rPr>
        <w:t>COOPERATIVE</w:t>
      </w:r>
    </w:p>
    <w:p w14:paraId="0995C718" w14:textId="6F58E674" w:rsidR="008039A2" w:rsidRPr="007D029F" w:rsidRDefault="008039A2" w:rsidP="008039A2">
      <w:pPr>
        <w:rPr>
          <w:rFonts w:cstheme="minorHAnsi"/>
        </w:rPr>
      </w:pPr>
      <w:r w:rsidRPr="007D029F">
        <w:rPr>
          <w:rFonts w:cstheme="minorHAnsi"/>
          <w:u w:val="single"/>
        </w:rPr>
        <w:t>Calm Ave. LLC v. Baker</w:t>
      </w:r>
      <w:r w:rsidRPr="007D029F">
        <w:rPr>
          <w:rFonts w:cstheme="minorHAnsi"/>
        </w:rPr>
        <w:t>, 224 AD3d 426 (1</w:t>
      </w:r>
      <w:r w:rsidRPr="007D029F">
        <w:rPr>
          <w:rFonts w:cstheme="minorHAnsi"/>
          <w:vertAlign w:val="superscript"/>
        </w:rPr>
        <w:t>st</w:t>
      </w:r>
      <w:r w:rsidRPr="007D029F">
        <w:rPr>
          <w:rFonts w:cstheme="minorHAnsi"/>
        </w:rPr>
        <w:t xml:space="preserve"> Dept. 2024).</w:t>
      </w:r>
    </w:p>
    <w:p w14:paraId="6DC97679" w14:textId="408DE69A" w:rsidR="008039A2" w:rsidRPr="007D029F" w:rsidRDefault="008039A2" w:rsidP="008039A2">
      <w:pPr>
        <w:ind w:left="720"/>
        <w:rPr>
          <w:rFonts w:cstheme="minorHAnsi"/>
        </w:rPr>
      </w:pPr>
      <w:r w:rsidRPr="007D029F">
        <w:rPr>
          <w:rFonts w:cstheme="minorHAnsi"/>
        </w:rPr>
        <w:t xml:space="preserve">Parties enter into a contract for the purchase and sale of a cooperative with the further provision that the property was ultimately going to be sold to a third party.  The cooperative barred the plaintiff from purchasing the property on the basis that the plaintiff was an LLC.  </w:t>
      </w:r>
    </w:p>
    <w:p w14:paraId="706BD08E" w14:textId="77777777" w:rsidR="008039A2" w:rsidRDefault="008039A2" w:rsidP="008039A2">
      <w:pPr>
        <w:ind w:left="720"/>
        <w:rPr>
          <w:rFonts w:cstheme="minorHAnsi"/>
        </w:rPr>
      </w:pPr>
      <w:r w:rsidRPr="007D029F">
        <w:rPr>
          <w:rFonts w:cstheme="minorHAnsi"/>
          <w:u w:val="single"/>
        </w:rPr>
        <w:t>Held</w:t>
      </w:r>
      <w:r>
        <w:rPr>
          <w:rFonts w:cstheme="minorHAnsi"/>
        </w:rPr>
        <w:t>:</w:t>
      </w:r>
    </w:p>
    <w:p w14:paraId="0BC00D68" w14:textId="12916F69" w:rsidR="008039A2" w:rsidRPr="007D029F" w:rsidRDefault="008039A2" w:rsidP="008039A2">
      <w:pPr>
        <w:ind w:left="720"/>
        <w:rPr>
          <w:rFonts w:cstheme="minorHAnsi"/>
        </w:rPr>
      </w:pPr>
      <w:r w:rsidRPr="007D029F">
        <w:rPr>
          <w:rFonts w:cstheme="minorHAnsi"/>
        </w:rPr>
        <w:t xml:space="preserve">The plaintiff’s claim that the contract did not exist because the cooperative barred the plaintiff from purchasing is not dispository because the contract anticipated ultimately a sale to a third party nor was there any proof that the defendant impeded the plaintiff’s ability to submit the required renovations.  </w:t>
      </w:r>
    </w:p>
    <w:p w14:paraId="1B1D7E57" w14:textId="77777777" w:rsidR="00A23006" w:rsidRPr="00A23006" w:rsidRDefault="00A23006" w:rsidP="00A23006"/>
    <w:p w14:paraId="5584828E" w14:textId="77777777" w:rsidR="00A23006" w:rsidRPr="00A23006" w:rsidRDefault="00A23006" w:rsidP="00A23006">
      <w:pPr>
        <w:rPr>
          <w:b/>
          <w:bCs/>
          <w:u w:val="single"/>
        </w:rPr>
      </w:pPr>
      <w:r w:rsidRPr="00A23006">
        <w:rPr>
          <w:b/>
          <w:bCs/>
          <w:u w:val="single"/>
        </w:rPr>
        <w:t>DUTY OF INQUIRY</w:t>
      </w:r>
    </w:p>
    <w:p w14:paraId="757AE671" w14:textId="33E101B1" w:rsidR="008039A2" w:rsidRPr="007D029F" w:rsidRDefault="008039A2" w:rsidP="008039A2">
      <w:pPr>
        <w:rPr>
          <w:rFonts w:cstheme="minorHAnsi"/>
        </w:rPr>
      </w:pPr>
      <w:r w:rsidRPr="007D029F">
        <w:rPr>
          <w:rFonts w:cstheme="minorHAnsi"/>
          <w:u w:val="single"/>
        </w:rPr>
        <w:t>Valdeo v. HSBC Bank USA, NA</w:t>
      </w:r>
      <w:r w:rsidRPr="007D029F">
        <w:rPr>
          <w:rFonts w:cstheme="minorHAnsi"/>
        </w:rPr>
        <w:t>, 229 AD3d 591 (2</w:t>
      </w:r>
      <w:r w:rsidRPr="007D029F">
        <w:rPr>
          <w:rFonts w:cstheme="minorHAnsi"/>
          <w:vertAlign w:val="superscript"/>
        </w:rPr>
        <w:t>nd</w:t>
      </w:r>
      <w:r w:rsidRPr="007D029F">
        <w:rPr>
          <w:rFonts w:cstheme="minorHAnsi"/>
        </w:rPr>
        <w:t xml:space="preserve"> Dept. 2024).  </w:t>
      </w:r>
    </w:p>
    <w:p w14:paraId="7ACB2C33" w14:textId="54447AA1" w:rsidR="008039A2" w:rsidRPr="007D029F" w:rsidRDefault="008039A2" w:rsidP="008039A2">
      <w:pPr>
        <w:ind w:left="720"/>
        <w:rPr>
          <w:rFonts w:cstheme="minorHAnsi"/>
        </w:rPr>
      </w:pPr>
      <w:r w:rsidRPr="007D029F">
        <w:rPr>
          <w:rFonts w:cstheme="minorHAnsi"/>
        </w:rPr>
        <w:t xml:space="preserve">Plaintiff </w:t>
      </w:r>
      <w:r w:rsidR="00932C9F" w:rsidRPr="007D029F">
        <w:rPr>
          <w:rFonts w:cstheme="minorHAnsi"/>
        </w:rPr>
        <w:t>initially held</w:t>
      </w:r>
      <w:r w:rsidRPr="007D029F">
        <w:rPr>
          <w:rFonts w:cstheme="minorHAnsi"/>
        </w:rPr>
        <w:t xml:space="preserve"> an unsecured note from the defendant Marambarn.  Subsequently Marambarn executed a deed in favor of his daughters who executed a mortgage in favor of Delta Funding Corporation </w:t>
      </w:r>
      <w:r w:rsidR="003901BC" w:rsidRPr="007D029F">
        <w:rPr>
          <w:rFonts w:cstheme="minorHAnsi"/>
        </w:rPr>
        <w:t>which</w:t>
      </w:r>
      <w:r w:rsidRPr="007D029F">
        <w:rPr>
          <w:rFonts w:cstheme="minorHAnsi"/>
        </w:rPr>
        <w:t xml:space="preserve"> is now held by HSBC.  Subsequently plaintiff obtained a judgment against Marambarn in the sum of $2,154,695.  Plaintiff claims that </w:t>
      </w:r>
      <w:r w:rsidRPr="007D029F">
        <w:rPr>
          <w:rFonts w:cstheme="minorHAnsi"/>
        </w:rPr>
        <w:lastRenderedPageBreak/>
        <w:t xml:space="preserve">the conveyance of Marambarn to his daughters was fraudulent and therefore the judgment obtained by plaintiff was superior to the </w:t>
      </w:r>
      <w:r w:rsidR="00932C9F" w:rsidRPr="007D029F">
        <w:rPr>
          <w:rFonts w:cstheme="minorHAnsi"/>
        </w:rPr>
        <w:t>Delta mortgage</w:t>
      </w:r>
      <w:r w:rsidRPr="007D029F">
        <w:rPr>
          <w:rFonts w:cstheme="minorHAnsi"/>
        </w:rPr>
        <w:t xml:space="preserve">.  </w:t>
      </w:r>
    </w:p>
    <w:p w14:paraId="4BB6438B" w14:textId="77777777" w:rsidR="008039A2" w:rsidRDefault="008039A2" w:rsidP="008039A2">
      <w:pPr>
        <w:rPr>
          <w:rFonts w:cstheme="minorHAnsi"/>
        </w:rPr>
      </w:pPr>
      <w:r w:rsidRPr="007D029F">
        <w:rPr>
          <w:rFonts w:cstheme="minorHAnsi"/>
        </w:rPr>
        <w:tab/>
      </w:r>
      <w:r w:rsidRPr="007D029F">
        <w:rPr>
          <w:rFonts w:cstheme="minorHAnsi"/>
          <w:u w:val="single"/>
        </w:rPr>
        <w:t>Held</w:t>
      </w:r>
      <w:r>
        <w:rPr>
          <w:rFonts w:cstheme="minorHAnsi"/>
        </w:rPr>
        <w:t>:</w:t>
      </w:r>
    </w:p>
    <w:p w14:paraId="3F6C52D2" w14:textId="65DC33A6" w:rsidR="008039A2" w:rsidRPr="007D029F" w:rsidRDefault="008039A2" w:rsidP="008039A2">
      <w:pPr>
        <w:ind w:left="720"/>
        <w:rPr>
          <w:rFonts w:cstheme="minorHAnsi"/>
        </w:rPr>
      </w:pPr>
      <w:r w:rsidRPr="007D029F">
        <w:rPr>
          <w:rFonts w:cstheme="minorHAnsi"/>
        </w:rPr>
        <w:t xml:space="preserve">A mortgagee is under a duty to make an inquiry where it is aware of facts that would lead a reasonable prudent lender to make inquiries of the circumstances of the transaction at issue – a mortgagee who fails to make such inquiry is not a </w:t>
      </w:r>
      <w:r w:rsidRPr="007D029F">
        <w:rPr>
          <w:rFonts w:cstheme="minorHAnsi"/>
          <w:i/>
          <w:iCs/>
        </w:rPr>
        <w:t>bona fide</w:t>
      </w:r>
      <w:r w:rsidRPr="007D029F">
        <w:rPr>
          <w:rFonts w:cstheme="minorHAnsi"/>
        </w:rPr>
        <w:t xml:space="preserve"> encumbrancer for value.  Here the fact that Marambarn conveyed the property to the daughters for approximately half the market value years before Valdeo obtained his judgment is insufficient to establish </w:t>
      </w:r>
      <w:r w:rsidRPr="007D029F">
        <w:rPr>
          <w:rFonts w:cstheme="minorHAnsi"/>
          <w:i/>
          <w:iCs/>
        </w:rPr>
        <w:t>prima facie</w:t>
      </w:r>
      <w:r w:rsidRPr="007D029F">
        <w:rPr>
          <w:rFonts w:cstheme="minorHAnsi"/>
        </w:rPr>
        <w:t xml:space="preserve"> that Delta should have inquired as to whether a fraud was taking place prior to issuing the Delta mortgage.</w:t>
      </w:r>
    </w:p>
    <w:p w14:paraId="36D21383" w14:textId="77777777" w:rsidR="00225E38" w:rsidRDefault="00225E38" w:rsidP="00A23006"/>
    <w:p w14:paraId="63A25548" w14:textId="77777777" w:rsidR="00225E38" w:rsidRPr="00225E38" w:rsidRDefault="00225E38" w:rsidP="00225E38">
      <w:pPr>
        <w:rPr>
          <w:b/>
          <w:bCs/>
          <w:u w:val="single"/>
        </w:rPr>
      </w:pPr>
      <w:r w:rsidRPr="00225E38">
        <w:rPr>
          <w:b/>
          <w:bCs/>
          <w:u w:val="single"/>
        </w:rPr>
        <w:t>FRAUD - MERGER - You better look around.</w:t>
      </w:r>
    </w:p>
    <w:p w14:paraId="1D471FF9" w14:textId="77777777" w:rsidR="008039A2" w:rsidRPr="007D029F" w:rsidRDefault="008039A2" w:rsidP="008039A2">
      <w:pPr>
        <w:rPr>
          <w:rFonts w:cstheme="minorHAnsi"/>
        </w:rPr>
      </w:pPr>
      <w:r w:rsidRPr="007D029F">
        <w:rPr>
          <w:rFonts w:cstheme="minorHAnsi"/>
          <w:u w:val="single"/>
        </w:rPr>
        <w:t>98 Gates Avenue Corp. v. Brian</w:t>
      </w:r>
      <w:r w:rsidRPr="007D029F">
        <w:rPr>
          <w:rFonts w:cstheme="minorHAnsi"/>
        </w:rPr>
        <w:t>, 225 AD3d 647 (2nd Dept. 2024).</w:t>
      </w:r>
    </w:p>
    <w:p w14:paraId="098AC4DC" w14:textId="5BE2CD52" w:rsidR="008039A2" w:rsidRPr="007D029F" w:rsidRDefault="008039A2" w:rsidP="008039A2">
      <w:pPr>
        <w:ind w:left="720"/>
        <w:rPr>
          <w:rFonts w:cstheme="minorHAnsi"/>
        </w:rPr>
      </w:pPr>
      <w:r w:rsidRPr="007D029F">
        <w:rPr>
          <w:rFonts w:cstheme="minorHAnsi"/>
        </w:rPr>
        <w:t>Plaintiff purchased premises in Brooklyn based upon defendant’s representation that defendant had a 50% interest in the property and that the decedent, defendant’s father, had no Will all of which was untrue.  The father’s Will was probated.</w:t>
      </w:r>
    </w:p>
    <w:p w14:paraId="566B5752" w14:textId="77777777" w:rsidR="008039A2" w:rsidRDefault="008039A2" w:rsidP="008039A2">
      <w:pPr>
        <w:rPr>
          <w:rFonts w:cstheme="minorHAnsi"/>
        </w:rPr>
      </w:pPr>
      <w:r w:rsidRPr="007D029F">
        <w:rPr>
          <w:rFonts w:cstheme="minorHAnsi"/>
        </w:rPr>
        <w:tab/>
      </w:r>
      <w:r w:rsidRPr="007D029F">
        <w:rPr>
          <w:rFonts w:cstheme="minorHAnsi"/>
          <w:u w:val="single"/>
        </w:rPr>
        <w:t>Held</w:t>
      </w:r>
      <w:r>
        <w:rPr>
          <w:rFonts w:cstheme="minorHAnsi"/>
        </w:rPr>
        <w:t xml:space="preserve">: </w:t>
      </w:r>
    </w:p>
    <w:p w14:paraId="70948884" w14:textId="102FCCF3" w:rsidR="008039A2" w:rsidRDefault="008039A2" w:rsidP="008039A2">
      <w:pPr>
        <w:ind w:left="720"/>
        <w:rPr>
          <w:rFonts w:cstheme="minorHAnsi"/>
        </w:rPr>
      </w:pPr>
      <w:r w:rsidRPr="007D029F">
        <w:rPr>
          <w:rFonts w:cstheme="minorHAnsi"/>
        </w:rPr>
        <w:t xml:space="preserve">A plaintiff’s reliance on false statements in order to establish fraudulent misrepresentation requires “a misrepresentation of a material omission of fact which is false and known to be false by the defendant made for the purpose of inducing the other party to rely upon it, justifiable reliance by the other party on the misrepresentation or material omission and injury.”  A victim’s reliance must be reasonable if the facts presented are matters mercurially within the misrepresenting party and the victim has means available to him of knowing by the exercise of ordinary care that truth of the real quality of the subject.  The victim must make use of those means.  The claim of fraudulent misrepresentation must be analyzed within the doctrine of </w:t>
      </w:r>
      <w:r w:rsidRPr="007D029F">
        <w:rPr>
          <w:rFonts w:cstheme="minorHAnsi"/>
          <w:i/>
          <w:iCs/>
        </w:rPr>
        <w:t>caveat emptor.</w:t>
      </w:r>
      <w:r w:rsidRPr="007D029F">
        <w:rPr>
          <w:rFonts w:cstheme="minorHAnsi"/>
        </w:rPr>
        <w:t xml:space="preserve">  If in fact there is more than mere silence the fraudulent party has a duty to disclose but not here.  The Will was probated and that was a matter of record.  Furthermore doctrine of merger </w:t>
      </w:r>
      <w:r w:rsidR="00932C9F" w:rsidRPr="007D029F">
        <w:rPr>
          <w:rFonts w:cstheme="minorHAnsi"/>
        </w:rPr>
        <w:t>applies,</w:t>
      </w:r>
      <w:r w:rsidRPr="007D029F">
        <w:rPr>
          <w:rFonts w:cstheme="minorHAnsi"/>
        </w:rPr>
        <w:t xml:space="preserve"> and the purchaser is barred from prosecuting any claims arising out of the contract.  </w:t>
      </w:r>
    </w:p>
    <w:p w14:paraId="26DAEA42" w14:textId="77777777" w:rsidR="004F1E6E" w:rsidRDefault="004F1E6E" w:rsidP="008039A2">
      <w:pPr>
        <w:ind w:left="720"/>
        <w:rPr>
          <w:rFonts w:cstheme="minorHAnsi"/>
        </w:rPr>
      </w:pPr>
    </w:p>
    <w:p w14:paraId="391DF887" w14:textId="3505FB30" w:rsidR="001C7E9C" w:rsidRPr="006C28A7" w:rsidRDefault="00441D27" w:rsidP="00CF7B32">
      <w:pPr>
        <w:ind w:left="720"/>
        <w:rPr>
          <w:rFonts w:cstheme="minorHAnsi"/>
        </w:rPr>
      </w:pPr>
      <w:r>
        <w:rPr>
          <w:rFonts w:cstheme="minorHAnsi"/>
        </w:rPr>
        <w:t>The</w:t>
      </w:r>
      <w:r w:rsidR="004F1E6E" w:rsidRPr="004F1E6E">
        <w:rPr>
          <w:rFonts w:cstheme="minorHAnsi"/>
        </w:rPr>
        <w:t xml:space="preserve"> material</w:t>
      </w:r>
      <w:r>
        <w:rPr>
          <w:rFonts w:cstheme="minorHAnsi"/>
        </w:rPr>
        <w:t>s</w:t>
      </w:r>
      <w:r w:rsidR="004F1E6E" w:rsidRPr="004F1E6E">
        <w:rPr>
          <w:rFonts w:cstheme="minorHAnsi"/>
        </w:rPr>
        <w:t xml:space="preserve"> or documents used in the program and the statements made during the program</w:t>
      </w:r>
      <w:r w:rsidR="00600792">
        <w:rPr>
          <w:rFonts w:cstheme="minorHAnsi"/>
        </w:rPr>
        <w:t xml:space="preserve"> do not</w:t>
      </w:r>
      <w:r w:rsidR="004F1E6E" w:rsidRPr="004F1E6E">
        <w:rPr>
          <w:rFonts w:cstheme="minorHAnsi"/>
        </w:rPr>
        <w:t xml:space="preserve"> constitute the rend</w:t>
      </w:r>
      <w:r w:rsidR="006C28A7">
        <w:rPr>
          <w:rFonts w:cstheme="minorHAnsi"/>
        </w:rPr>
        <w:t>ering</w:t>
      </w:r>
      <w:r w:rsidR="004F1E6E" w:rsidRPr="004F1E6E">
        <w:rPr>
          <w:rFonts w:cstheme="minorHAnsi"/>
        </w:rPr>
        <w:t xml:space="preserve"> of any legal or professional service. Anyone </w:t>
      </w:r>
      <w:r w:rsidR="004F1E6E" w:rsidRPr="004F1E6E">
        <w:rPr>
          <w:rFonts w:cstheme="minorHAnsi"/>
        </w:rPr>
        <w:lastRenderedPageBreak/>
        <w:t xml:space="preserve">using the materials contained in this presentation should always research original sources of authority and update information to ensure accuracy when dealing with a specific client’s legal matters. Specifically, it should be noted that after originally checking the case out we do not “Shepardize” the case and you must do that before relying on any of the cases set forth herein. </w:t>
      </w:r>
    </w:p>
    <w:sectPr w:rsidR="001C7E9C" w:rsidRPr="006C28A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1DCDA" w14:textId="77777777" w:rsidR="001A31A7" w:rsidRDefault="001A31A7" w:rsidP="00EE61EE">
      <w:pPr>
        <w:spacing w:after="0" w:line="240" w:lineRule="auto"/>
      </w:pPr>
      <w:r>
        <w:separator/>
      </w:r>
    </w:p>
  </w:endnote>
  <w:endnote w:type="continuationSeparator" w:id="0">
    <w:p w14:paraId="1EE78D37" w14:textId="77777777" w:rsidR="001A31A7" w:rsidRDefault="001A31A7" w:rsidP="00EE6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81983"/>
      <w:docPartObj>
        <w:docPartGallery w:val="Page Numbers (Bottom of Page)"/>
        <w:docPartUnique/>
      </w:docPartObj>
    </w:sdtPr>
    <w:sdtEndPr>
      <w:rPr>
        <w:noProof/>
      </w:rPr>
    </w:sdtEndPr>
    <w:sdtContent>
      <w:p w14:paraId="57C797BD" w14:textId="71CA9026" w:rsidR="00EE61EE" w:rsidRDefault="00EE61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BCD6C7" w14:textId="77777777" w:rsidR="00EE61EE" w:rsidRDefault="00EE6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A7F9F" w14:textId="77777777" w:rsidR="001A31A7" w:rsidRDefault="001A31A7" w:rsidP="00EE61EE">
      <w:pPr>
        <w:spacing w:after="0" w:line="240" w:lineRule="auto"/>
      </w:pPr>
      <w:r>
        <w:separator/>
      </w:r>
    </w:p>
  </w:footnote>
  <w:footnote w:type="continuationSeparator" w:id="0">
    <w:p w14:paraId="7828DE2A" w14:textId="77777777" w:rsidR="001A31A7" w:rsidRDefault="001A31A7" w:rsidP="00EE6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742B4D"/>
    <w:multiLevelType w:val="hybridMultilevel"/>
    <w:tmpl w:val="A596E1B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199249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E9C"/>
    <w:rsid w:val="000011E7"/>
    <w:rsid w:val="00004E15"/>
    <w:rsid w:val="00010D7B"/>
    <w:rsid w:val="00010F4C"/>
    <w:rsid w:val="00035C41"/>
    <w:rsid w:val="00053C94"/>
    <w:rsid w:val="000E241A"/>
    <w:rsid w:val="000F57C2"/>
    <w:rsid w:val="00177729"/>
    <w:rsid w:val="00180397"/>
    <w:rsid w:val="00186F17"/>
    <w:rsid w:val="00187F2F"/>
    <w:rsid w:val="00193501"/>
    <w:rsid w:val="001A31A7"/>
    <w:rsid w:val="001C5DAD"/>
    <w:rsid w:val="001C7E9C"/>
    <w:rsid w:val="001F2717"/>
    <w:rsid w:val="002120A4"/>
    <w:rsid w:val="002177A9"/>
    <w:rsid w:val="00225E38"/>
    <w:rsid w:val="00226726"/>
    <w:rsid w:val="002755BF"/>
    <w:rsid w:val="00283EC2"/>
    <w:rsid w:val="0028489D"/>
    <w:rsid w:val="00287E7E"/>
    <w:rsid w:val="00291465"/>
    <w:rsid w:val="002D136E"/>
    <w:rsid w:val="002E176F"/>
    <w:rsid w:val="00304D4C"/>
    <w:rsid w:val="00312B33"/>
    <w:rsid w:val="00324BA8"/>
    <w:rsid w:val="0036703E"/>
    <w:rsid w:val="003901BC"/>
    <w:rsid w:val="003A002E"/>
    <w:rsid w:val="003C4E91"/>
    <w:rsid w:val="00441D27"/>
    <w:rsid w:val="00443CDE"/>
    <w:rsid w:val="00445F80"/>
    <w:rsid w:val="00465E8D"/>
    <w:rsid w:val="004A324C"/>
    <w:rsid w:val="004B5E13"/>
    <w:rsid w:val="004F1E6E"/>
    <w:rsid w:val="004F2F81"/>
    <w:rsid w:val="00507A7E"/>
    <w:rsid w:val="00523951"/>
    <w:rsid w:val="005B3A72"/>
    <w:rsid w:val="005E622A"/>
    <w:rsid w:val="00600792"/>
    <w:rsid w:val="006A21E9"/>
    <w:rsid w:val="006B4CA4"/>
    <w:rsid w:val="006C28A7"/>
    <w:rsid w:val="006C2D58"/>
    <w:rsid w:val="0071029A"/>
    <w:rsid w:val="007142A6"/>
    <w:rsid w:val="00754881"/>
    <w:rsid w:val="007B3DB4"/>
    <w:rsid w:val="007B3E3B"/>
    <w:rsid w:val="007D5CB2"/>
    <w:rsid w:val="007E58FD"/>
    <w:rsid w:val="008039A2"/>
    <w:rsid w:val="0081377B"/>
    <w:rsid w:val="0081600E"/>
    <w:rsid w:val="008340F7"/>
    <w:rsid w:val="008605E9"/>
    <w:rsid w:val="00887167"/>
    <w:rsid w:val="0089068C"/>
    <w:rsid w:val="008A2D7F"/>
    <w:rsid w:val="008B2A1C"/>
    <w:rsid w:val="008B7B91"/>
    <w:rsid w:val="008E171F"/>
    <w:rsid w:val="00932C9F"/>
    <w:rsid w:val="00934C25"/>
    <w:rsid w:val="009423F5"/>
    <w:rsid w:val="009442D0"/>
    <w:rsid w:val="00970AE5"/>
    <w:rsid w:val="009964C3"/>
    <w:rsid w:val="009A7A50"/>
    <w:rsid w:val="009D3218"/>
    <w:rsid w:val="009E7DF0"/>
    <w:rsid w:val="00A0142E"/>
    <w:rsid w:val="00A21F02"/>
    <w:rsid w:val="00A23006"/>
    <w:rsid w:val="00A24A54"/>
    <w:rsid w:val="00A6631F"/>
    <w:rsid w:val="00A93304"/>
    <w:rsid w:val="00A9401E"/>
    <w:rsid w:val="00AC284F"/>
    <w:rsid w:val="00AF7067"/>
    <w:rsid w:val="00B26C0E"/>
    <w:rsid w:val="00B63E8C"/>
    <w:rsid w:val="00BA3038"/>
    <w:rsid w:val="00BB3EDF"/>
    <w:rsid w:val="00C03C4D"/>
    <w:rsid w:val="00C06C5D"/>
    <w:rsid w:val="00C1108D"/>
    <w:rsid w:val="00C242F2"/>
    <w:rsid w:val="00C34005"/>
    <w:rsid w:val="00C35B24"/>
    <w:rsid w:val="00C375F6"/>
    <w:rsid w:val="00C679A7"/>
    <w:rsid w:val="00C87159"/>
    <w:rsid w:val="00CC03F5"/>
    <w:rsid w:val="00CE2790"/>
    <w:rsid w:val="00CF7B32"/>
    <w:rsid w:val="00D05A2D"/>
    <w:rsid w:val="00D77C14"/>
    <w:rsid w:val="00D95047"/>
    <w:rsid w:val="00DF5E5F"/>
    <w:rsid w:val="00E069E9"/>
    <w:rsid w:val="00E15FBB"/>
    <w:rsid w:val="00E212BE"/>
    <w:rsid w:val="00E30A23"/>
    <w:rsid w:val="00E54565"/>
    <w:rsid w:val="00E7255D"/>
    <w:rsid w:val="00EE61EE"/>
    <w:rsid w:val="00F3547A"/>
    <w:rsid w:val="00F57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97637"/>
  <w15:chartTrackingRefBased/>
  <w15:docId w15:val="{3163003B-9707-48BD-953C-F21EEB481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E9C"/>
    <w:pPr>
      <w:spacing w:line="278" w:lineRule="auto"/>
    </w:pPr>
    <w:rPr>
      <w:rFonts w:asciiTheme="minorHAnsi" w:hAnsiTheme="minorHAnsi"/>
    </w:rPr>
  </w:style>
  <w:style w:type="paragraph" w:styleId="Heading1">
    <w:name w:val="heading 1"/>
    <w:basedOn w:val="Normal"/>
    <w:next w:val="Normal"/>
    <w:link w:val="Heading1Char"/>
    <w:uiPriority w:val="9"/>
    <w:qFormat/>
    <w:rsid w:val="001C7E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C7E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7E9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7E9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C7E9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C7E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7E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7E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7E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E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7E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7E9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7E9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C7E9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C7E9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C7E9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C7E9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C7E9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C7E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7E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E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7E9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C7E9C"/>
    <w:pPr>
      <w:spacing w:before="160"/>
      <w:jc w:val="center"/>
    </w:pPr>
    <w:rPr>
      <w:i/>
      <w:iCs/>
      <w:color w:val="404040" w:themeColor="text1" w:themeTint="BF"/>
    </w:rPr>
  </w:style>
  <w:style w:type="character" w:customStyle="1" w:styleId="QuoteChar">
    <w:name w:val="Quote Char"/>
    <w:basedOn w:val="DefaultParagraphFont"/>
    <w:link w:val="Quote"/>
    <w:uiPriority w:val="29"/>
    <w:rsid w:val="001C7E9C"/>
    <w:rPr>
      <w:i/>
      <w:iCs/>
      <w:color w:val="404040" w:themeColor="text1" w:themeTint="BF"/>
    </w:rPr>
  </w:style>
  <w:style w:type="paragraph" w:styleId="ListParagraph">
    <w:name w:val="List Paragraph"/>
    <w:basedOn w:val="Normal"/>
    <w:uiPriority w:val="34"/>
    <w:qFormat/>
    <w:rsid w:val="001C7E9C"/>
    <w:pPr>
      <w:ind w:left="720"/>
      <w:contextualSpacing/>
    </w:pPr>
  </w:style>
  <w:style w:type="character" w:styleId="IntenseEmphasis">
    <w:name w:val="Intense Emphasis"/>
    <w:basedOn w:val="DefaultParagraphFont"/>
    <w:uiPriority w:val="21"/>
    <w:qFormat/>
    <w:rsid w:val="001C7E9C"/>
    <w:rPr>
      <w:i/>
      <w:iCs/>
      <w:color w:val="2F5496" w:themeColor="accent1" w:themeShade="BF"/>
    </w:rPr>
  </w:style>
  <w:style w:type="paragraph" w:styleId="IntenseQuote">
    <w:name w:val="Intense Quote"/>
    <w:basedOn w:val="Normal"/>
    <w:next w:val="Normal"/>
    <w:link w:val="IntenseQuoteChar"/>
    <w:uiPriority w:val="30"/>
    <w:qFormat/>
    <w:rsid w:val="001C7E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7E9C"/>
    <w:rPr>
      <w:i/>
      <w:iCs/>
      <w:color w:val="2F5496" w:themeColor="accent1" w:themeShade="BF"/>
    </w:rPr>
  </w:style>
  <w:style w:type="character" w:styleId="IntenseReference">
    <w:name w:val="Intense Reference"/>
    <w:basedOn w:val="DefaultParagraphFont"/>
    <w:uiPriority w:val="32"/>
    <w:qFormat/>
    <w:rsid w:val="001C7E9C"/>
    <w:rPr>
      <w:b/>
      <w:bCs/>
      <w:smallCaps/>
      <w:color w:val="2F5496" w:themeColor="accent1" w:themeShade="BF"/>
      <w:spacing w:val="5"/>
    </w:rPr>
  </w:style>
  <w:style w:type="paragraph" w:styleId="PlainText">
    <w:name w:val="Plain Text"/>
    <w:basedOn w:val="Normal"/>
    <w:link w:val="PlainTextChar"/>
    <w:uiPriority w:val="99"/>
    <w:semiHidden/>
    <w:unhideWhenUsed/>
    <w:rsid w:val="00283EC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83EC2"/>
    <w:rPr>
      <w:rFonts w:ascii="Consolas" w:hAnsi="Consolas"/>
      <w:sz w:val="21"/>
      <w:szCs w:val="21"/>
    </w:rPr>
  </w:style>
  <w:style w:type="paragraph" w:styleId="Header">
    <w:name w:val="header"/>
    <w:basedOn w:val="Normal"/>
    <w:link w:val="HeaderChar"/>
    <w:uiPriority w:val="99"/>
    <w:unhideWhenUsed/>
    <w:rsid w:val="00EE6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1EE"/>
    <w:rPr>
      <w:rFonts w:asciiTheme="minorHAnsi" w:hAnsiTheme="minorHAnsi"/>
    </w:rPr>
  </w:style>
  <w:style w:type="paragraph" w:styleId="Footer">
    <w:name w:val="footer"/>
    <w:basedOn w:val="Normal"/>
    <w:link w:val="FooterChar"/>
    <w:uiPriority w:val="99"/>
    <w:unhideWhenUsed/>
    <w:rsid w:val="00EE6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1EE"/>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71379">
      <w:bodyDiv w:val="1"/>
      <w:marLeft w:val="0"/>
      <w:marRight w:val="0"/>
      <w:marTop w:val="0"/>
      <w:marBottom w:val="0"/>
      <w:divBdr>
        <w:top w:val="none" w:sz="0" w:space="0" w:color="auto"/>
        <w:left w:val="none" w:sz="0" w:space="0" w:color="auto"/>
        <w:bottom w:val="none" w:sz="0" w:space="0" w:color="auto"/>
        <w:right w:val="none" w:sz="0" w:space="0" w:color="auto"/>
      </w:divBdr>
    </w:div>
    <w:div w:id="51003903">
      <w:bodyDiv w:val="1"/>
      <w:marLeft w:val="0"/>
      <w:marRight w:val="0"/>
      <w:marTop w:val="0"/>
      <w:marBottom w:val="0"/>
      <w:divBdr>
        <w:top w:val="none" w:sz="0" w:space="0" w:color="auto"/>
        <w:left w:val="none" w:sz="0" w:space="0" w:color="auto"/>
        <w:bottom w:val="none" w:sz="0" w:space="0" w:color="auto"/>
        <w:right w:val="none" w:sz="0" w:space="0" w:color="auto"/>
      </w:divBdr>
    </w:div>
    <w:div w:id="51971480">
      <w:bodyDiv w:val="1"/>
      <w:marLeft w:val="0"/>
      <w:marRight w:val="0"/>
      <w:marTop w:val="0"/>
      <w:marBottom w:val="0"/>
      <w:divBdr>
        <w:top w:val="none" w:sz="0" w:space="0" w:color="auto"/>
        <w:left w:val="none" w:sz="0" w:space="0" w:color="auto"/>
        <w:bottom w:val="none" w:sz="0" w:space="0" w:color="auto"/>
        <w:right w:val="none" w:sz="0" w:space="0" w:color="auto"/>
      </w:divBdr>
    </w:div>
    <w:div w:id="103615359">
      <w:bodyDiv w:val="1"/>
      <w:marLeft w:val="0"/>
      <w:marRight w:val="0"/>
      <w:marTop w:val="0"/>
      <w:marBottom w:val="0"/>
      <w:divBdr>
        <w:top w:val="none" w:sz="0" w:space="0" w:color="auto"/>
        <w:left w:val="none" w:sz="0" w:space="0" w:color="auto"/>
        <w:bottom w:val="none" w:sz="0" w:space="0" w:color="auto"/>
        <w:right w:val="none" w:sz="0" w:space="0" w:color="auto"/>
      </w:divBdr>
    </w:div>
    <w:div w:id="115367105">
      <w:bodyDiv w:val="1"/>
      <w:marLeft w:val="0"/>
      <w:marRight w:val="0"/>
      <w:marTop w:val="0"/>
      <w:marBottom w:val="0"/>
      <w:divBdr>
        <w:top w:val="none" w:sz="0" w:space="0" w:color="auto"/>
        <w:left w:val="none" w:sz="0" w:space="0" w:color="auto"/>
        <w:bottom w:val="none" w:sz="0" w:space="0" w:color="auto"/>
        <w:right w:val="none" w:sz="0" w:space="0" w:color="auto"/>
      </w:divBdr>
    </w:div>
    <w:div w:id="248465998">
      <w:bodyDiv w:val="1"/>
      <w:marLeft w:val="0"/>
      <w:marRight w:val="0"/>
      <w:marTop w:val="0"/>
      <w:marBottom w:val="0"/>
      <w:divBdr>
        <w:top w:val="none" w:sz="0" w:space="0" w:color="auto"/>
        <w:left w:val="none" w:sz="0" w:space="0" w:color="auto"/>
        <w:bottom w:val="none" w:sz="0" w:space="0" w:color="auto"/>
        <w:right w:val="none" w:sz="0" w:space="0" w:color="auto"/>
      </w:divBdr>
    </w:div>
    <w:div w:id="276762371">
      <w:bodyDiv w:val="1"/>
      <w:marLeft w:val="0"/>
      <w:marRight w:val="0"/>
      <w:marTop w:val="0"/>
      <w:marBottom w:val="0"/>
      <w:divBdr>
        <w:top w:val="none" w:sz="0" w:space="0" w:color="auto"/>
        <w:left w:val="none" w:sz="0" w:space="0" w:color="auto"/>
        <w:bottom w:val="none" w:sz="0" w:space="0" w:color="auto"/>
        <w:right w:val="none" w:sz="0" w:space="0" w:color="auto"/>
      </w:divBdr>
    </w:div>
    <w:div w:id="324289667">
      <w:bodyDiv w:val="1"/>
      <w:marLeft w:val="0"/>
      <w:marRight w:val="0"/>
      <w:marTop w:val="0"/>
      <w:marBottom w:val="0"/>
      <w:divBdr>
        <w:top w:val="none" w:sz="0" w:space="0" w:color="auto"/>
        <w:left w:val="none" w:sz="0" w:space="0" w:color="auto"/>
        <w:bottom w:val="none" w:sz="0" w:space="0" w:color="auto"/>
        <w:right w:val="none" w:sz="0" w:space="0" w:color="auto"/>
      </w:divBdr>
    </w:div>
    <w:div w:id="358508550">
      <w:bodyDiv w:val="1"/>
      <w:marLeft w:val="0"/>
      <w:marRight w:val="0"/>
      <w:marTop w:val="0"/>
      <w:marBottom w:val="0"/>
      <w:divBdr>
        <w:top w:val="none" w:sz="0" w:space="0" w:color="auto"/>
        <w:left w:val="none" w:sz="0" w:space="0" w:color="auto"/>
        <w:bottom w:val="none" w:sz="0" w:space="0" w:color="auto"/>
        <w:right w:val="none" w:sz="0" w:space="0" w:color="auto"/>
      </w:divBdr>
    </w:div>
    <w:div w:id="412749133">
      <w:bodyDiv w:val="1"/>
      <w:marLeft w:val="0"/>
      <w:marRight w:val="0"/>
      <w:marTop w:val="0"/>
      <w:marBottom w:val="0"/>
      <w:divBdr>
        <w:top w:val="none" w:sz="0" w:space="0" w:color="auto"/>
        <w:left w:val="none" w:sz="0" w:space="0" w:color="auto"/>
        <w:bottom w:val="none" w:sz="0" w:space="0" w:color="auto"/>
        <w:right w:val="none" w:sz="0" w:space="0" w:color="auto"/>
      </w:divBdr>
    </w:div>
    <w:div w:id="434440832">
      <w:bodyDiv w:val="1"/>
      <w:marLeft w:val="0"/>
      <w:marRight w:val="0"/>
      <w:marTop w:val="0"/>
      <w:marBottom w:val="0"/>
      <w:divBdr>
        <w:top w:val="none" w:sz="0" w:space="0" w:color="auto"/>
        <w:left w:val="none" w:sz="0" w:space="0" w:color="auto"/>
        <w:bottom w:val="none" w:sz="0" w:space="0" w:color="auto"/>
        <w:right w:val="none" w:sz="0" w:space="0" w:color="auto"/>
      </w:divBdr>
    </w:div>
    <w:div w:id="498622671">
      <w:bodyDiv w:val="1"/>
      <w:marLeft w:val="0"/>
      <w:marRight w:val="0"/>
      <w:marTop w:val="0"/>
      <w:marBottom w:val="0"/>
      <w:divBdr>
        <w:top w:val="none" w:sz="0" w:space="0" w:color="auto"/>
        <w:left w:val="none" w:sz="0" w:space="0" w:color="auto"/>
        <w:bottom w:val="none" w:sz="0" w:space="0" w:color="auto"/>
        <w:right w:val="none" w:sz="0" w:space="0" w:color="auto"/>
      </w:divBdr>
    </w:div>
    <w:div w:id="509294993">
      <w:bodyDiv w:val="1"/>
      <w:marLeft w:val="0"/>
      <w:marRight w:val="0"/>
      <w:marTop w:val="0"/>
      <w:marBottom w:val="0"/>
      <w:divBdr>
        <w:top w:val="none" w:sz="0" w:space="0" w:color="auto"/>
        <w:left w:val="none" w:sz="0" w:space="0" w:color="auto"/>
        <w:bottom w:val="none" w:sz="0" w:space="0" w:color="auto"/>
        <w:right w:val="none" w:sz="0" w:space="0" w:color="auto"/>
      </w:divBdr>
    </w:div>
    <w:div w:id="538399115">
      <w:bodyDiv w:val="1"/>
      <w:marLeft w:val="0"/>
      <w:marRight w:val="0"/>
      <w:marTop w:val="0"/>
      <w:marBottom w:val="0"/>
      <w:divBdr>
        <w:top w:val="none" w:sz="0" w:space="0" w:color="auto"/>
        <w:left w:val="none" w:sz="0" w:space="0" w:color="auto"/>
        <w:bottom w:val="none" w:sz="0" w:space="0" w:color="auto"/>
        <w:right w:val="none" w:sz="0" w:space="0" w:color="auto"/>
      </w:divBdr>
    </w:div>
    <w:div w:id="541136803">
      <w:bodyDiv w:val="1"/>
      <w:marLeft w:val="0"/>
      <w:marRight w:val="0"/>
      <w:marTop w:val="0"/>
      <w:marBottom w:val="0"/>
      <w:divBdr>
        <w:top w:val="none" w:sz="0" w:space="0" w:color="auto"/>
        <w:left w:val="none" w:sz="0" w:space="0" w:color="auto"/>
        <w:bottom w:val="none" w:sz="0" w:space="0" w:color="auto"/>
        <w:right w:val="none" w:sz="0" w:space="0" w:color="auto"/>
      </w:divBdr>
    </w:div>
    <w:div w:id="660231740">
      <w:bodyDiv w:val="1"/>
      <w:marLeft w:val="0"/>
      <w:marRight w:val="0"/>
      <w:marTop w:val="0"/>
      <w:marBottom w:val="0"/>
      <w:divBdr>
        <w:top w:val="none" w:sz="0" w:space="0" w:color="auto"/>
        <w:left w:val="none" w:sz="0" w:space="0" w:color="auto"/>
        <w:bottom w:val="none" w:sz="0" w:space="0" w:color="auto"/>
        <w:right w:val="none" w:sz="0" w:space="0" w:color="auto"/>
      </w:divBdr>
    </w:div>
    <w:div w:id="670793615">
      <w:bodyDiv w:val="1"/>
      <w:marLeft w:val="0"/>
      <w:marRight w:val="0"/>
      <w:marTop w:val="0"/>
      <w:marBottom w:val="0"/>
      <w:divBdr>
        <w:top w:val="none" w:sz="0" w:space="0" w:color="auto"/>
        <w:left w:val="none" w:sz="0" w:space="0" w:color="auto"/>
        <w:bottom w:val="none" w:sz="0" w:space="0" w:color="auto"/>
        <w:right w:val="none" w:sz="0" w:space="0" w:color="auto"/>
      </w:divBdr>
    </w:div>
    <w:div w:id="690226699">
      <w:bodyDiv w:val="1"/>
      <w:marLeft w:val="0"/>
      <w:marRight w:val="0"/>
      <w:marTop w:val="0"/>
      <w:marBottom w:val="0"/>
      <w:divBdr>
        <w:top w:val="none" w:sz="0" w:space="0" w:color="auto"/>
        <w:left w:val="none" w:sz="0" w:space="0" w:color="auto"/>
        <w:bottom w:val="none" w:sz="0" w:space="0" w:color="auto"/>
        <w:right w:val="none" w:sz="0" w:space="0" w:color="auto"/>
      </w:divBdr>
    </w:div>
    <w:div w:id="700783587">
      <w:bodyDiv w:val="1"/>
      <w:marLeft w:val="0"/>
      <w:marRight w:val="0"/>
      <w:marTop w:val="0"/>
      <w:marBottom w:val="0"/>
      <w:divBdr>
        <w:top w:val="none" w:sz="0" w:space="0" w:color="auto"/>
        <w:left w:val="none" w:sz="0" w:space="0" w:color="auto"/>
        <w:bottom w:val="none" w:sz="0" w:space="0" w:color="auto"/>
        <w:right w:val="none" w:sz="0" w:space="0" w:color="auto"/>
      </w:divBdr>
    </w:div>
    <w:div w:id="707223364">
      <w:bodyDiv w:val="1"/>
      <w:marLeft w:val="0"/>
      <w:marRight w:val="0"/>
      <w:marTop w:val="0"/>
      <w:marBottom w:val="0"/>
      <w:divBdr>
        <w:top w:val="none" w:sz="0" w:space="0" w:color="auto"/>
        <w:left w:val="none" w:sz="0" w:space="0" w:color="auto"/>
        <w:bottom w:val="none" w:sz="0" w:space="0" w:color="auto"/>
        <w:right w:val="none" w:sz="0" w:space="0" w:color="auto"/>
      </w:divBdr>
    </w:div>
    <w:div w:id="742723251">
      <w:bodyDiv w:val="1"/>
      <w:marLeft w:val="0"/>
      <w:marRight w:val="0"/>
      <w:marTop w:val="0"/>
      <w:marBottom w:val="0"/>
      <w:divBdr>
        <w:top w:val="none" w:sz="0" w:space="0" w:color="auto"/>
        <w:left w:val="none" w:sz="0" w:space="0" w:color="auto"/>
        <w:bottom w:val="none" w:sz="0" w:space="0" w:color="auto"/>
        <w:right w:val="none" w:sz="0" w:space="0" w:color="auto"/>
      </w:divBdr>
    </w:div>
    <w:div w:id="760561650">
      <w:bodyDiv w:val="1"/>
      <w:marLeft w:val="0"/>
      <w:marRight w:val="0"/>
      <w:marTop w:val="0"/>
      <w:marBottom w:val="0"/>
      <w:divBdr>
        <w:top w:val="none" w:sz="0" w:space="0" w:color="auto"/>
        <w:left w:val="none" w:sz="0" w:space="0" w:color="auto"/>
        <w:bottom w:val="none" w:sz="0" w:space="0" w:color="auto"/>
        <w:right w:val="none" w:sz="0" w:space="0" w:color="auto"/>
      </w:divBdr>
    </w:div>
    <w:div w:id="821429609">
      <w:bodyDiv w:val="1"/>
      <w:marLeft w:val="0"/>
      <w:marRight w:val="0"/>
      <w:marTop w:val="0"/>
      <w:marBottom w:val="0"/>
      <w:divBdr>
        <w:top w:val="none" w:sz="0" w:space="0" w:color="auto"/>
        <w:left w:val="none" w:sz="0" w:space="0" w:color="auto"/>
        <w:bottom w:val="none" w:sz="0" w:space="0" w:color="auto"/>
        <w:right w:val="none" w:sz="0" w:space="0" w:color="auto"/>
      </w:divBdr>
    </w:div>
    <w:div w:id="846671384">
      <w:bodyDiv w:val="1"/>
      <w:marLeft w:val="0"/>
      <w:marRight w:val="0"/>
      <w:marTop w:val="0"/>
      <w:marBottom w:val="0"/>
      <w:divBdr>
        <w:top w:val="none" w:sz="0" w:space="0" w:color="auto"/>
        <w:left w:val="none" w:sz="0" w:space="0" w:color="auto"/>
        <w:bottom w:val="none" w:sz="0" w:space="0" w:color="auto"/>
        <w:right w:val="none" w:sz="0" w:space="0" w:color="auto"/>
      </w:divBdr>
    </w:div>
    <w:div w:id="865286956">
      <w:bodyDiv w:val="1"/>
      <w:marLeft w:val="0"/>
      <w:marRight w:val="0"/>
      <w:marTop w:val="0"/>
      <w:marBottom w:val="0"/>
      <w:divBdr>
        <w:top w:val="none" w:sz="0" w:space="0" w:color="auto"/>
        <w:left w:val="none" w:sz="0" w:space="0" w:color="auto"/>
        <w:bottom w:val="none" w:sz="0" w:space="0" w:color="auto"/>
        <w:right w:val="none" w:sz="0" w:space="0" w:color="auto"/>
      </w:divBdr>
    </w:div>
    <w:div w:id="872958943">
      <w:bodyDiv w:val="1"/>
      <w:marLeft w:val="0"/>
      <w:marRight w:val="0"/>
      <w:marTop w:val="0"/>
      <w:marBottom w:val="0"/>
      <w:divBdr>
        <w:top w:val="none" w:sz="0" w:space="0" w:color="auto"/>
        <w:left w:val="none" w:sz="0" w:space="0" w:color="auto"/>
        <w:bottom w:val="none" w:sz="0" w:space="0" w:color="auto"/>
        <w:right w:val="none" w:sz="0" w:space="0" w:color="auto"/>
      </w:divBdr>
    </w:div>
    <w:div w:id="878934507">
      <w:bodyDiv w:val="1"/>
      <w:marLeft w:val="0"/>
      <w:marRight w:val="0"/>
      <w:marTop w:val="0"/>
      <w:marBottom w:val="0"/>
      <w:divBdr>
        <w:top w:val="none" w:sz="0" w:space="0" w:color="auto"/>
        <w:left w:val="none" w:sz="0" w:space="0" w:color="auto"/>
        <w:bottom w:val="none" w:sz="0" w:space="0" w:color="auto"/>
        <w:right w:val="none" w:sz="0" w:space="0" w:color="auto"/>
      </w:divBdr>
    </w:div>
    <w:div w:id="921138860">
      <w:bodyDiv w:val="1"/>
      <w:marLeft w:val="0"/>
      <w:marRight w:val="0"/>
      <w:marTop w:val="0"/>
      <w:marBottom w:val="0"/>
      <w:divBdr>
        <w:top w:val="none" w:sz="0" w:space="0" w:color="auto"/>
        <w:left w:val="none" w:sz="0" w:space="0" w:color="auto"/>
        <w:bottom w:val="none" w:sz="0" w:space="0" w:color="auto"/>
        <w:right w:val="none" w:sz="0" w:space="0" w:color="auto"/>
      </w:divBdr>
    </w:div>
    <w:div w:id="970668641">
      <w:bodyDiv w:val="1"/>
      <w:marLeft w:val="0"/>
      <w:marRight w:val="0"/>
      <w:marTop w:val="0"/>
      <w:marBottom w:val="0"/>
      <w:divBdr>
        <w:top w:val="none" w:sz="0" w:space="0" w:color="auto"/>
        <w:left w:val="none" w:sz="0" w:space="0" w:color="auto"/>
        <w:bottom w:val="none" w:sz="0" w:space="0" w:color="auto"/>
        <w:right w:val="none" w:sz="0" w:space="0" w:color="auto"/>
      </w:divBdr>
    </w:div>
    <w:div w:id="974411044">
      <w:bodyDiv w:val="1"/>
      <w:marLeft w:val="0"/>
      <w:marRight w:val="0"/>
      <w:marTop w:val="0"/>
      <w:marBottom w:val="0"/>
      <w:divBdr>
        <w:top w:val="none" w:sz="0" w:space="0" w:color="auto"/>
        <w:left w:val="none" w:sz="0" w:space="0" w:color="auto"/>
        <w:bottom w:val="none" w:sz="0" w:space="0" w:color="auto"/>
        <w:right w:val="none" w:sz="0" w:space="0" w:color="auto"/>
      </w:divBdr>
    </w:div>
    <w:div w:id="984774835">
      <w:bodyDiv w:val="1"/>
      <w:marLeft w:val="0"/>
      <w:marRight w:val="0"/>
      <w:marTop w:val="0"/>
      <w:marBottom w:val="0"/>
      <w:divBdr>
        <w:top w:val="none" w:sz="0" w:space="0" w:color="auto"/>
        <w:left w:val="none" w:sz="0" w:space="0" w:color="auto"/>
        <w:bottom w:val="none" w:sz="0" w:space="0" w:color="auto"/>
        <w:right w:val="none" w:sz="0" w:space="0" w:color="auto"/>
      </w:divBdr>
    </w:div>
    <w:div w:id="993487675">
      <w:bodyDiv w:val="1"/>
      <w:marLeft w:val="0"/>
      <w:marRight w:val="0"/>
      <w:marTop w:val="0"/>
      <w:marBottom w:val="0"/>
      <w:divBdr>
        <w:top w:val="none" w:sz="0" w:space="0" w:color="auto"/>
        <w:left w:val="none" w:sz="0" w:space="0" w:color="auto"/>
        <w:bottom w:val="none" w:sz="0" w:space="0" w:color="auto"/>
        <w:right w:val="none" w:sz="0" w:space="0" w:color="auto"/>
      </w:divBdr>
    </w:div>
    <w:div w:id="1026297441">
      <w:bodyDiv w:val="1"/>
      <w:marLeft w:val="0"/>
      <w:marRight w:val="0"/>
      <w:marTop w:val="0"/>
      <w:marBottom w:val="0"/>
      <w:divBdr>
        <w:top w:val="none" w:sz="0" w:space="0" w:color="auto"/>
        <w:left w:val="none" w:sz="0" w:space="0" w:color="auto"/>
        <w:bottom w:val="none" w:sz="0" w:space="0" w:color="auto"/>
        <w:right w:val="none" w:sz="0" w:space="0" w:color="auto"/>
      </w:divBdr>
    </w:div>
    <w:div w:id="1051925999">
      <w:bodyDiv w:val="1"/>
      <w:marLeft w:val="0"/>
      <w:marRight w:val="0"/>
      <w:marTop w:val="0"/>
      <w:marBottom w:val="0"/>
      <w:divBdr>
        <w:top w:val="none" w:sz="0" w:space="0" w:color="auto"/>
        <w:left w:val="none" w:sz="0" w:space="0" w:color="auto"/>
        <w:bottom w:val="none" w:sz="0" w:space="0" w:color="auto"/>
        <w:right w:val="none" w:sz="0" w:space="0" w:color="auto"/>
      </w:divBdr>
    </w:div>
    <w:div w:id="1125083039">
      <w:bodyDiv w:val="1"/>
      <w:marLeft w:val="0"/>
      <w:marRight w:val="0"/>
      <w:marTop w:val="0"/>
      <w:marBottom w:val="0"/>
      <w:divBdr>
        <w:top w:val="none" w:sz="0" w:space="0" w:color="auto"/>
        <w:left w:val="none" w:sz="0" w:space="0" w:color="auto"/>
        <w:bottom w:val="none" w:sz="0" w:space="0" w:color="auto"/>
        <w:right w:val="none" w:sz="0" w:space="0" w:color="auto"/>
      </w:divBdr>
    </w:div>
    <w:div w:id="1226525155">
      <w:bodyDiv w:val="1"/>
      <w:marLeft w:val="0"/>
      <w:marRight w:val="0"/>
      <w:marTop w:val="0"/>
      <w:marBottom w:val="0"/>
      <w:divBdr>
        <w:top w:val="none" w:sz="0" w:space="0" w:color="auto"/>
        <w:left w:val="none" w:sz="0" w:space="0" w:color="auto"/>
        <w:bottom w:val="none" w:sz="0" w:space="0" w:color="auto"/>
        <w:right w:val="none" w:sz="0" w:space="0" w:color="auto"/>
      </w:divBdr>
    </w:div>
    <w:div w:id="1231844541">
      <w:bodyDiv w:val="1"/>
      <w:marLeft w:val="0"/>
      <w:marRight w:val="0"/>
      <w:marTop w:val="0"/>
      <w:marBottom w:val="0"/>
      <w:divBdr>
        <w:top w:val="none" w:sz="0" w:space="0" w:color="auto"/>
        <w:left w:val="none" w:sz="0" w:space="0" w:color="auto"/>
        <w:bottom w:val="none" w:sz="0" w:space="0" w:color="auto"/>
        <w:right w:val="none" w:sz="0" w:space="0" w:color="auto"/>
      </w:divBdr>
    </w:div>
    <w:div w:id="1254819833">
      <w:bodyDiv w:val="1"/>
      <w:marLeft w:val="0"/>
      <w:marRight w:val="0"/>
      <w:marTop w:val="0"/>
      <w:marBottom w:val="0"/>
      <w:divBdr>
        <w:top w:val="none" w:sz="0" w:space="0" w:color="auto"/>
        <w:left w:val="none" w:sz="0" w:space="0" w:color="auto"/>
        <w:bottom w:val="none" w:sz="0" w:space="0" w:color="auto"/>
        <w:right w:val="none" w:sz="0" w:space="0" w:color="auto"/>
      </w:divBdr>
    </w:div>
    <w:div w:id="1275672510">
      <w:bodyDiv w:val="1"/>
      <w:marLeft w:val="0"/>
      <w:marRight w:val="0"/>
      <w:marTop w:val="0"/>
      <w:marBottom w:val="0"/>
      <w:divBdr>
        <w:top w:val="none" w:sz="0" w:space="0" w:color="auto"/>
        <w:left w:val="none" w:sz="0" w:space="0" w:color="auto"/>
        <w:bottom w:val="none" w:sz="0" w:space="0" w:color="auto"/>
        <w:right w:val="none" w:sz="0" w:space="0" w:color="auto"/>
      </w:divBdr>
    </w:div>
    <w:div w:id="1296568193">
      <w:bodyDiv w:val="1"/>
      <w:marLeft w:val="0"/>
      <w:marRight w:val="0"/>
      <w:marTop w:val="0"/>
      <w:marBottom w:val="0"/>
      <w:divBdr>
        <w:top w:val="none" w:sz="0" w:space="0" w:color="auto"/>
        <w:left w:val="none" w:sz="0" w:space="0" w:color="auto"/>
        <w:bottom w:val="none" w:sz="0" w:space="0" w:color="auto"/>
        <w:right w:val="none" w:sz="0" w:space="0" w:color="auto"/>
      </w:divBdr>
    </w:div>
    <w:div w:id="1389183009">
      <w:bodyDiv w:val="1"/>
      <w:marLeft w:val="0"/>
      <w:marRight w:val="0"/>
      <w:marTop w:val="0"/>
      <w:marBottom w:val="0"/>
      <w:divBdr>
        <w:top w:val="none" w:sz="0" w:space="0" w:color="auto"/>
        <w:left w:val="none" w:sz="0" w:space="0" w:color="auto"/>
        <w:bottom w:val="none" w:sz="0" w:space="0" w:color="auto"/>
        <w:right w:val="none" w:sz="0" w:space="0" w:color="auto"/>
      </w:divBdr>
    </w:div>
    <w:div w:id="1418282716">
      <w:bodyDiv w:val="1"/>
      <w:marLeft w:val="0"/>
      <w:marRight w:val="0"/>
      <w:marTop w:val="0"/>
      <w:marBottom w:val="0"/>
      <w:divBdr>
        <w:top w:val="none" w:sz="0" w:space="0" w:color="auto"/>
        <w:left w:val="none" w:sz="0" w:space="0" w:color="auto"/>
        <w:bottom w:val="none" w:sz="0" w:space="0" w:color="auto"/>
        <w:right w:val="none" w:sz="0" w:space="0" w:color="auto"/>
      </w:divBdr>
    </w:div>
    <w:div w:id="1429429398">
      <w:bodyDiv w:val="1"/>
      <w:marLeft w:val="0"/>
      <w:marRight w:val="0"/>
      <w:marTop w:val="0"/>
      <w:marBottom w:val="0"/>
      <w:divBdr>
        <w:top w:val="none" w:sz="0" w:space="0" w:color="auto"/>
        <w:left w:val="none" w:sz="0" w:space="0" w:color="auto"/>
        <w:bottom w:val="none" w:sz="0" w:space="0" w:color="auto"/>
        <w:right w:val="none" w:sz="0" w:space="0" w:color="auto"/>
      </w:divBdr>
    </w:div>
    <w:div w:id="1463960156">
      <w:bodyDiv w:val="1"/>
      <w:marLeft w:val="0"/>
      <w:marRight w:val="0"/>
      <w:marTop w:val="0"/>
      <w:marBottom w:val="0"/>
      <w:divBdr>
        <w:top w:val="none" w:sz="0" w:space="0" w:color="auto"/>
        <w:left w:val="none" w:sz="0" w:space="0" w:color="auto"/>
        <w:bottom w:val="none" w:sz="0" w:space="0" w:color="auto"/>
        <w:right w:val="none" w:sz="0" w:space="0" w:color="auto"/>
      </w:divBdr>
    </w:div>
    <w:div w:id="1499925717">
      <w:bodyDiv w:val="1"/>
      <w:marLeft w:val="0"/>
      <w:marRight w:val="0"/>
      <w:marTop w:val="0"/>
      <w:marBottom w:val="0"/>
      <w:divBdr>
        <w:top w:val="none" w:sz="0" w:space="0" w:color="auto"/>
        <w:left w:val="none" w:sz="0" w:space="0" w:color="auto"/>
        <w:bottom w:val="none" w:sz="0" w:space="0" w:color="auto"/>
        <w:right w:val="none" w:sz="0" w:space="0" w:color="auto"/>
      </w:divBdr>
    </w:div>
    <w:div w:id="1521970875">
      <w:bodyDiv w:val="1"/>
      <w:marLeft w:val="0"/>
      <w:marRight w:val="0"/>
      <w:marTop w:val="0"/>
      <w:marBottom w:val="0"/>
      <w:divBdr>
        <w:top w:val="none" w:sz="0" w:space="0" w:color="auto"/>
        <w:left w:val="none" w:sz="0" w:space="0" w:color="auto"/>
        <w:bottom w:val="none" w:sz="0" w:space="0" w:color="auto"/>
        <w:right w:val="none" w:sz="0" w:space="0" w:color="auto"/>
      </w:divBdr>
    </w:div>
    <w:div w:id="1583560014">
      <w:bodyDiv w:val="1"/>
      <w:marLeft w:val="0"/>
      <w:marRight w:val="0"/>
      <w:marTop w:val="0"/>
      <w:marBottom w:val="0"/>
      <w:divBdr>
        <w:top w:val="none" w:sz="0" w:space="0" w:color="auto"/>
        <w:left w:val="none" w:sz="0" w:space="0" w:color="auto"/>
        <w:bottom w:val="none" w:sz="0" w:space="0" w:color="auto"/>
        <w:right w:val="none" w:sz="0" w:space="0" w:color="auto"/>
      </w:divBdr>
    </w:div>
    <w:div w:id="1613979655">
      <w:bodyDiv w:val="1"/>
      <w:marLeft w:val="0"/>
      <w:marRight w:val="0"/>
      <w:marTop w:val="0"/>
      <w:marBottom w:val="0"/>
      <w:divBdr>
        <w:top w:val="none" w:sz="0" w:space="0" w:color="auto"/>
        <w:left w:val="none" w:sz="0" w:space="0" w:color="auto"/>
        <w:bottom w:val="none" w:sz="0" w:space="0" w:color="auto"/>
        <w:right w:val="none" w:sz="0" w:space="0" w:color="auto"/>
      </w:divBdr>
    </w:div>
    <w:div w:id="1682245267">
      <w:bodyDiv w:val="1"/>
      <w:marLeft w:val="0"/>
      <w:marRight w:val="0"/>
      <w:marTop w:val="0"/>
      <w:marBottom w:val="0"/>
      <w:divBdr>
        <w:top w:val="none" w:sz="0" w:space="0" w:color="auto"/>
        <w:left w:val="none" w:sz="0" w:space="0" w:color="auto"/>
        <w:bottom w:val="none" w:sz="0" w:space="0" w:color="auto"/>
        <w:right w:val="none" w:sz="0" w:space="0" w:color="auto"/>
      </w:divBdr>
    </w:div>
    <w:div w:id="1720741476">
      <w:bodyDiv w:val="1"/>
      <w:marLeft w:val="0"/>
      <w:marRight w:val="0"/>
      <w:marTop w:val="0"/>
      <w:marBottom w:val="0"/>
      <w:divBdr>
        <w:top w:val="none" w:sz="0" w:space="0" w:color="auto"/>
        <w:left w:val="none" w:sz="0" w:space="0" w:color="auto"/>
        <w:bottom w:val="none" w:sz="0" w:space="0" w:color="auto"/>
        <w:right w:val="none" w:sz="0" w:space="0" w:color="auto"/>
      </w:divBdr>
    </w:div>
    <w:div w:id="1754165218">
      <w:bodyDiv w:val="1"/>
      <w:marLeft w:val="0"/>
      <w:marRight w:val="0"/>
      <w:marTop w:val="0"/>
      <w:marBottom w:val="0"/>
      <w:divBdr>
        <w:top w:val="none" w:sz="0" w:space="0" w:color="auto"/>
        <w:left w:val="none" w:sz="0" w:space="0" w:color="auto"/>
        <w:bottom w:val="none" w:sz="0" w:space="0" w:color="auto"/>
        <w:right w:val="none" w:sz="0" w:space="0" w:color="auto"/>
      </w:divBdr>
    </w:div>
    <w:div w:id="1779373928">
      <w:bodyDiv w:val="1"/>
      <w:marLeft w:val="0"/>
      <w:marRight w:val="0"/>
      <w:marTop w:val="0"/>
      <w:marBottom w:val="0"/>
      <w:divBdr>
        <w:top w:val="none" w:sz="0" w:space="0" w:color="auto"/>
        <w:left w:val="none" w:sz="0" w:space="0" w:color="auto"/>
        <w:bottom w:val="none" w:sz="0" w:space="0" w:color="auto"/>
        <w:right w:val="none" w:sz="0" w:space="0" w:color="auto"/>
      </w:divBdr>
    </w:div>
    <w:div w:id="1852908822">
      <w:bodyDiv w:val="1"/>
      <w:marLeft w:val="0"/>
      <w:marRight w:val="0"/>
      <w:marTop w:val="0"/>
      <w:marBottom w:val="0"/>
      <w:divBdr>
        <w:top w:val="none" w:sz="0" w:space="0" w:color="auto"/>
        <w:left w:val="none" w:sz="0" w:space="0" w:color="auto"/>
        <w:bottom w:val="none" w:sz="0" w:space="0" w:color="auto"/>
        <w:right w:val="none" w:sz="0" w:space="0" w:color="auto"/>
      </w:divBdr>
    </w:div>
    <w:div w:id="1869491980">
      <w:bodyDiv w:val="1"/>
      <w:marLeft w:val="0"/>
      <w:marRight w:val="0"/>
      <w:marTop w:val="0"/>
      <w:marBottom w:val="0"/>
      <w:divBdr>
        <w:top w:val="none" w:sz="0" w:space="0" w:color="auto"/>
        <w:left w:val="none" w:sz="0" w:space="0" w:color="auto"/>
        <w:bottom w:val="none" w:sz="0" w:space="0" w:color="auto"/>
        <w:right w:val="none" w:sz="0" w:space="0" w:color="auto"/>
      </w:divBdr>
    </w:div>
    <w:div w:id="1908031728">
      <w:bodyDiv w:val="1"/>
      <w:marLeft w:val="0"/>
      <w:marRight w:val="0"/>
      <w:marTop w:val="0"/>
      <w:marBottom w:val="0"/>
      <w:divBdr>
        <w:top w:val="none" w:sz="0" w:space="0" w:color="auto"/>
        <w:left w:val="none" w:sz="0" w:space="0" w:color="auto"/>
        <w:bottom w:val="none" w:sz="0" w:space="0" w:color="auto"/>
        <w:right w:val="none" w:sz="0" w:space="0" w:color="auto"/>
      </w:divBdr>
    </w:div>
    <w:div w:id="1920862626">
      <w:bodyDiv w:val="1"/>
      <w:marLeft w:val="0"/>
      <w:marRight w:val="0"/>
      <w:marTop w:val="0"/>
      <w:marBottom w:val="0"/>
      <w:divBdr>
        <w:top w:val="none" w:sz="0" w:space="0" w:color="auto"/>
        <w:left w:val="none" w:sz="0" w:space="0" w:color="auto"/>
        <w:bottom w:val="none" w:sz="0" w:space="0" w:color="auto"/>
        <w:right w:val="none" w:sz="0" w:space="0" w:color="auto"/>
      </w:divBdr>
    </w:div>
    <w:div w:id="1946377954">
      <w:bodyDiv w:val="1"/>
      <w:marLeft w:val="0"/>
      <w:marRight w:val="0"/>
      <w:marTop w:val="0"/>
      <w:marBottom w:val="0"/>
      <w:divBdr>
        <w:top w:val="none" w:sz="0" w:space="0" w:color="auto"/>
        <w:left w:val="none" w:sz="0" w:space="0" w:color="auto"/>
        <w:bottom w:val="none" w:sz="0" w:space="0" w:color="auto"/>
        <w:right w:val="none" w:sz="0" w:space="0" w:color="auto"/>
      </w:divBdr>
    </w:div>
    <w:div w:id="1972905834">
      <w:bodyDiv w:val="1"/>
      <w:marLeft w:val="0"/>
      <w:marRight w:val="0"/>
      <w:marTop w:val="0"/>
      <w:marBottom w:val="0"/>
      <w:divBdr>
        <w:top w:val="none" w:sz="0" w:space="0" w:color="auto"/>
        <w:left w:val="none" w:sz="0" w:space="0" w:color="auto"/>
        <w:bottom w:val="none" w:sz="0" w:space="0" w:color="auto"/>
        <w:right w:val="none" w:sz="0" w:space="0" w:color="auto"/>
      </w:divBdr>
    </w:div>
    <w:div w:id="1990018095">
      <w:bodyDiv w:val="1"/>
      <w:marLeft w:val="0"/>
      <w:marRight w:val="0"/>
      <w:marTop w:val="0"/>
      <w:marBottom w:val="0"/>
      <w:divBdr>
        <w:top w:val="none" w:sz="0" w:space="0" w:color="auto"/>
        <w:left w:val="none" w:sz="0" w:space="0" w:color="auto"/>
        <w:bottom w:val="none" w:sz="0" w:space="0" w:color="auto"/>
        <w:right w:val="none" w:sz="0" w:space="0" w:color="auto"/>
      </w:divBdr>
    </w:div>
    <w:div w:id="1991250287">
      <w:bodyDiv w:val="1"/>
      <w:marLeft w:val="0"/>
      <w:marRight w:val="0"/>
      <w:marTop w:val="0"/>
      <w:marBottom w:val="0"/>
      <w:divBdr>
        <w:top w:val="none" w:sz="0" w:space="0" w:color="auto"/>
        <w:left w:val="none" w:sz="0" w:space="0" w:color="auto"/>
        <w:bottom w:val="none" w:sz="0" w:space="0" w:color="auto"/>
        <w:right w:val="none" w:sz="0" w:space="0" w:color="auto"/>
      </w:divBdr>
    </w:div>
    <w:div w:id="1991251266">
      <w:bodyDiv w:val="1"/>
      <w:marLeft w:val="0"/>
      <w:marRight w:val="0"/>
      <w:marTop w:val="0"/>
      <w:marBottom w:val="0"/>
      <w:divBdr>
        <w:top w:val="none" w:sz="0" w:space="0" w:color="auto"/>
        <w:left w:val="none" w:sz="0" w:space="0" w:color="auto"/>
        <w:bottom w:val="none" w:sz="0" w:space="0" w:color="auto"/>
        <w:right w:val="none" w:sz="0" w:space="0" w:color="auto"/>
      </w:divBdr>
    </w:div>
    <w:div w:id="2018461012">
      <w:bodyDiv w:val="1"/>
      <w:marLeft w:val="0"/>
      <w:marRight w:val="0"/>
      <w:marTop w:val="0"/>
      <w:marBottom w:val="0"/>
      <w:divBdr>
        <w:top w:val="none" w:sz="0" w:space="0" w:color="auto"/>
        <w:left w:val="none" w:sz="0" w:space="0" w:color="auto"/>
        <w:bottom w:val="none" w:sz="0" w:space="0" w:color="auto"/>
        <w:right w:val="none" w:sz="0" w:space="0" w:color="auto"/>
      </w:divBdr>
    </w:div>
    <w:div w:id="2047947828">
      <w:bodyDiv w:val="1"/>
      <w:marLeft w:val="0"/>
      <w:marRight w:val="0"/>
      <w:marTop w:val="0"/>
      <w:marBottom w:val="0"/>
      <w:divBdr>
        <w:top w:val="none" w:sz="0" w:space="0" w:color="auto"/>
        <w:left w:val="none" w:sz="0" w:space="0" w:color="auto"/>
        <w:bottom w:val="none" w:sz="0" w:space="0" w:color="auto"/>
        <w:right w:val="none" w:sz="0" w:space="0" w:color="auto"/>
      </w:divBdr>
    </w:div>
    <w:div w:id="2054962567">
      <w:bodyDiv w:val="1"/>
      <w:marLeft w:val="0"/>
      <w:marRight w:val="0"/>
      <w:marTop w:val="0"/>
      <w:marBottom w:val="0"/>
      <w:divBdr>
        <w:top w:val="none" w:sz="0" w:space="0" w:color="auto"/>
        <w:left w:val="none" w:sz="0" w:space="0" w:color="auto"/>
        <w:bottom w:val="none" w:sz="0" w:space="0" w:color="auto"/>
        <w:right w:val="none" w:sz="0" w:space="0" w:color="auto"/>
      </w:divBdr>
    </w:div>
    <w:div w:id="2074084237">
      <w:bodyDiv w:val="1"/>
      <w:marLeft w:val="0"/>
      <w:marRight w:val="0"/>
      <w:marTop w:val="0"/>
      <w:marBottom w:val="0"/>
      <w:divBdr>
        <w:top w:val="none" w:sz="0" w:space="0" w:color="auto"/>
        <w:left w:val="none" w:sz="0" w:space="0" w:color="auto"/>
        <w:bottom w:val="none" w:sz="0" w:space="0" w:color="auto"/>
        <w:right w:val="none" w:sz="0" w:space="0" w:color="auto"/>
      </w:divBdr>
    </w:div>
    <w:div w:id="2095590857">
      <w:bodyDiv w:val="1"/>
      <w:marLeft w:val="0"/>
      <w:marRight w:val="0"/>
      <w:marTop w:val="0"/>
      <w:marBottom w:val="0"/>
      <w:divBdr>
        <w:top w:val="none" w:sz="0" w:space="0" w:color="auto"/>
        <w:left w:val="none" w:sz="0" w:space="0" w:color="auto"/>
        <w:bottom w:val="none" w:sz="0" w:space="0" w:color="auto"/>
        <w:right w:val="none" w:sz="0" w:space="0" w:color="auto"/>
      </w:divBdr>
    </w:div>
    <w:div w:id="2102144505">
      <w:bodyDiv w:val="1"/>
      <w:marLeft w:val="0"/>
      <w:marRight w:val="0"/>
      <w:marTop w:val="0"/>
      <w:marBottom w:val="0"/>
      <w:divBdr>
        <w:top w:val="none" w:sz="0" w:space="0" w:color="auto"/>
        <w:left w:val="none" w:sz="0" w:space="0" w:color="auto"/>
        <w:bottom w:val="none" w:sz="0" w:space="0" w:color="auto"/>
        <w:right w:val="none" w:sz="0" w:space="0" w:color="auto"/>
      </w:divBdr>
    </w:div>
    <w:div w:id="2113091199">
      <w:bodyDiv w:val="1"/>
      <w:marLeft w:val="0"/>
      <w:marRight w:val="0"/>
      <w:marTop w:val="0"/>
      <w:marBottom w:val="0"/>
      <w:divBdr>
        <w:top w:val="none" w:sz="0" w:space="0" w:color="auto"/>
        <w:left w:val="none" w:sz="0" w:space="0" w:color="auto"/>
        <w:bottom w:val="none" w:sz="0" w:space="0" w:color="auto"/>
        <w:right w:val="none" w:sz="0" w:space="0" w:color="auto"/>
      </w:divBdr>
    </w:div>
    <w:div w:id="2122531170">
      <w:bodyDiv w:val="1"/>
      <w:marLeft w:val="0"/>
      <w:marRight w:val="0"/>
      <w:marTop w:val="0"/>
      <w:marBottom w:val="0"/>
      <w:divBdr>
        <w:top w:val="none" w:sz="0" w:space="0" w:color="auto"/>
        <w:left w:val="none" w:sz="0" w:space="0" w:color="auto"/>
        <w:bottom w:val="none" w:sz="0" w:space="0" w:color="auto"/>
        <w:right w:val="none" w:sz="0" w:space="0" w:color="auto"/>
      </w:divBdr>
    </w:div>
    <w:div w:id="214030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B0FC5-DECE-44C7-8EA3-3F7D9E4E2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22</Pages>
  <Words>6777</Words>
  <Characters>38631</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A. Murray</dc:creator>
  <cp:keywords/>
  <dc:description/>
  <cp:lastModifiedBy>david mineo</cp:lastModifiedBy>
  <cp:revision>36</cp:revision>
  <cp:lastPrinted>2026-09-05T22:31:00Z</cp:lastPrinted>
  <dcterms:created xsi:type="dcterms:W3CDTF">2026-09-05T21:24:00Z</dcterms:created>
  <dcterms:modified xsi:type="dcterms:W3CDTF">2026-09-05T23:37:00Z</dcterms:modified>
</cp:coreProperties>
</file>